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07C59">
      <w:pPr>
        <w:pStyle w:val="15"/>
        <w:adjustRightInd w:val="0"/>
        <w:spacing w:line="360" w:lineRule="auto"/>
        <w:jc w:val="center"/>
        <w:rPr>
          <w:rFonts w:hint="eastAsia" w:ascii="宋体" w:hAnsi="宋体"/>
          <w:b/>
          <w:sz w:val="52"/>
          <w:szCs w:val="52"/>
        </w:rPr>
      </w:pPr>
    </w:p>
    <w:p w14:paraId="0CFF3834"/>
    <w:p w14:paraId="65E75B37">
      <w:pPr>
        <w:pStyle w:val="3"/>
        <w:bidi w:val="0"/>
        <w:jc w:val="center"/>
        <w:rPr>
          <w:rFonts w:hint="eastAsia"/>
          <w:sz w:val="52"/>
          <w:szCs w:val="52"/>
        </w:rPr>
      </w:pPr>
      <w:r>
        <w:rPr>
          <w:rFonts w:hint="eastAsia"/>
          <w:sz w:val="52"/>
          <w:szCs w:val="52"/>
        </w:rPr>
        <w:t>2024年医疗机构责任保险服务项目</w:t>
      </w:r>
    </w:p>
    <w:p w14:paraId="77A32DB6">
      <w:pPr>
        <w:pStyle w:val="15"/>
        <w:rPr>
          <w:rFonts w:hint="eastAsia" w:ascii="宋体" w:hAnsi="宋体"/>
          <w:b/>
          <w:sz w:val="84"/>
          <w:szCs w:val="84"/>
        </w:rPr>
      </w:pPr>
    </w:p>
    <w:p w14:paraId="4A1D8C10">
      <w:pPr>
        <w:pStyle w:val="15"/>
      </w:pPr>
    </w:p>
    <w:p w14:paraId="6A931FD8"/>
    <w:p w14:paraId="6B60268B">
      <w:pPr>
        <w:pStyle w:val="3"/>
      </w:pPr>
    </w:p>
    <w:p w14:paraId="2939A019"/>
    <w:p w14:paraId="22BFB7E0"/>
    <w:p w14:paraId="2FFDC938">
      <w:pPr>
        <w:spacing w:line="360" w:lineRule="auto"/>
        <w:jc w:val="center"/>
        <w:rPr>
          <w:rFonts w:hint="eastAsia" w:ascii="宋体" w:hAnsi="宋体"/>
          <w:b/>
          <w:spacing w:val="100"/>
          <w:sz w:val="30"/>
        </w:rPr>
      </w:pPr>
      <w:r>
        <w:rPr>
          <w:rFonts w:hint="eastAsia" w:ascii="宋体" w:hAnsi="宋体"/>
          <w:b/>
          <w:sz w:val="84"/>
          <w:szCs w:val="84"/>
        </w:rPr>
        <w:t>竞争性磋商文件</w:t>
      </w:r>
    </w:p>
    <w:p w14:paraId="361D2FB4">
      <w:pPr>
        <w:rPr>
          <w:rFonts w:hint="eastAsia" w:ascii="宋体" w:hAnsi="宋体"/>
          <w:b/>
          <w:spacing w:val="100"/>
          <w:sz w:val="30"/>
        </w:rPr>
      </w:pPr>
    </w:p>
    <w:p w14:paraId="18BBD560">
      <w:pPr>
        <w:pStyle w:val="15"/>
      </w:pPr>
    </w:p>
    <w:p w14:paraId="78F57433">
      <w:pPr>
        <w:pStyle w:val="15"/>
      </w:pPr>
    </w:p>
    <w:p w14:paraId="7B77CECC">
      <w:pPr>
        <w:spacing w:line="360" w:lineRule="auto"/>
        <w:rPr>
          <w:rFonts w:hint="eastAsia" w:ascii="宋体" w:hAnsi="宋体"/>
          <w:b/>
          <w:spacing w:val="100"/>
          <w:sz w:val="30"/>
        </w:rPr>
      </w:pPr>
    </w:p>
    <w:p w14:paraId="684D501C">
      <w:pPr>
        <w:pStyle w:val="3"/>
        <w:rPr>
          <w:rFonts w:hint="eastAsia" w:ascii="宋体" w:hAnsi="宋体"/>
          <w:b/>
          <w:spacing w:val="100"/>
          <w:sz w:val="30"/>
        </w:rPr>
      </w:pPr>
    </w:p>
    <w:p w14:paraId="354FA378">
      <w:pPr>
        <w:rPr>
          <w:rFonts w:hint="eastAsia"/>
        </w:rPr>
      </w:pPr>
    </w:p>
    <w:p w14:paraId="3E455521">
      <w:pPr>
        <w:spacing w:line="360" w:lineRule="auto"/>
        <w:ind w:firstLine="1504" w:firstLineChars="300"/>
        <w:rPr>
          <w:rFonts w:hint="eastAsia" w:ascii="宋体" w:hAnsi="宋体" w:eastAsia="宋体"/>
          <w:b/>
          <w:sz w:val="30"/>
          <w:szCs w:val="30"/>
          <w:lang w:eastAsia="zh-CN"/>
        </w:rPr>
      </w:pPr>
      <w:bookmarkStart w:id="0" w:name="OLE_LINK3"/>
      <w:r>
        <w:rPr>
          <w:rFonts w:hint="eastAsia" w:ascii="宋体" w:hAnsi="宋体"/>
          <w:b/>
          <w:spacing w:val="100"/>
          <w:sz w:val="30"/>
          <w:szCs w:val="30"/>
        </w:rPr>
        <w:t>项目编</w:t>
      </w:r>
      <w:r>
        <w:rPr>
          <w:rFonts w:hint="eastAsia" w:ascii="宋体" w:hAnsi="宋体"/>
          <w:b/>
          <w:sz w:val="30"/>
          <w:szCs w:val="30"/>
        </w:rPr>
        <w:t>号：</w:t>
      </w:r>
      <w:r>
        <w:rPr>
          <w:rFonts w:hint="eastAsia" w:ascii="宋体" w:hAnsi="宋体"/>
          <w:b/>
          <w:sz w:val="30"/>
          <w:szCs w:val="30"/>
          <w:lang w:eastAsia="zh-CN"/>
        </w:rPr>
        <w:t>HNJY2024【118】</w:t>
      </w:r>
    </w:p>
    <w:p w14:paraId="04DFB7EC">
      <w:pPr>
        <w:spacing w:line="360" w:lineRule="auto"/>
        <w:ind w:firstLine="298" w:firstLineChars="99"/>
        <w:rPr>
          <w:rFonts w:hint="eastAsia" w:ascii="宋体" w:hAnsi="宋体"/>
          <w:b/>
          <w:sz w:val="30"/>
          <w:szCs w:val="30"/>
          <w:u w:val="single"/>
        </w:rPr>
      </w:pPr>
    </w:p>
    <w:p w14:paraId="22ECFB26">
      <w:pPr>
        <w:spacing w:line="360" w:lineRule="auto"/>
        <w:ind w:firstLine="1506" w:firstLineChars="500"/>
        <w:rPr>
          <w:rFonts w:hint="eastAsia" w:ascii="宋体" w:hAnsi="宋体"/>
          <w:b/>
          <w:sz w:val="30"/>
          <w:szCs w:val="30"/>
        </w:rPr>
      </w:pPr>
      <w:r>
        <w:rPr>
          <w:rFonts w:hint="eastAsia" w:ascii="宋体" w:hAnsi="宋体"/>
          <w:b/>
          <w:sz w:val="30"/>
          <w:szCs w:val="30"/>
        </w:rPr>
        <w:t>采 购 单 位：乐东黎族自治县第二人民医院</w:t>
      </w:r>
    </w:p>
    <w:p w14:paraId="786B99BF">
      <w:pPr>
        <w:spacing w:line="360" w:lineRule="auto"/>
        <w:ind w:firstLine="465" w:firstLineChars="155"/>
        <w:rPr>
          <w:rFonts w:hint="eastAsia" w:ascii="宋体" w:hAnsi="宋体"/>
          <w:sz w:val="30"/>
          <w:szCs w:val="30"/>
        </w:rPr>
      </w:pPr>
    </w:p>
    <w:p w14:paraId="4A915380">
      <w:pPr>
        <w:spacing w:line="360" w:lineRule="auto"/>
        <w:ind w:firstLine="1506" w:firstLineChars="500"/>
        <w:rPr>
          <w:rFonts w:hint="eastAsia" w:ascii="宋体" w:hAnsi="宋体"/>
          <w:b/>
          <w:sz w:val="30"/>
          <w:szCs w:val="30"/>
        </w:rPr>
      </w:pPr>
      <w:r>
        <w:rPr>
          <w:rFonts w:hint="eastAsia" w:ascii="宋体" w:hAnsi="宋体"/>
          <w:b/>
          <w:sz w:val="30"/>
          <w:szCs w:val="30"/>
        </w:rPr>
        <w:t>采 购 代 理：海南建云项目管理有限公司</w:t>
      </w:r>
    </w:p>
    <w:bookmarkEnd w:id="0"/>
    <w:p w14:paraId="443D1FAE">
      <w:pPr>
        <w:spacing w:line="360" w:lineRule="auto"/>
        <w:rPr>
          <w:rFonts w:hint="eastAsia" w:ascii="宋体" w:hAnsi="宋体"/>
          <w:b/>
          <w:sz w:val="30"/>
        </w:rPr>
      </w:pPr>
    </w:p>
    <w:p w14:paraId="77F5294E">
      <w:pPr>
        <w:spacing w:line="360" w:lineRule="auto"/>
        <w:jc w:val="center"/>
        <w:rPr>
          <w:sz w:val="24"/>
        </w:rPr>
      </w:pPr>
      <w:r>
        <w:rPr>
          <w:rFonts w:hint="eastAsia" w:ascii="宋体" w:hAnsi="宋体" w:cs="Courier New"/>
          <w:b/>
          <w:w w:val="95"/>
          <w:sz w:val="36"/>
          <w:szCs w:val="36"/>
        </w:rPr>
        <w:t>2024年</w:t>
      </w:r>
      <w:r>
        <w:rPr>
          <w:rFonts w:hint="eastAsia" w:ascii="宋体" w:hAnsi="宋体" w:cs="Courier New"/>
          <w:b/>
          <w:w w:val="95"/>
          <w:sz w:val="36"/>
          <w:szCs w:val="36"/>
          <w:lang w:val="en-US" w:eastAsia="zh-CN"/>
        </w:rPr>
        <w:t>10</w:t>
      </w:r>
      <w:r>
        <w:rPr>
          <w:rFonts w:hint="eastAsia" w:ascii="宋体" w:hAnsi="宋体" w:cs="Courier New"/>
          <w:b/>
          <w:w w:val="95"/>
          <w:sz w:val="36"/>
          <w:szCs w:val="36"/>
        </w:rPr>
        <w:t>月</w:t>
      </w:r>
    </w:p>
    <w:p w14:paraId="2FFF1F9B">
      <w:pPr>
        <w:rPr>
          <w:sz w:val="24"/>
        </w:rPr>
        <w:sectPr>
          <w:footerReference r:id="rId6" w:type="first"/>
          <w:headerReference r:id="rId3" w:type="default"/>
          <w:footerReference r:id="rId4" w:type="default"/>
          <w:footerReference r:id="rId5" w:type="even"/>
          <w:pgSz w:w="11906" w:h="16838"/>
          <w:pgMar w:top="1247" w:right="1247" w:bottom="1134" w:left="1644" w:header="851" w:footer="851" w:gutter="0"/>
          <w:cols w:space="720" w:num="1"/>
          <w:titlePg/>
          <w:docGrid w:type="lines" w:linePitch="312" w:charSpace="0"/>
        </w:sectPr>
      </w:pPr>
    </w:p>
    <w:p w14:paraId="5FC2A5EB">
      <w:pPr>
        <w:pStyle w:val="16"/>
        <w:adjustRightInd w:val="0"/>
        <w:snapToGrid w:val="0"/>
        <w:spacing w:before="100" w:after="100"/>
        <w:jc w:val="center"/>
        <w:rPr>
          <w:caps w:val="0"/>
          <w:sz w:val="48"/>
          <w:szCs w:val="48"/>
        </w:rPr>
      </w:pPr>
      <w:r>
        <w:rPr>
          <w:rFonts w:hint="eastAsia"/>
          <w:caps w:val="0"/>
          <w:sz w:val="48"/>
          <w:szCs w:val="48"/>
        </w:rPr>
        <w:t>目   录</w:t>
      </w:r>
    </w:p>
    <w:p w14:paraId="4964219B"/>
    <w:p w14:paraId="216A0D1B">
      <w:pPr>
        <w:pStyle w:val="16"/>
        <w:tabs>
          <w:tab w:val="right" w:leader="dot" w:pos="9015"/>
        </w:tabs>
        <w:adjustRightInd w:val="0"/>
        <w:snapToGrid w:val="0"/>
        <w:spacing w:line="360" w:lineRule="auto"/>
        <w:rPr>
          <w:rFonts w:hint="eastAsia" w:ascii="宋体" w:hAnsi="宋体" w:cs="宋体"/>
          <w:sz w:val="28"/>
          <w:szCs w:val="28"/>
        </w:rPr>
      </w:pPr>
      <w:r>
        <w:rPr>
          <w:rFonts w:hint="eastAsia" w:ascii="宋体" w:hAnsi="宋体" w:cs="宋体"/>
          <w:smallCaps/>
          <w:sz w:val="28"/>
          <w:szCs w:val="28"/>
        </w:rPr>
        <w:fldChar w:fldCharType="begin"/>
      </w:r>
      <w:r>
        <w:rPr>
          <w:rFonts w:hint="eastAsia" w:ascii="宋体" w:hAnsi="宋体" w:cs="宋体"/>
          <w:smallCaps/>
          <w:sz w:val="28"/>
          <w:szCs w:val="28"/>
        </w:rPr>
        <w:instrText xml:space="preserve">TOC \o "1-3" \h \u </w:instrText>
      </w:r>
      <w:r>
        <w:rPr>
          <w:rFonts w:hint="eastAsia" w:ascii="宋体" w:hAnsi="宋体" w:cs="宋体"/>
          <w:smallCaps/>
          <w:sz w:val="28"/>
          <w:szCs w:val="28"/>
        </w:rPr>
        <w:fldChar w:fldCharType="separate"/>
      </w:r>
      <w:r>
        <w:fldChar w:fldCharType="begin"/>
      </w:r>
      <w:r>
        <w:instrText xml:space="preserve"> HYPERLINK \l "_Toc1372" </w:instrText>
      </w:r>
      <w:r>
        <w:fldChar w:fldCharType="separate"/>
      </w:r>
      <w:r>
        <w:rPr>
          <w:rFonts w:hint="eastAsia" w:ascii="宋体" w:hAnsi="宋体" w:cs="宋体"/>
          <w:sz w:val="28"/>
          <w:szCs w:val="96"/>
        </w:rPr>
        <w:t>第一部分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_Toc1372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7C857775">
      <w:pPr>
        <w:pStyle w:val="16"/>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"_Toc13064" </w:instrText>
      </w:r>
      <w:r>
        <w:fldChar w:fldCharType="separate"/>
      </w:r>
      <w:r>
        <w:rPr>
          <w:rFonts w:hint="eastAsia" w:ascii="宋体" w:hAnsi="宋体" w:cs="宋体"/>
          <w:sz w:val="28"/>
          <w:szCs w:val="96"/>
        </w:rPr>
        <w:t>第二部分  供应商须知</w:t>
      </w:r>
      <w:r>
        <w:rPr>
          <w:rFonts w:hint="eastAsia" w:ascii="宋体" w:hAnsi="宋体" w:cs="宋体"/>
          <w:sz w:val="28"/>
          <w:szCs w:val="28"/>
        </w:rPr>
        <w:tab/>
      </w:r>
      <w:r>
        <w:rPr>
          <w:rFonts w:hint="eastAsia" w:ascii="宋体" w:hAnsi="宋体" w:cs="宋体"/>
          <w:sz w:val="28"/>
          <w:szCs w:val="28"/>
        </w:rPr>
        <w:t>4</w:t>
      </w:r>
      <w:r>
        <w:rPr>
          <w:rFonts w:hint="eastAsia" w:ascii="宋体" w:hAnsi="宋体" w:cs="宋体"/>
          <w:sz w:val="28"/>
          <w:szCs w:val="28"/>
        </w:rPr>
        <w:fldChar w:fldCharType="end"/>
      </w:r>
    </w:p>
    <w:p w14:paraId="2744BB9E">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"_Toc2620" </w:instrText>
      </w:r>
      <w:r>
        <w:fldChar w:fldCharType="separate"/>
      </w:r>
      <w:r>
        <w:rPr>
          <w:rFonts w:hint="eastAsia" w:ascii="宋体" w:hAnsi="宋体" w:cs="宋体"/>
          <w:sz w:val="28"/>
          <w:szCs w:val="52"/>
        </w:rPr>
        <w:t>供应商须知前附表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_Toc2620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14:paraId="12DE5679">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"_Toc6054" </w:instrText>
      </w:r>
      <w:r>
        <w:fldChar w:fldCharType="separate"/>
      </w:r>
      <w:r>
        <w:rPr>
          <w:rFonts w:hint="eastAsia" w:ascii="宋体" w:hAnsi="宋体" w:cs="宋体"/>
          <w:sz w:val="28"/>
          <w:szCs w:val="52"/>
        </w:rPr>
        <w:t>A. 说明和释义</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_Toc6054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14:paraId="76A80AAA">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"_Toc23371" </w:instrText>
      </w:r>
      <w:r>
        <w:fldChar w:fldCharType="separate"/>
      </w:r>
      <w:r>
        <w:rPr>
          <w:rFonts w:hint="eastAsia" w:ascii="宋体" w:hAnsi="宋体" w:cs="宋体"/>
          <w:sz w:val="28"/>
          <w:szCs w:val="52"/>
        </w:rPr>
        <w:t>B. 磋商文件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_Toc23371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27AE0A21">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"_Toc7651" </w:instrText>
      </w:r>
      <w:r>
        <w:fldChar w:fldCharType="separate"/>
      </w:r>
      <w:r>
        <w:rPr>
          <w:rFonts w:hint="eastAsia" w:ascii="宋体" w:hAnsi="宋体" w:cs="宋体"/>
          <w:sz w:val="28"/>
          <w:szCs w:val="52"/>
        </w:rPr>
        <w:t>C. 响应文件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_Toc7651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14:paraId="5AC75CE4">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"_Toc31219" </w:instrText>
      </w:r>
      <w:r>
        <w:fldChar w:fldCharType="separate"/>
      </w:r>
      <w:r>
        <w:rPr>
          <w:rFonts w:hint="eastAsia" w:ascii="宋体" w:hAnsi="宋体" w:cs="宋体"/>
          <w:sz w:val="28"/>
          <w:szCs w:val="52"/>
        </w:rPr>
        <w:t>D. 响应文件的递交</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_Toc31219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14:paraId="2D438CEB">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"_Toc21740" </w:instrText>
      </w:r>
      <w:r>
        <w:fldChar w:fldCharType="separate"/>
      </w:r>
      <w:r>
        <w:rPr>
          <w:rFonts w:hint="eastAsia" w:ascii="宋体" w:hAnsi="宋体" w:cs="宋体"/>
          <w:sz w:val="28"/>
          <w:szCs w:val="52"/>
        </w:rPr>
        <w:t>E. 磋商程序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_Toc21740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14:paraId="1381D10A">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"_Toc9841" </w:instrText>
      </w:r>
      <w:r>
        <w:fldChar w:fldCharType="separate"/>
      </w:r>
      <w:r>
        <w:rPr>
          <w:rFonts w:hint="eastAsia" w:ascii="宋体" w:hAnsi="宋体" w:cs="宋体"/>
          <w:sz w:val="28"/>
          <w:szCs w:val="52"/>
        </w:rPr>
        <w:t>F. 授予合同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_Toc9841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14:paraId="763D32EA">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"_Toc15046" </w:instrText>
      </w:r>
      <w:r>
        <w:fldChar w:fldCharType="separate"/>
      </w:r>
      <w:r>
        <w:rPr>
          <w:rFonts w:hint="eastAsia" w:ascii="宋体" w:hAnsi="宋体" w:cs="宋体"/>
          <w:sz w:val="28"/>
          <w:szCs w:val="52"/>
        </w:rPr>
        <w:t>G. 询问、质疑和投诉</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_Toc15046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14:paraId="24D72363">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"_Toc4744" </w:instrText>
      </w:r>
      <w:r>
        <w:fldChar w:fldCharType="separate"/>
      </w:r>
      <w:r>
        <w:rPr>
          <w:rFonts w:hint="eastAsia" w:ascii="宋体" w:hAnsi="宋体" w:cs="宋体"/>
          <w:sz w:val="28"/>
          <w:szCs w:val="52"/>
        </w:rPr>
        <w:t>H. 纪律和监督</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_Toc4744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fldChar w:fldCharType="end"/>
      </w:r>
    </w:p>
    <w:p w14:paraId="6C75417D">
      <w:pPr>
        <w:pStyle w:val="16"/>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"_Toc32433" </w:instrText>
      </w:r>
      <w:r>
        <w:fldChar w:fldCharType="separate"/>
      </w:r>
      <w:r>
        <w:rPr>
          <w:rFonts w:hint="eastAsia" w:ascii="宋体" w:hAnsi="宋体" w:cs="宋体"/>
          <w:sz w:val="28"/>
          <w:szCs w:val="96"/>
        </w:rPr>
        <w:t>第三部分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_Toc32433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fldChar w:fldCharType="end"/>
      </w:r>
    </w:p>
    <w:p w14:paraId="695E3EE9">
      <w:pPr>
        <w:pStyle w:val="16"/>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"_Toc13208" </w:instrText>
      </w:r>
      <w:r>
        <w:fldChar w:fldCharType="separate"/>
      </w:r>
      <w:r>
        <w:rPr>
          <w:rFonts w:hint="eastAsia" w:ascii="宋体" w:hAnsi="宋体" w:cs="宋体"/>
          <w:sz w:val="28"/>
          <w:szCs w:val="96"/>
        </w:rPr>
        <w:t>第四部分  采购合同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_Toc13208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fldChar w:fldCharType="end"/>
      </w:r>
    </w:p>
    <w:p w14:paraId="5FA05D10">
      <w:pPr>
        <w:pStyle w:val="16"/>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"_Toc21529" </w:instrText>
      </w:r>
      <w:r>
        <w:fldChar w:fldCharType="separate"/>
      </w:r>
      <w:r>
        <w:rPr>
          <w:rFonts w:hint="eastAsia" w:ascii="宋体" w:hAnsi="宋体" w:cs="宋体"/>
          <w:sz w:val="28"/>
          <w:szCs w:val="96"/>
        </w:rPr>
        <w:t>第五部分  评审程序、方法和标准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_Toc21529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14:paraId="261F28A6">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"_Toc13855" </w:instrText>
      </w:r>
      <w:r>
        <w:fldChar w:fldCharType="separate"/>
      </w:r>
      <w:r>
        <w:rPr>
          <w:rFonts w:hint="eastAsia" w:ascii="宋体" w:hAnsi="宋体" w:cs="宋体"/>
          <w:sz w:val="28"/>
          <w:szCs w:val="52"/>
        </w:rPr>
        <w:t>附件1：资格性审查表</w:t>
      </w:r>
      <w:r>
        <w:rPr>
          <w:rFonts w:hint="eastAsia" w:ascii="宋体" w:hAnsi="宋体" w:cs="宋体"/>
          <w:sz w:val="28"/>
          <w:szCs w:val="28"/>
        </w:rPr>
        <w:tab/>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1</w:t>
      </w:r>
    </w:p>
    <w:p w14:paraId="1467291F">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"_Toc27989" </w:instrText>
      </w:r>
      <w:r>
        <w:fldChar w:fldCharType="separate"/>
      </w:r>
      <w:r>
        <w:rPr>
          <w:rFonts w:hint="eastAsia" w:ascii="宋体" w:hAnsi="宋体" w:cs="宋体"/>
          <w:sz w:val="28"/>
          <w:szCs w:val="52"/>
        </w:rPr>
        <w:t>附件2：符合性审查表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_Toc27989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14:paraId="54A1424F">
      <w:pPr>
        <w:pStyle w:val="10"/>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"_Toc10471" </w:instrText>
      </w:r>
      <w:r>
        <w:fldChar w:fldCharType="separate"/>
      </w:r>
      <w:r>
        <w:rPr>
          <w:rFonts w:hint="eastAsia" w:ascii="宋体" w:hAnsi="宋体" w:cs="宋体"/>
          <w:sz w:val="28"/>
          <w:szCs w:val="52"/>
        </w:rPr>
        <w:t>附件3：评审标准和方法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_Toc10471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14:paraId="4979A571">
      <w:pPr>
        <w:pStyle w:val="16"/>
        <w:tabs>
          <w:tab w:val="right" w:leader="dot" w:pos="9015"/>
        </w:tabs>
        <w:adjustRightInd w:val="0"/>
        <w:snapToGrid w:val="0"/>
        <w:spacing w:line="360" w:lineRule="auto"/>
        <w:rPr>
          <w:rFonts w:hint="eastAsia" w:ascii="宋体" w:hAnsi="宋体" w:cs="宋体"/>
          <w:sz w:val="28"/>
          <w:szCs w:val="28"/>
        </w:rPr>
      </w:pPr>
      <w:r>
        <w:fldChar w:fldCharType="begin"/>
      </w:r>
      <w:r>
        <w:instrText xml:space="preserve"> HYPERLINK \l "_Toc32275" </w:instrText>
      </w:r>
      <w:r>
        <w:fldChar w:fldCharType="separate"/>
      </w:r>
      <w:r>
        <w:rPr>
          <w:rFonts w:hint="eastAsia" w:ascii="宋体" w:hAnsi="宋体" w:cs="宋体"/>
          <w:sz w:val="28"/>
          <w:szCs w:val="96"/>
        </w:rPr>
        <w:t>第六部分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_Toc32275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14:paraId="5ACCCA99">
      <w:pPr>
        <w:pStyle w:val="16"/>
        <w:tabs>
          <w:tab w:val="right" w:leader="dot" w:pos="9015"/>
        </w:tabs>
      </w:pPr>
    </w:p>
    <w:p w14:paraId="7D8534A8">
      <w:pPr>
        <w:pStyle w:val="10"/>
        <w:tabs>
          <w:tab w:val="right" w:leader="dot" w:pos="9015"/>
        </w:tabs>
        <w:adjustRightInd w:val="0"/>
        <w:snapToGrid w:val="0"/>
        <w:spacing w:line="360" w:lineRule="auto"/>
        <w:rPr>
          <w:smallCaps w:val="0"/>
          <w:sz w:val="24"/>
        </w:rPr>
      </w:pPr>
      <w:r>
        <w:rPr>
          <w:rFonts w:hint="eastAsia" w:ascii="宋体" w:hAnsi="宋体" w:cs="宋体"/>
          <w:smallCaps w:val="0"/>
          <w:szCs w:val="28"/>
        </w:rPr>
        <w:fldChar w:fldCharType="end"/>
      </w:r>
    </w:p>
    <w:p w14:paraId="7A421281">
      <w:pPr>
        <w:pStyle w:val="15"/>
      </w:pPr>
    </w:p>
    <w:p w14:paraId="53CCDA45">
      <w:pPr>
        <w:jc w:val="center"/>
        <w:outlineLvl w:val="0"/>
        <w:rPr>
          <w:b/>
          <w:sz w:val="48"/>
          <w:szCs w:val="48"/>
        </w:rPr>
      </w:pPr>
      <w:bookmarkStart w:id="1" w:name="_Toc317237597"/>
      <w:bookmarkStart w:id="2" w:name="_Toc12710"/>
      <w:bookmarkStart w:id="3" w:name="_Toc17487"/>
      <w:bookmarkStart w:id="4" w:name="_Toc31346"/>
    </w:p>
    <w:p w14:paraId="0C1EBACB">
      <w:pPr>
        <w:tabs>
          <w:tab w:val="right" w:pos="9015"/>
        </w:tabs>
        <w:jc w:val="left"/>
        <w:sectPr>
          <w:footerReference r:id="rId7" w:type="default"/>
          <w:pgSz w:w="11906" w:h="16838"/>
          <w:pgMar w:top="1247" w:right="1247" w:bottom="1134" w:left="1644" w:header="851" w:footer="851" w:gutter="0"/>
          <w:pgNumType w:start="2"/>
          <w:cols w:space="720" w:num="1"/>
          <w:docGrid w:type="lines" w:linePitch="312" w:charSpace="0"/>
        </w:sectPr>
      </w:pPr>
      <w:r>
        <w:rPr>
          <w:rFonts w:hint="eastAsia"/>
        </w:rPr>
        <w:tab/>
      </w:r>
    </w:p>
    <w:p w14:paraId="1376A518">
      <w:pPr>
        <w:pStyle w:val="2"/>
      </w:pPr>
      <w:bookmarkStart w:id="5" w:name="_Toc1372"/>
      <w:r>
        <w:rPr>
          <w:rFonts w:hint="eastAsia"/>
        </w:rPr>
        <w:t xml:space="preserve"> </w:t>
      </w:r>
      <w:bookmarkEnd w:id="1"/>
      <w:bookmarkEnd w:id="2"/>
      <w:bookmarkEnd w:id="3"/>
      <w:bookmarkEnd w:id="4"/>
      <w:r>
        <w:rPr>
          <w:rFonts w:hint="eastAsia"/>
        </w:rPr>
        <w:t xml:space="preserve"> 第一部分 竞争性磋商公告</w:t>
      </w:r>
      <w:bookmarkEnd w:id="5"/>
      <w:bookmarkStart w:id="6" w:name="_Toc13064"/>
      <w:bookmarkStart w:id="7" w:name="_Toc20211"/>
      <w:bookmarkStart w:id="8" w:name="_Toc5183"/>
      <w:bookmarkStart w:id="9" w:name="_Toc317237598"/>
      <w:bookmarkStart w:id="10" w:name="_Toc12398"/>
    </w:p>
    <w:p w14:paraId="49A83BF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项目概况</w:t>
      </w:r>
    </w:p>
    <w:p w14:paraId="56127AE7">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u w:val="single"/>
          <w:lang w:eastAsia="zh-CN"/>
        </w:rPr>
        <w:t>2024年医疗机构责任保险服务项目</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采购项目的潜在供应商应在</w:t>
      </w:r>
      <w:r>
        <w:rPr>
          <w:rFonts w:hint="eastAsia" w:asciiTheme="minorEastAsia" w:hAnsiTheme="minorEastAsia" w:eastAsiaTheme="minorEastAsia" w:cstheme="minorEastAsia"/>
          <w:sz w:val="24"/>
          <w:u w:val="single"/>
        </w:rPr>
        <w:t>海口市美兰区大英山东一路8号国瑞城名仕苑4号楼2单元2层201房</w:t>
      </w:r>
      <w:r>
        <w:rPr>
          <w:rFonts w:hint="eastAsia" w:asciiTheme="minorEastAsia" w:hAnsiTheme="minorEastAsia" w:eastAsiaTheme="minorEastAsia" w:cstheme="minorEastAsia"/>
          <w:sz w:val="24"/>
        </w:rPr>
        <w:t>获取采购文件，</w:t>
      </w:r>
      <w:r>
        <w:rPr>
          <w:rFonts w:hint="eastAsia" w:asciiTheme="minorEastAsia" w:hAnsiTheme="minorEastAsia" w:eastAsiaTheme="minorEastAsia" w:cstheme="minorEastAsia"/>
          <w:color w:val="000000" w:themeColor="text1"/>
          <w:sz w:val="24"/>
          <w14:textFill>
            <w14:solidFill>
              <w14:schemeClr w14:val="tx1"/>
            </w14:solidFill>
          </w14:textFill>
        </w:rPr>
        <w:t>并于</w:t>
      </w:r>
      <w:r>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t>2024年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t>点</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t>分</w:t>
      </w:r>
      <w:r>
        <w:rPr>
          <w:rFonts w:hint="eastAsia" w:asciiTheme="minorEastAsia" w:hAnsiTheme="minorEastAsia" w:eastAsiaTheme="minorEastAsia" w:cstheme="minorEastAsia"/>
          <w:bCs/>
          <w:color w:val="000000" w:themeColor="text1"/>
          <w:sz w:val="24"/>
          <w14:textFill>
            <w14:solidFill>
              <w14:schemeClr w14:val="tx1"/>
            </w14:solidFill>
          </w14:textFill>
        </w:rPr>
        <w:t>（北京时间）前提交响应文件</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1E01E4E2">
      <w:pPr>
        <w:spacing w:line="360" w:lineRule="auto"/>
        <w:rPr>
          <w:color w:val="000000" w:themeColor="text1"/>
          <w14:textFill>
            <w14:solidFill>
              <w14:schemeClr w14:val="tx1"/>
            </w14:solidFill>
          </w14:textFill>
        </w:rPr>
      </w:pPr>
    </w:p>
    <w:p w14:paraId="49B67A55">
      <w:pPr>
        <w:pStyle w:val="3"/>
        <w:rPr>
          <w:rFonts w:hint="eastAsia" w:asciiTheme="minorEastAsia" w:hAnsiTheme="minorEastAsia" w:eastAsiaTheme="minorEastAsia" w:cstheme="minorEastAsia"/>
          <w:bCs w:val="0"/>
          <w:color w:val="000000" w:themeColor="text1"/>
          <w:sz w:val="24"/>
          <w:szCs w:val="24"/>
          <w14:textFill>
            <w14:solidFill>
              <w14:schemeClr w14:val="tx1"/>
            </w14:solidFill>
          </w14:textFill>
        </w:rPr>
      </w:pPr>
      <w:bookmarkStart w:id="11" w:name="_Toc28359089"/>
      <w:bookmarkStart w:id="12" w:name="_Toc35393798"/>
      <w:bookmarkStart w:id="13" w:name="_Toc35393629"/>
      <w:bookmarkStart w:id="14" w:name="_Toc28359012"/>
      <w:bookmarkStart w:id="15" w:name="_Toc11160"/>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一、项目基本情况</w:t>
      </w:r>
      <w:bookmarkEnd w:id="11"/>
      <w:bookmarkEnd w:id="12"/>
      <w:bookmarkEnd w:id="13"/>
      <w:bookmarkEnd w:id="14"/>
      <w:bookmarkEnd w:id="15"/>
    </w:p>
    <w:p w14:paraId="787FEC9C">
      <w:pPr>
        <w:spacing w:line="360" w:lineRule="auto"/>
        <w:ind w:firstLine="480" w:firstLineChars="200"/>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1.项目编号：</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HNJY2024【118】</w:t>
      </w:r>
    </w:p>
    <w:p w14:paraId="5EA525CA">
      <w:pPr>
        <w:spacing w:line="360" w:lineRule="auto"/>
        <w:ind w:firstLine="480" w:firstLineChars="200"/>
        <w:rPr>
          <w:rFonts w:hint="eastAsia" w:asciiTheme="minorEastAsia" w:hAnsiTheme="minorEastAsia" w:eastAsiaTheme="minorEastAsia" w:cstheme="minorEastAsia"/>
          <w:color w:val="000000" w:themeColor="text1"/>
          <w:sz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2.项目名称：</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2024年医疗机构责任保险服务项目</w:t>
      </w:r>
    </w:p>
    <w:p w14:paraId="00A79FD0">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3.采购方式：竞争性磋商</w:t>
      </w:r>
    </w:p>
    <w:p w14:paraId="39AA917B">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4.预算金额：</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400000.00</w:t>
      </w:r>
      <w:r>
        <w:rPr>
          <w:rFonts w:hint="eastAsia" w:asciiTheme="minorEastAsia" w:hAnsiTheme="minorEastAsia" w:eastAsiaTheme="minorEastAsia" w:cstheme="minorEastAsia"/>
          <w:color w:val="000000" w:themeColor="text1"/>
          <w:sz w:val="24"/>
          <w14:textFill>
            <w14:solidFill>
              <w14:schemeClr w14:val="tx1"/>
            </w14:solidFill>
          </w14:textFill>
        </w:rPr>
        <w:t>元</w:t>
      </w:r>
    </w:p>
    <w:p w14:paraId="5F9BE7E3">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5.最高限价：</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400000.00</w:t>
      </w:r>
      <w:r>
        <w:rPr>
          <w:rFonts w:hint="eastAsia" w:asciiTheme="minorEastAsia" w:hAnsiTheme="minorEastAsia" w:eastAsiaTheme="minorEastAsia" w:cstheme="minorEastAsia"/>
          <w:color w:val="000000" w:themeColor="text1"/>
          <w:sz w:val="24"/>
          <w14:textFill>
            <w14:solidFill>
              <w14:schemeClr w14:val="tx1"/>
            </w14:solidFill>
          </w14:textFill>
        </w:rPr>
        <w:t>元</w:t>
      </w:r>
      <w:r>
        <w:rPr>
          <w:rFonts w:hint="eastAsia" w:asciiTheme="minorEastAsia" w:hAnsiTheme="minorEastAsia" w:cstheme="minorEastAsia"/>
          <w:color w:val="000000" w:themeColor="text1"/>
          <w:sz w:val="24"/>
          <w14:textFill>
            <w14:solidFill>
              <w14:schemeClr w14:val="tx1"/>
            </w14:solidFill>
          </w14:textFill>
        </w:rPr>
        <w:t>（超出采购最高限价的报价，按无效报价处理）</w:t>
      </w:r>
    </w:p>
    <w:p w14:paraId="7B1BCA59">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6.采购需求：</w:t>
      </w:r>
    </w:p>
    <w:p w14:paraId="742EC532">
      <w:pPr>
        <w:spacing w:line="360" w:lineRule="auto"/>
        <w:ind w:firstLine="960" w:firstLineChars="4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6.1.服务内容：拟招</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2024年医疗机构责任保险服务项目</w:t>
      </w:r>
      <w:r>
        <w:rPr>
          <w:rFonts w:hint="eastAsia" w:asciiTheme="minorEastAsia" w:hAnsiTheme="minorEastAsia" w:eastAsiaTheme="minorEastAsia" w:cstheme="minorEastAsia"/>
          <w:color w:val="000000" w:themeColor="text1"/>
          <w:sz w:val="24"/>
          <w14:textFill>
            <w14:solidFill>
              <w14:schemeClr w14:val="tx1"/>
            </w14:solidFill>
          </w14:textFill>
        </w:rPr>
        <w:t>，详见《竞争性磋商文件》第三部分采购需求内容；</w:t>
      </w:r>
    </w:p>
    <w:p w14:paraId="414FFB96">
      <w:pPr>
        <w:spacing w:line="360" w:lineRule="auto"/>
        <w:ind w:firstLine="960" w:firstLineChars="4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6.2.简要技术要求或项目基本概况、性质：详见《竞争性磋商文件》第三部分采购需求；</w:t>
      </w:r>
    </w:p>
    <w:p w14:paraId="34737D0A">
      <w:pPr>
        <w:spacing w:line="360" w:lineRule="auto"/>
        <w:ind w:firstLine="960" w:firstLineChars="400"/>
        <w:rPr>
          <w:rFonts w:eastAsia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6.3.数量：项目本身，一</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4D90B06A">
      <w:pPr>
        <w:spacing w:line="360" w:lineRule="auto"/>
        <w:ind w:firstLine="480" w:firstLineChars="200"/>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w:t>
      </w:r>
      <w:r>
        <w:rPr>
          <w:rFonts w:hint="eastAsia" w:ascii="宋体" w:hAnsi="宋体" w:cs="宋体" w:eastAsiaTheme="minorEastAsia"/>
          <w:sz w:val="24"/>
        </w:rPr>
        <w:t>合同履行期限（服务期）</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年。</w:t>
      </w:r>
    </w:p>
    <w:p w14:paraId="42CCACCC">
      <w:pPr>
        <w:pStyle w:val="46"/>
        <w:ind w:firstLine="480"/>
      </w:pPr>
      <w:r>
        <w:rPr>
          <w:rFonts w:hint="eastAsia" w:asciiTheme="minorEastAsia" w:hAnsiTheme="minorEastAsia" w:eastAsiaTheme="minorEastAsia" w:cstheme="minorEastAsia"/>
        </w:rPr>
        <w:t>8</w:t>
      </w:r>
      <w:bookmarkStart w:id="16" w:name="_Toc26468"/>
      <w:bookmarkStart w:id="17" w:name="_Toc16155"/>
      <w:r>
        <w:rPr>
          <w:rFonts w:hint="eastAsia" w:asciiTheme="minorEastAsia" w:hAnsiTheme="minorEastAsia" w:eastAsiaTheme="minorEastAsia" w:cstheme="minorEastAsia"/>
        </w:rPr>
        <w:t>.</w:t>
      </w:r>
      <w:r>
        <w:rPr>
          <w:rFonts w:hint="eastAsia"/>
        </w:rPr>
        <w:t>本项目不接受联合体。</w:t>
      </w:r>
      <w:bookmarkEnd w:id="16"/>
      <w:bookmarkEnd w:id="17"/>
    </w:p>
    <w:p w14:paraId="410DE33A">
      <w:pPr>
        <w:pStyle w:val="46"/>
        <w:ind w:firstLine="480"/>
      </w:pPr>
      <w:r>
        <w:rPr>
          <w:rFonts w:hint="eastAsia"/>
        </w:rPr>
        <w:t>9.供应商必须对本项目内所有的内容进行响应，不允许只对其中部分内容进行响应，否则视为无效报价。</w:t>
      </w:r>
    </w:p>
    <w:p w14:paraId="4CD30F19">
      <w:pPr>
        <w:pStyle w:val="3"/>
        <w:rPr>
          <w:rFonts w:hint="eastAsia" w:asciiTheme="minorEastAsia" w:hAnsiTheme="minorEastAsia" w:eastAsiaTheme="minorEastAsia" w:cstheme="minorEastAsia"/>
          <w:bCs w:val="0"/>
          <w:color w:val="000000" w:themeColor="text1"/>
          <w:sz w:val="24"/>
          <w:szCs w:val="24"/>
          <w14:textFill>
            <w14:solidFill>
              <w14:schemeClr w14:val="tx1"/>
            </w14:solidFill>
          </w14:textFill>
        </w:rPr>
      </w:pPr>
      <w:bookmarkStart w:id="18" w:name="_Toc28359090"/>
      <w:bookmarkStart w:id="19" w:name="_Toc35393630"/>
      <w:bookmarkStart w:id="20" w:name="_Toc28182"/>
      <w:bookmarkStart w:id="21" w:name="_Toc28359013"/>
      <w:bookmarkStart w:id="22" w:name="_Toc35393799"/>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二、申请人的资格要求</w:t>
      </w:r>
      <w:bookmarkEnd w:id="18"/>
      <w:bookmarkEnd w:id="19"/>
      <w:bookmarkEnd w:id="20"/>
      <w:bookmarkEnd w:id="21"/>
      <w:bookmarkEnd w:id="22"/>
    </w:p>
    <w:p w14:paraId="57F7028E">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3" w:name="OLE_LINK1"/>
      <w:bookmarkStart w:id="24" w:name="_Toc35393800"/>
      <w:bookmarkStart w:id="25" w:name="_Toc28359091"/>
      <w:bookmarkStart w:id="26" w:name="_Toc4414"/>
      <w:bookmarkStart w:id="27" w:name="_Toc35393631"/>
      <w:bookmarkStart w:id="28" w:name="_Toc28359014"/>
      <w:r>
        <w:rPr>
          <w:rFonts w:hint="eastAsia" w:ascii="宋体" w:hAnsi="宋体" w:cs="宋体"/>
          <w:color w:val="000000" w:themeColor="text1"/>
          <w:sz w:val="24"/>
          <w14:textFill>
            <w14:solidFill>
              <w14:schemeClr w14:val="tx1"/>
            </w14:solidFill>
          </w14:textFill>
        </w:rPr>
        <w:t>1.满足《中华人民共和国政府采购法》第二十二条规定；</w:t>
      </w:r>
    </w:p>
    <w:p w14:paraId="3A29DE93">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在中华人民共和国注册，具有独立承担民事责任的能力【注：①供应商若为企业法人：提供“统一社会信用代码营业执照”；②若为事业法人：提供“事业单位法人证书副本”；③若为其他组织：提供“对应主管部门颁发的准许执业证明文件或营业执照”；④若为自然人：提供“提供工商主管部门颁发的个体营业执照/身份证明文件”以上均提供复印件加盖公章】；</w:t>
      </w:r>
    </w:p>
    <w:bookmarkEnd w:id="23"/>
    <w:p w14:paraId="734C70D6">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1.2.具有良好的商业信誉和健全的财务会计制度【提供承诺函加盖公章】；</w:t>
      </w:r>
    </w:p>
    <w:p w14:paraId="5691ADDD">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1.3.有依法缴纳税收和社会保障资金的良好记录【提供承诺函加盖公章】；</w:t>
      </w:r>
    </w:p>
    <w:p w14:paraId="2DC7D552">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1.4.具有履行合同所必需的设备和专业技术能力【提供声明书加盖公章，格式自拟】；</w:t>
      </w:r>
    </w:p>
    <w:p w14:paraId="664F830D">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1.5.参加政府采购活动前三年内（成立不足三年的从成立之日起算），在经营活动中没有重大违法记录、无环保类行政处罚记录【提供声明书加盖公章，格式自拟】；</w:t>
      </w:r>
    </w:p>
    <w:p w14:paraId="136388E1">
      <w:pPr>
        <w:spacing w:line="360" w:lineRule="auto"/>
        <w:ind w:firstLine="720" w:firstLineChars="3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1.6.供应商必须未被列入“信用中国”网站(www.creditchina.gov.cn)政府采购严重违法失信行为记录名单、重大税收违法失信主体和中国政府采购网( www.ccgp.gov.cn ) 的“政府采购严重违法失信行为记录名单”及中国执行信息公开网（http://zxgk.court.gov.cn/shixin/）的失信被执行人的供应商【提供承诺函加盖公章】；</w:t>
      </w:r>
    </w:p>
    <w:p w14:paraId="6C86DC94">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采购人或采购代理机构将于本项目投标截止日在“信用中国”网站、“中国政府采购网”网站、“中国执行信息公开网”网站等渠道对供应商进行信用记录查询，凡被列入失信被执行人、重大税收违法失信主体、政府采购严重违法失信行为记录名单的，视为存在不良信用记录，参与本项目的将被拒绝；</w:t>
      </w:r>
    </w:p>
    <w:p w14:paraId="0CC9067D">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1.7.法律、行政法规规定的其他条件【提供声明书加盖公章，格式自拟】。</w:t>
      </w:r>
    </w:p>
    <w:p w14:paraId="170AB278">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2.落实政府采购政策需满足的资格要求：本项目支持政府采购促进中小企业发展政策、政府采购支持监狱企业发展政策、促进残疾人就业政府采购政策、扶持不发达地区和少数民族地区等相关政策。</w:t>
      </w:r>
    </w:p>
    <w:p w14:paraId="5AB16E19">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3.1供应商具有国家金融监督管理总局或(原)中国银行保险监督管理委员会或(原)中国保险监督管理委员会颁发的《经营保险业务许可证》或《保险许可证》，如供应商为分支机构则需要提供集团或总公司授权或相应证明材料。</w:t>
      </w:r>
    </w:p>
    <w:p w14:paraId="106D5CE5">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本项目涉及特殊行业-保险业，根据《政府采购法实施条例》及有关释义，银行、保险、石油石化、电力、电信运营商等有行业特殊情况的，其分支机构可参与本项目的政府采购活动，且每家保险公司仅允许有一家分支机构进行投标,其分支机构可视为“具有独立承担民事责任能力的法人”（即采购文件中涉及要求提供“法定代表人”相关证明材料的，提供分支机构“负责人”的相关证明材料）。</w:t>
      </w:r>
    </w:p>
    <w:p w14:paraId="4E91729D">
      <w:pPr>
        <w:pStyle w:val="3"/>
        <w:ind w:firstLine="482" w:firstLineChars="200"/>
        <w:rPr>
          <w:rFonts w:hint="eastAsia" w:asciiTheme="minorEastAsia" w:hAnsiTheme="minorEastAsia" w:eastAsiaTheme="minorEastAsia" w:cstheme="minorEastAsia"/>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三、获取采购文件</w:t>
      </w:r>
      <w:bookmarkEnd w:id="24"/>
      <w:bookmarkEnd w:id="25"/>
      <w:bookmarkEnd w:id="26"/>
      <w:bookmarkEnd w:id="27"/>
      <w:bookmarkEnd w:id="28"/>
    </w:p>
    <w:p w14:paraId="3CE6DE6E">
      <w:pPr>
        <w:spacing w:line="360" w:lineRule="auto"/>
        <w:ind w:firstLine="54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时间：</w:t>
      </w:r>
      <w:r>
        <w:rPr>
          <w:rFonts w:hint="eastAsia" w:asciiTheme="minorEastAsia" w:hAnsiTheme="minorEastAsia" w:eastAsiaTheme="minorEastAsia" w:cstheme="minorEastAsia"/>
          <w:color w:val="000000" w:themeColor="text1"/>
          <w:sz w:val="24"/>
          <w:u w:val="single"/>
          <w14:textFill>
            <w14:solidFill>
              <w14:schemeClr w14:val="tx1"/>
            </w14:solidFill>
          </w14:textFill>
        </w:rPr>
        <w:t>20</w:t>
      </w:r>
      <w:r>
        <w:rPr>
          <w:rFonts w:hint="eastAsia" w:asciiTheme="minorEastAsia" w:hAnsiTheme="minorEastAsia" w:cstheme="minorEastAsia"/>
          <w:color w:val="000000" w:themeColor="text1"/>
          <w:sz w:val="24"/>
          <w:u w:val="single"/>
          <w14:textFill>
            <w14:solidFill>
              <w14:schemeClr w14:val="tx1"/>
            </w14:solidFill>
          </w14:textFill>
        </w:rPr>
        <w:t>24</w:t>
      </w:r>
      <w:r>
        <w:rPr>
          <w:rFonts w:hint="eastAsia" w:asciiTheme="minorEastAsia" w:hAnsiTheme="minorEastAsia" w:eastAsiaTheme="minorEastAsia" w:cstheme="minorEastAsia"/>
          <w:color w:val="000000" w:themeColor="text1"/>
          <w:sz w:val="24"/>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14:textFill>
            <w14:solidFill>
              <w14:schemeClr w14:val="tx1"/>
            </w14:solidFill>
          </w14:textFill>
        </w:rPr>
        <w:t>至</w:t>
      </w:r>
      <w:r>
        <w:rPr>
          <w:rFonts w:hint="eastAsia" w:asciiTheme="minorEastAsia" w:hAnsiTheme="minorEastAsia" w:eastAsiaTheme="minorEastAsia" w:cstheme="minorEastAsia"/>
          <w:color w:val="000000" w:themeColor="text1"/>
          <w:sz w:val="24"/>
          <w:u w:val="single"/>
          <w14:textFill>
            <w14:solidFill>
              <w14:schemeClr w14:val="tx1"/>
            </w14:solidFill>
          </w14:textFill>
        </w:rPr>
        <w:t>2024年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14:textFill>
            <w14:solidFill>
              <w14:schemeClr w14:val="tx1"/>
            </w14:solidFill>
          </w14:textFill>
        </w:rPr>
        <w:t>，每天上午</w:t>
      </w:r>
      <w:r>
        <w:rPr>
          <w:rFonts w:hint="eastAsia" w:asciiTheme="minorEastAsia" w:hAnsiTheme="minorEastAsia" w:eastAsiaTheme="minorEastAsia" w:cstheme="minorEastAsia"/>
          <w:color w:val="000000" w:themeColor="text1"/>
          <w:sz w:val="24"/>
          <w:u w:val="single"/>
          <w14:textFill>
            <w14:solidFill>
              <w14:schemeClr w14:val="tx1"/>
            </w14:solidFill>
          </w14:textFill>
        </w:rPr>
        <w:t>08:30</w:t>
      </w:r>
      <w:r>
        <w:rPr>
          <w:rFonts w:hint="eastAsia" w:asciiTheme="minorEastAsia" w:hAnsiTheme="minorEastAsia" w:eastAsiaTheme="minorEastAsia" w:cstheme="minorEastAsia"/>
          <w:color w:val="000000" w:themeColor="text1"/>
          <w:sz w:val="24"/>
          <w14:textFill>
            <w14:solidFill>
              <w14:schemeClr w14:val="tx1"/>
            </w14:solidFill>
          </w14:textFill>
        </w:rPr>
        <w:t>至</w:t>
      </w:r>
      <w:r>
        <w:rPr>
          <w:rFonts w:hint="eastAsia" w:asciiTheme="minorEastAsia" w:hAnsiTheme="minorEastAsia" w:eastAsiaTheme="minorEastAsia" w:cstheme="minorEastAsia"/>
          <w:color w:val="000000" w:themeColor="text1"/>
          <w:sz w:val="24"/>
          <w:u w:val="single"/>
          <w14:textFill>
            <w14:solidFill>
              <w14:schemeClr w14:val="tx1"/>
            </w14:solidFill>
          </w14:textFill>
        </w:rPr>
        <w:t>12:00</w:t>
      </w:r>
      <w:r>
        <w:rPr>
          <w:rFonts w:hint="eastAsia" w:asciiTheme="minorEastAsia" w:hAnsiTheme="minorEastAsia" w:eastAsiaTheme="minorEastAsia" w:cstheme="minorEastAsia"/>
          <w:color w:val="000000" w:themeColor="text1"/>
          <w:sz w:val="24"/>
          <w14:textFill>
            <w14:solidFill>
              <w14:schemeClr w14:val="tx1"/>
            </w14:solidFill>
          </w14:textFill>
        </w:rPr>
        <w:t>，下午</w:t>
      </w:r>
      <w:r>
        <w:rPr>
          <w:rFonts w:hint="eastAsia" w:asciiTheme="minorEastAsia" w:hAnsiTheme="minorEastAsia" w:eastAsiaTheme="minorEastAsia" w:cstheme="minorEastAsia"/>
          <w:color w:val="000000" w:themeColor="text1"/>
          <w:sz w:val="24"/>
          <w:u w:val="single"/>
          <w14:textFill>
            <w14:solidFill>
              <w14:schemeClr w14:val="tx1"/>
            </w14:solidFill>
          </w14:textFill>
        </w:rPr>
        <w:t>14:30</w:t>
      </w:r>
      <w:r>
        <w:rPr>
          <w:rFonts w:hint="eastAsia" w:asciiTheme="minorEastAsia" w:hAnsiTheme="minorEastAsia" w:eastAsiaTheme="minorEastAsia" w:cstheme="minorEastAsia"/>
          <w:color w:val="000000" w:themeColor="text1"/>
          <w:sz w:val="24"/>
          <w14:textFill>
            <w14:solidFill>
              <w14:schemeClr w14:val="tx1"/>
            </w14:solidFill>
          </w14:textFill>
        </w:rPr>
        <w:t>至</w:t>
      </w:r>
      <w:r>
        <w:rPr>
          <w:rFonts w:hint="eastAsia" w:asciiTheme="minorEastAsia" w:hAnsiTheme="minorEastAsia" w:eastAsiaTheme="minorEastAsia" w:cstheme="minorEastAsia"/>
          <w:color w:val="000000" w:themeColor="text1"/>
          <w:sz w:val="24"/>
          <w:u w:val="single"/>
          <w14:textFill>
            <w14:solidFill>
              <w14:schemeClr w14:val="tx1"/>
            </w14:solidFill>
          </w14:textFill>
        </w:rPr>
        <w:t>17：30</w:t>
      </w:r>
      <w:r>
        <w:rPr>
          <w:rFonts w:hint="eastAsia" w:asciiTheme="minorEastAsia" w:hAnsiTheme="minorEastAsia" w:eastAsiaTheme="minorEastAsia" w:cstheme="minorEastAsia"/>
          <w:color w:val="000000" w:themeColor="text1"/>
          <w:sz w:val="24"/>
          <w14:textFill>
            <w14:solidFill>
              <w14:schemeClr w14:val="tx1"/>
            </w14:solidFill>
          </w14:textFill>
        </w:rPr>
        <w:t>（北京时间，法定节假日除外）；</w:t>
      </w:r>
    </w:p>
    <w:p w14:paraId="7FF0034A">
      <w:pPr>
        <w:spacing w:line="360" w:lineRule="auto"/>
        <w:ind w:firstLine="540"/>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地点：海口市美兰区大英山东一路8号国瑞城名仕苑4号楼2单元2层201房；</w:t>
      </w:r>
    </w:p>
    <w:p w14:paraId="35BB2C36">
      <w:pPr>
        <w:spacing w:line="360" w:lineRule="auto"/>
        <w:ind w:firstLine="540"/>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方式：现场获取，获取竞争性磋商文件时必须出示介绍信/授权书（格式自拟）原件（含法定代表人及被委托人复印件加盖公章）；</w:t>
      </w:r>
    </w:p>
    <w:p w14:paraId="689BF70B">
      <w:pPr>
        <w:spacing w:line="360" w:lineRule="auto"/>
        <w:ind w:firstLine="54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售价：磋商文件每套售价500.00 元（售后不退）。</w:t>
      </w:r>
    </w:p>
    <w:p w14:paraId="4261629F">
      <w:pPr>
        <w:pStyle w:val="3"/>
        <w:ind w:firstLine="482" w:firstLineChars="200"/>
        <w:rPr>
          <w:rFonts w:hint="eastAsia" w:asciiTheme="minorEastAsia" w:hAnsiTheme="minorEastAsia" w:eastAsiaTheme="minorEastAsia" w:cstheme="minorEastAsia"/>
          <w:bCs w:val="0"/>
          <w:color w:val="000000" w:themeColor="text1"/>
          <w:sz w:val="24"/>
          <w:szCs w:val="24"/>
          <w14:textFill>
            <w14:solidFill>
              <w14:schemeClr w14:val="tx1"/>
            </w14:solidFill>
          </w14:textFill>
        </w:rPr>
      </w:pPr>
      <w:bookmarkStart w:id="29" w:name="_Toc28359015"/>
      <w:bookmarkStart w:id="30" w:name="_Toc28359092"/>
      <w:bookmarkStart w:id="31" w:name="_Toc21967"/>
      <w:bookmarkStart w:id="32" w:name="_Toc35393632"/>
      <w:bookmarkStart w:id="33" w:name="_Toc35393801"/>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四、响应文件提交</w:t>
      </w:r>
      <w:bookmarkEnd w:id="29"/>
      <w:bookmarkEnd w:id="30"/>
      <w:bookmarkEnd w:id="31"/>
      <w:bookmarkEnd w:id="32"/>
      <w:bookmarkEnd w:id="33"/>
    </w:p>
    <w:p w14:paraId="2D1150BE">
      <w:pPr>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截止时间：</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2024年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点</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分</w:t>
      </w:r>
      <w:r>
        <w:rPr>
          <w:rFonts w:hint="eastAsia" w:asciiTheme="minorEastAsia" w:hAnsiTheme="minorEastAsia" w:eastAsiaTheme="minorEastAsia" w:cstheme="minorEastAsia"/>
          <w:bCs/>
          <w:color w:val="000000" w:themeColor="text1"/>
          <w:sz w:val="24"/>
          <w14:textFill>
            <w14:solidFill>
              <w14:schemeClr w14:val="tx1"/>
            </w14:solidFill>
          </w14:textFill>
        </w:rPr>
        <w:t>（北京时间）；</w:t>
      </w:r>
    </w:p>
    <w:p w14:paraId="0C5360D8">
      <w:pPr>
        <w:spacing w:line="360" w:lineRule="auto"/>
        <w:ind w:firstLine="480" w:firstLineChars="200"/>
        <w:rPr>
          <w:rFonts w:hint="eastAsia" w:asciiTheme="minorEastAsia" w:hAnsiTheme="minorEastAsia" w:eastAsiaTheme="minorEastAsia" w:cstheme="minorEastAsia"/>
          <w:bCs/>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地点：</w:t>
      </w:r>
      <w:r>
        <w:rPr>
          <w:rFonts w:hint="eastAsia" w:ascii="宋体" w:hAnsi="宋体" w:cs="宋体"/>
          <w:sz w:val="24"/>
          <w:shd w:val="clear" w:color="auto" w:fill="FFFFFF"/>
          <w:lang w:bidi="ar"/>
        </w:rPr>
        <w:t>海口市美兰区蓝天路51号京航大酒店5楼开标室</w:t>
      </w:r>
      <w:r>
        <w:rPr>
          <w:rFonts w:hint="eastAsia" w:ascii="宋体" w:hAnsi="宋体" w:cs="宋体" w:eastAsiaTheme="minorEastAsia"/>
          <w:sz w:val="24"/>
          <w:shd w:val="clear" w:color="auto" w:fill="FFFFFF"/>
          <w:lang w:val="en-US" w:eastAsia="zh-CN" w:bidi="ar"/>
        </w:rPr>
        <w:t>5</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75B6ED72">
      <w:pPr>
        <w:pStyle w:val="3"/>
        <w:ind w:firstLine="482" w:firstLineChars="200"/>
        <w:rPr>
          <w:rFonts w:hint="eastAsia" w:asciiTheme="minorEastAsia" w:hAnsiTheme="minorEastAsia" w:eastAsiaTheme="minorEastAsia" w:cstheme="minorEastAsia"/>
          <w:bCs w:val="0"/>
          <w:color w:val="000000" w:themeColor="text1"/>
          <w:sz w:val="24"/>
          <w:szCs w:val="24"/>
          <w14:textFill>
            <w14:solidFill>
              <w14:schemeClr w14:val="tx1"/>
            </w14:solidFill>
          </w14:textFill>
        </w:rPr>
      </w:pPr>
      <w:bookmarkStart w:id="34" w:name="_Toc28359016"/>
      <w:bookmarkStart w:id="35" w:name="_Toc28359093"/>
      <w:bookmarkStart w:id="36" w:name="_Toc35393802"/>
      <w:bookmarkStart w:id="37" w:name="_Toc29747"/>
      <w:bookmarkStart w:id="38" w:name="_Toc35393633"/>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五、开启</w:t>
      </w:r>
      <w:bookmarkEnd w:id="34"/>
      <w:bookmarkEnd w:id="35"/>
      <w:bookmarkEnd w:id="36"/>
      <w:bookmarkEnd w:id="37"/>
      <w:bookmarkEnd w:id="38"/>
    </w:p>
    <w:p w14:paraId="05C02A59">
      <w:pPr>
        <w:spacing w:line="360" w:lineRule="auto"/>
        <w:ind w:firstLine="480" w:firstLineChars="200"/>
        <w:rPr>
          <w:rFonts w:hint="eastAsia" w:asciiTheme="minorEastAsia" w:hAnsiTheme="minorEastAsia" w:eastAsiaTheme="minorEastAsia" w:cstheme="minorEastAsia"/>
          <w:bCs/>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时间：</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2024年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点</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分</w:t>
      </w:r>
      <w:r>
        <w:rPr>
          <w:rFonts w:hint="eastAsia" w:asciiTheme="minorEastAsia" w:hAnsiTheme="minorEastAsia" w:eastAsiaTheme="minorEastAsia" w:cstheme="minorEastAsia"/>
          <w:bCs/>
          <w:color w:val="000000" w:themeColor="text1"/>
          <w:sz w:val="24"/>
          <w14:textFill>
            <w14:solidFill>
              <w14:schemeClr w14:val="tx1"/>
            </w14:solidFill>
          </w14:textFill>
        </w:rPr>
        <w:t>（北京时间）</w:t>
      </w:r>
    </w:p>
    <w:p w14:paraId="38255C98">
      <w:pPr>
        <w:spacing w:line="360" w:lineRule="auto"/>
        <w:ind w:firstLine="480" w:firstLineChars="200"/>
        <w:rPr>
          <w:rFonts w:hint="eastAsia" w:asciiTheme="minorEastAsia" w:hAnsiTheme="minorEastAsia" w:eastAsiaTheme="minorEastAsia" w:cstheme="minorEastAsia"/>
          <w:bCs/>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地点：</w:t>
      </w:r>
      <w:r>
        <w:rPr>
          <w:rFonts w:hint="eastAsia" w:ascii="宋体" w:hAnsi="宋体" w:cs="宋体"/>
          <w:sz w:val="24"/>
          <w:shd w:val="clear" w:color="auto" w:fill="FFFFFF"/>
          <w:lang w:bidi="ar"/>
        </w:rPr>
        <w:t>海口市美兰区蓝天路51号京航大酒店5楼开标室</w:t>
      </w:r>
      <w:r>
        <w:rPr>
          <w:rFonts w:hint="eastAsia" w:ascii="宋体" w:hAnsi="宋体" w:cs="宋体" w:eastAsiaTheme="minorEastAsia"/>
          <w:sz w:val="24"/>
          <w:shd w:val="clear" w:color="auto" w:fill="FFFFFF"/>
          <w:lang w:val="en-US" w:eastAsia="zh-CN" w:bidi="ar"/>
        </w:rPr>
        <w:t>5</w:t>
      </w:r>
      <w:bookmarkStart w:id="270" w:name="_GoBack"/>
      <w:bookmarkEnd w:id="270"/>
      <w:r>
        <w:rPr>
          <w:rFonts w:hint="eastAsia" w:asciiTheme="minorEastAsia" w:hAnsiTheme="minorEastAsia" w:eastAsiaTheme="minorEastAsia" w:cstheme="minorEastAsia"/>
          <w:color w:val="000000" w:themeColor="text1"/>
          <w:sz w:val="24"/>
          <w14:textFill>
            <w14:solidFill>
              <w14:schemeClr w14:val="tx1"/>
            </w14:solidFill>
          </w14:textFill>
        </w:rPr>
        <w:t>。</w:t>
      </w:r>
    </w:p>
    <w:p w14:paraId="0C5DF8E8">
      <w:pPr>
        <w:pStyle w:val="3"/>
        <w:ind w:firstLine="482" w:firstLineChars="200"/>
        <w:rPr>
          <w:rFonts w:hint="eastAsia" w:asciiTheme="minorEastAsia" w:hAnsiTheme="minorEastAsia" w:eastAsiaTheme="minorEastAsia" w:cstheme="minorEastAsia"/>
          <w:bCs w:val="0"/>
          <w:color w:val="000000" w:themeColor="text1"/>
          <w:sz w:val="24"/>
          <w:szCs w:val="24"/>
          <w14:textFill>
            <w14:solidFill>
              <w14:schemeClr w14:val="tx1"/>
            </w14:solidFill>
          </w14:textFill>
        </w:rPr>
      </w:pPr>
      <w:bookmarkStart w:id="39" w:name="_Toc35393803"/>
      <w:bookmarkStart w:id="40" w:name="_Toc28359094"/>
      <w:bookmarkStart w:id="41" w:name="_Toc12846"/>
      <w:bookmarkStart w:id="42" w:name="_Toc35393634"/>
      <w:bookmarkStart w:id="43" w:name="_Toc28359017"/>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六、公告期限</w:t>
      </w:r>
      <w:bookmarkEnd w:id="39"/>
      <w:bookmarkEnd w:id="40"/>
      <w:bookmarkEnd w:id="41"/>
      <w:bookmarkEnd w:id="42"/>
      <w:bookmarkEnd w:id="43"/>
    </w:p>
    <w:p w14:paraId="0C228CEA">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自本公告发布之日起5个工作日。</w:t>
      </w:r>
      <w:bookmarkStart w:id="44" w:name="_Toc35393804"/>
      <w:bookmarkStart w:id="45" w:name="_Toc35393635"/>
    </w:p>
    <w:p w14:paraId="24849C11">
      <w:pPr>
        <w:pStyle w:val="3"/>
        <w:ind w:firstLine="482" w:firstLineChars="200"/>
        <w:rPr>
          <w:rFonts w:hint="eastAsia" w:asciiTheme="minorEastAsia" w:hAnsiTheme="minorEastAsia" w:eastAsiaTheme="minorEastAsia" w:cstheme="minorEastAsia"/>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七、其他补充事宜</w:t>
      </w:r>
      <w:bookmarkEnd w:id="44"/>
      <w:bookmarkEnd w:id="45"/>
    </w:p>
    <w:p w14:paraId="0E63EE5A">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1、逾期送达的或者未送达指定地点的响应文件，采购人不予受理；</w:t>
      </w:r>
    </w:p>
    <w:p w14:paraId="2ABBB2B0">
      <w:pPr>
        <w:spacing w:line="360" w:lineRule="auto"/>
        <w:ind w:firstLine="480" w:firstLineChars="20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2、公告发布媒介：本次公告在本次公告在中国政府采购网（http://www.ccgp.gov.cn/）、海南省政府采购协会（http://www.hnzfcgxh.com/）上发布。</w:t>
      </w:r>
    </w:p>
    <w:p w14:paraId="7DC2C20E">
      <w:pPr>
        <w:pStyle w:val="3"/>
        <w:ind w:firstLine="482" w:firstLineChars="200"/>
        <w:rPr>
          <w:rFonts w:hint="eastAsia" w:asciiTheme="minorEastAsia" w:hAnsiTheme="minorEastAsia" w:eastAsiaTheme="minorEastAsia" w:cstheme="minorEastAsia"/>
          <w:bCs w:val="0"/>
          <w:color w:val="000000" w:themeColor="text1"/>
          <w:sz w:val="24"/>
          <w:szCs w:val="24"/>
          <w14:textFill>
            <w14:solidFill>
              <w14:schemeClr w14:val="tx1"/>
            </w14:solidFill>
          </w14:textFill>
        </w:rPr>
      </w:pPr>
      <w:bookmarkStart w:id="46" w:name="_Toc21627"/>
      <w:bookmarkStart w:id="47" w:name="_Toc35393636"/>
      <w:bookmarkStart w:id="48" w:name="_Toc35393805"/>
      <w:bookmarkStart w:id="49" w:name="_Toc28359095"/>
      <w:bookmarkStart w:id="50" w:name="_Toc28359018"/>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八、凡对本次采购提出询问，请按以下方式联系</w:t>
      </w:r>
      <w:bookmarkEnd w:id="46"/>
      <w:bookmarkEnd w:id="47"/>
      <w:bookmarkEnd w:id="48"/>
      <w:bookmarkEnd w:id="49"/>
      <w:bookmarkEnd w:id="50"/>
    </w:p>
    <w:p w14:paraId="339B952A">
      <w:pPr>
        <w:pStyle w:val="46"/>
        <w:ind w:firstLine="723" w:firstLineChars="300"/>
        <w:rPr>
          <w:b/>
          <w:bCs/>
        </w:rPr>
      </w:pPr>
      <w:bookmarkStart w:id="51" w:name="_Toc35393806"/>
      <w:bookmarkStart w:id="52" w:name="_Toc8650"/>
      <w:bookmarkStart w:id="53" w:name="_Toc28359096"/>
      <w:bookmarkStart w:id="54" w:name="_Toc28359019"/>
      <w:bookmarkStart w:id="55" w:name="_Toc35393637"/>
      <w:r>
        <w:rPr>
          <w:rFonts w:hint="eastAsia"/>
          <w:b/>
          <w:bCs/>
        </w:rPr>
        <w:t>1.采购人信息</w:t>
      </w:r>
      <w:bookmarkEnd w:id="51"/>
      <w:bookmarkEnd w:id="52"/>
      <w:bookmarkEnd w:id="53"/>
      <w:bookmarkEnd w:id="54"/>
      <w:bookmarkEnd w:id="55"/>
    </w:p>
    <w:p w14:paraId="72B62C52">
      <w:pPr>
        <w:spacing w:line="360" w:lineRule="auto"/>
        <w:ind w:left="1079" w:leftChars="371" w:hanging="300" w:hangingChars="1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名    称：</w:t>
      </w:r>
      <w:bookmarkStart w:id="56" w:name="OLE_LINK2"/>
      <w:r>
        <w:rPr>
          <w:rFonts w:hint="eastAsia" w:asciiTheme="minorEastAsia" w:hAnsiTheme="minorEastAsia" w:eastAsiaTheme="minorEastAsia" w:cstheme="minorEastAsia"/>
          <w:color w:val="000000" w:themeColor="text1"/>
          <w:sz w:val="24"/>
          <w14:textFill>
            <w14:solidFill>
              <w14:schemeClr w14:val="tx1"/>
            </w14:solidFill>
          </w14:textFill>
        </w:rPr>
        <w:t>乐东黎族自治县</w:t>
      </w:r>
      <w:bookmarkEnd w:id="56"/>
      <w:r>
        <w:rPr>
          <w:rFonts w:hint="eastAsia" w:asciiTheme="minorEastAsia" w:hAnsiTheme="minorEastAsia" w:eastAsiaTheme="minorEastAsia" w:cstheme="minorEastAsia"/>
          <w:color w:val="000000" w:themeColor="text1"/>
          <w:sz w:val="24"/>
          <w14:textFill>
            <w14:solidFill>
              <w14:schemeClr w14:val="tx1"/>
            </w14:solidFill>
          </w14:textFill>
        </w:rPr>
        <w:t>第二人民医院</w:t>
      </w:r>
    </w:p>
    <w:p w14:paraId="51CF2B3E">
      <w:pPr>
        <w:spacing w:line="360" w:lineRule="auto"/>
        <w:ind w:left="1079" w:leftChars="371" w:hanging="300" w:hangingChars="1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    址：乐东黎族自治县</w:t>
      </w:r>
    </w:p>
    <w:p w14:paraId="13BAC144">
      <w:pPr>
        <w:spacing w:line="360" w:lineRule="auto"/>
        <w:ind w:left="1079" w:leftChars="371" w:hanging="300" w:hangingChars="125"/>
        <w:rPr>
          <w:rFonts w:hint="eastAsia" w:eastAsia="宋体" w:asciiTheme="minorEastAsia" w:hAnsiTheme="minorEastAsia" w:cstheme="minorEastAsia"/>
          <w:sz w:val="24"/>
          <w:lang w:eastAsia="zh-CN"/>
        </w:rPr>
      </w:pPr>
      <w:bookmarkStart w:id="57" w:name="_Toc35393638"/>
      <w:bookmarkStart w:id="58" w:name="_Toc28359097"/>
      <w:bookmarkStart w:id="59" w:name="_Toc28359020"/>
      <w:bookmarkStart w:id="60" w:name="_Toc35393807"/>
      <w:bookmarkStart w:id="61" w:name="_Toc616"/>
      <w:r>
        <w:rPr>
          <w:rFonts w:hint="eastAsia" w:asciiTheme="minorEastAsia" w:hAnsiTheme="minorEastAsia" w:cstheme="minorEastAsia"/>
          <w:color w:val="000000" w:themeColor="text1"/>
          <w:sz w:val="24"/>
          <w14:textFill>
            <w14:solidFill>
              <w14:schemeClr w14:val="tx1"/>
            </w14:solidFill>
          </w14:textFill>
        </w:rPr>
        <w:t>联</w:t>
      </w:r>
      <w:r>
        <w:rPr>
          <w:rFonts w:hint="eastAsia" w:asciiTheme="minorEastAsia" w:hAnsiTheme="minorEastAsia" w:cstheme="minorEastAsia"/>
          <w:sz w:val="24"/>
        </w:rPr>
        <w:t xml:space="preserve"> 系 人：</w:t>
      </w:r>
      <w:r>
        <w:rPr>
          <w:rFonts w:hint="eastAsia" w:asciiTheme="minorEastAsia" w:hAnsiTheme="minorEastAsia" w:cstheme="minorEastAsia"/>
          <w:sz w:val="24"/>
          <w:lang w:eastAsia="zh-CN"/>
        </w:rPr>
        <w:t>孙女士</w:t>
      </w:r>
    </w:p>
    <w:p w14:paraId="7E951C13">
      <w:pPr>
        <w:spacing w:line="360" w:lineRule="auto"/>
        <w:ind w:left="1079" w:leftChars="371" w:hanging="300" w:hangingChars="125"/>
        <w:rPr>
          <w:rFonts w:hint="default" w:eastAsia="宋体" w:asciiTheme="minorEastAsia" w:hAnsiTheme="minorEastAsia" w:cstheme="minorEastAsia"/>
          <w:sz w:val="24"/>
          <w:lang w:val="en-US" w:eastAsia="zh-CN"/>
        </w:rPr>
      </w:pPr>
      <w:r>
        <w:rPr>
          <w:rFonts w:hint="eastAsia" w:asciiTheme="minorEastAsia" w:hAnsiTheme="minorEastAsia" w:cstheme="minorEastAsia"/>
          <w:sz w:val="24"/>
        </w:rPr>
        <w:t>电    话：</w:t>
      </w:r>
      <w:r>
        <w:rPr>
          <w:rFonts w:hint="eastAsia" w:asciiTheme="minorEastAsia" w:hAnsiTheme="minorEastAsia" w:cstheme="minorEastAsia"/>
          <w:sz w:val="24"/>
          <w:lang w:val="en-US" w:eastAsia="zh-CN"/>
        </w:rPr>
        <w:t>13006067990</w:t>
      </w:r>
    </w:p>
    <w:p w14:paraId="396304F5">
      <w:pPr>
        <w:pStyle w:val="46"/>
        <w:ind w:firstLine="723" w:firstLineChars="300"/>
        <w:rPr>
          <w:b/>
          <w:bCs/>
        </w:rPr>
      </w:pPr>
      <w:r>
        <w:rPr>
          <w:rFonts w:hint="eastAsia"/>
          <w:b/>
          <w:bCs/>
        </w:rPr>
        <w:t>2.采购代理机构信息（如有）</w:t>
      </w:r>
      <w:bookmarkEnd w:id="57"/>
      <w:bookmarkEnd w:id="58"/>
      <w:bookmarkEnd w:id="59"/>
      <w:bookmarkEnd w:id="60"/>
      <w:bookmarkEnd w:id="61"/>
    </w:p>
    <w:p w14:paraId="26C1EED1">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    称：海南建云项目管理有限公司</w:t>
      </w:r>
    </w:p>
    <w:p w14:paraId="78F38A29">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地址：海口市美兰区大英山东一路8号国瑞城名仕苑4号楼2单元2层201房</w:t>
      </w:r>
    </w:p>
    <w:p w14:paraId="3208369D">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 系 人：</w:t>
      </w:r>
      <w:r>
        <w:rPr>
          <w:rFonts w:hint="eastAsia" w:asciiTheme="minorEastAsia" w:hAnsiTheme="minorEastAsia" w:cstheme="minorEastAsia"/>
          <w:sz w:val="24"/>
        </w:rPr>
        <w:t>王</w:t>
      </w:r>
      <w:r>
        <w:rPr>
          <w:rFonts w:hint="eastAsia" w:asciiTheme="minorEastAsia" w:hAnsiTheme="minorEastAsia" w:eastAsiaTheme="minorEastAsia" w:cstheme="minorEastAsia"/>
          <w:sz w:val="24"/>
        </w:rPr>
        <w:t>工</w:t>
      </w:r>
    </w:p>
    <w:p w14:paraId="0023F849">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联系方式：0898-65819810 </w:t>
      </w:r>
    </w:p>
    <w:p w14:paraId="7EF8B46D">
      <w:pPr>
        <w:pStyle w:val="46"/>
        <w:ind w:firstLine="723" w:firstLineChars="300"/>
        <w:rPr>
          <w:b/>
          <w:bCs/>
        </w:rPr>
      </w:pPr>
      <w:bookmarkStart w:id="62" w:name="_Toc35393639"/>
      <w:bookmarkStart w:id="63" w:name="_Toc35393808"/>
      <w:bookmarkStart w:id="64" w:name="_Toc28359098"/>
      <w:bookmarkStart w:id="65" w:name="_Toc5986"/>
      <w:bookmarkStart w:id="66" w:name="_Toc28359021"/>
      <w:r>
        <w:rPr>
          <w:rFonts w:hint="eastAsia"/>
          <w:b/>
          <w:bCs/>
        </w:rPr>
        <w:t>3.项目联系方式</w:t>
      </w:r>
      <w:bookmarkEnd w:id="62"/>
      <w:bookmarkEnd w:id="63"/>
      <w:bookmarkEnd w:id="64"/>
      <w:bookmarkEnd w:id="65"/>
      <w:bookmarkEnd w:id="66"/>
    </w:p>
    <w:p w14:paraId="262EA460">
      <w:pPr>
        <w:pStyle w:val="12"/>
        <w:spacing w:line="360" w:lineRule="auto"/>
        <w:ind w:firstLine="720" w:firstLineChars="3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项目联系人：</w:t>
      </w:r>
      <w:r>
        <w:rPr>
          <w:rFonts w:hint="eastAsia" w:asciiTheme="minorEastAsia" w:hAnsiTheme="minorEastAsia" w:cstheme="minorEastAsia"/>
          <w:b w:val="0"/>
          <w:bCs/>
          <w:sz w:val="24"/>
          <w:szCs w:val="24"/>
        </w:rPr>
        <w:t>王</w:t>
      </w:r>
      <w:r>
        <w:rPr>
          <w:rFonts w:hint="eastAsia" w:asciiTheme="minorEastAsia" w:hAnsiTheme="minorEastAsia" w:eastAsiaTheme="minorEastAsia" w:cstheme="minorEastAsia"/>
          <w:b w:val="0"/>
          <w:bCs/>
          <w:sz w:val="24"/>
          <w:szCs w:val="24"/>
        </w:rPr>
        <w:t>工</w:t>
      </w:r>
    </w:p>
    <w:p w14:paraId="6664B297">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话：0898-65819810</w:t>
      </w:r>
    </w:p>
    <w:p w14:paraId="40244224">
      <w:r>
        <w:rPr>
          <w:rFonts w:hint="eastAsia"/>
        </w:rPr>
        <w:br w:type="page"/>
      </w:r>
    </w:p>
    <w:p w14:paraId="4A0A3F83">
      <w:pPr>
        <w:pStyle w:val="2"/>
      </w:pPr>
      <w:r>
        <w:rPr>
          <w:rFonts w:hint="eastAsia"/>
        </w:rPr>
        <w:t>第二部分  供应商须知</w:t>
      </w:r>
      <w:bookmarkEnd w:id="6"/>
      <w:bookmarkEnd w:id="7"/>
      <w:bookmarkEnd w:id="8"/>
      <w:bookmarkEnd w:id="9"/>
      <w:bookmarkEnd w:id="10"/>
    </w:p>
    <w:p w14:paraId="063355AB">
      <w:pPr>
        <w:pStyle w:val="3"/>
        <w:jc w:val="center"/>
        <w:rPr>
          <w:rFonts w:hint="eastAsia" w:cs="宋体"/>
          <w:szCs w:val="36"/>
        </w:rPr>
      </w:pPr>
      <w:bookmarkStart w:id="67" w:name="_Toc2620"/>
      <w:bookmarkStart w:id="68" w:name="_Toc30764"/>
      <w:bookmarkStart w:id="69" w:name="_Toc20746"/>
      <w:bookmarkStart w:id="70" w:name="_Toc19728"/>
      <w:r>
        <w:rPr>
          <w:rFonts w:hint="eastAsia"/>
        </w:rPr>
        <w:t>供应商须知前附表</w:t>
      </w:r>
      <w:bookmarkEnd w:id="67"/>
      <w:bookmarkEnd w:id="68"/>
      <w:bookmarkEnd w:id="69"/>
      <w:bookmarkEnd w:id="7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955"/>
        <w:gridCol w:w="5908"/>
      </w:tblGrid>
      <w:tr w14:paraId="2880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7A6A22C3">
            <w:pPr>
              <w:pStyle w:val="26"/>
              <w:spacing w:line="360" w:lineRule="auto"/>
              <w:ind w:left="-105" w:leftChars="-50" w:right="-105" w:rightChars="-50"/>
              <w:jc w:val="center"/>
              <w:rPr>
                <w:rFonts w:hint="eastAsia" w:ascii="宋体" w:hAnsi="宋体" w:cs="宋体"/>
                <w:b/>
                <w:sz w:val="24"/>
                <w:szCs w:val="24"/>
              </w:rPr>
            </w:pPr>
            <w:r>
              <w:rPr>
                <w:rFonts w:hint="eastAsia" w:ascii="宋体" w:hAnsi="宋体" w:cs="宋体"/>
                <w:b/>
                <w:sz w:val="24"/>
                <w:szCs w:val="24"/>
                <w:lang w:eastAsia="zh-CN"/>
              </w:rPr>
              <w:t>序</w:t>
            </w:r>
            <w:r>
              <w:rPr>
                <w:rFonts w:hint="eastAsia" w:ascii="宋体" w:hAnsi="宋体" w:cs="宋体"/>
                <w:b/>
                <w:sz w:val="24"/>
                <w:szCs w:val="24"/>
              </w:rPr>
              <w:t>号</w:t>
            </w:r>
          </w:p>
        </w:tc>
        <w:tc>
          <w:tcPr>
            <w:tcW w:w="1955" w:type="dxa"/>
            <w:noWrap/>
            <w:vAlign w:val="center"/>
          </w:tcPr>
          <w:p w14:paraId="54C48208">
            <w:pPr>
              <w:pStyle w:val="26"/>
              <w:spacing w:line="360" w:lineRule="auto"/>
              <w:jc w:val="center"/>
              <w:rPr>
                <w:rFonts w:hint="eastAsia" w:ascii="宋体" w:hAnsi="宋体" w:cs="宋体"/>
                <w:b/>
                <w:sz w:val="24"/>
                <w:szCs w:val="24"/>
                <w:lang w:eastAsia="zh-CN"/>
              </w:rPr>
            </w:pPr>
            <w:r>
              <w:rPr>
                <w:rFonts w:hint="eastAsia" w:ascii="宋体" w:hAnsi="宋体" w:cs="宋体"/>
                <w:b/>
                <w:sz w:val="24"/>
                <w:szCs w:val="24"/>
                <w:lang w:eastAsia="zh-CN"/>
              </w:rPr>
              <w:t>条款名称</w:t>
            </w:r>
          </w:p>
        </w:tc>
        <w:tc>
          <w:tcPr>
            <w:tcW w:w="5908" w:type="dxa"/>
            <w:noWrap/>
            <w:vAlign w:val="center"/>
          </w:tcPr>
          <w:p w14:paraId="11BD5C07">
            <w:pPr>
              <w:pStyle w:val="26"/>
              <w:spacing w:line="360" w:lineRule="auto"/>
              <w:jc w:val="center"/>
              <w:rPr>
                <w:rFonts w:hint="eastAsia" w:ascii="宋体" w:hAnsi="宋体" w:cs="宋体"/>
                <w:b/>
                <w:sz w:val="24"/>
                <w:szCs w:val="24"/>
              </w:rPr>
            </w:pPr>
            <w:r>
              <w:rPr>
                <w:rFonts w:hint="eastAsia" w:ascii="宋体" w:hAnsi="宋体" w:cs="宋体"/>
                <w:b/>
                <w:sz w:val="24"/>
                <w:szCs w:val="24"/>
                <w:lang w:eastAsia="zh-CN"/>
              </w:rPr>
              <w:t>编列</w:t>
            </w:r>
            <w:r>
              <w:rPr>
                <w:rFonts w:hint="eastAsia" w:ascii="宋体" w:hAnsi="宋体" w:cs="宋体"/>
                <w:b/>
                <w:sz w:val="24"/>
                <w:szCs w:val="24"/>
              </w:rPr>
              <w:t>内容</w:t>
            </w:r>
          </w:p>
        </w:tc>
      </w:tr>
      <w:tr w14:paraId="2FCE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5A4A94C9">
            <w:pPr>
              <w:pStyle w:val="26"/>
              <w:spacing w:line="360" w:lineRule="auto"/>
              <w:jc w:val="center"/>
              <w:rPr>
                <w:rFonts w:hint="eastAsia" w:ascii="宋体" w:hAnsi="宋体" w:cs="宋体"/>
                <w:sz w:val="24"/>
                <w:szCs w:val="24"/>
              </w:rPr>
            </w:pPr>
            <w:r>
              <w:rPr>
                <w:rFonts w:hint="eastAsia" w:ascii="宋体" w:hAnsi="宋体" w:cs="宋体"/>
                <w:sz w:val="24"/>
                <w:szCs w:val="24"/>
              </w:rPr>
              <w:t>1</w:t>
            </w:r>
          </w:p>
        </w:tc>
        <w:tc>
          <w:tcPr>
            <w:tcW w:w="1955" w:type="dxa"/>
            <w:noWrap/>
            <w:vAlign w:val="center"/>
          </w:tcPr>
          <w:p w14:paraId="7A3ACEEA">
            <w:pPr>
              <w:pStyle w:val="26"/>
              <w:spacing w:line="360" w:lineRule="auto"/>
              <w:jc w:val="center"/>
              <w:rPr>
                <w:rFonts w:hint="eastAsia" w:ascii="宋体" w:hAnsi="宋体" w:cs="宋体"/>
                <w:sz w:val="24"/>
                <w:szCs w:val="24"/>
              </w:rPr>
            </w:pPr>
            <w:r>
              <w:rPr>
                <w:rFonts w:hint="eastAsia" w:ascii="宋体" w:hAnsi="宋体" w:cs="宋体"/>
                <w:sz w:val="24"/>
                <w:szCs w:val="24"/>
              </w:rPr>
              <w:t>项目名称</w:t>
            </w:r>
          </w:p>
        </w:tc>
        <w:tc>
          <w:tcPr>
            <w:tcW w:w="5908" w:type="dxa"/>
            <w:noWrap/>
            <w:vAlign w:val="center"/>
          </w:tcPr>
          <w:p w14:paraId="3D20D66D">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2024年医疗机构责任保险服务项目</w:t>
            </w:r>
          </w:p>
        </w:tc>
      </w:tr>
      <w:tr w14:paraId="2877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4" w:type="dxa"/>
            <w:noWrap/>
            <w:vAlign w:val="center"/>
          </w:tcPr>
          <w:p w14:paraId="310D2CA3">
            <w:pPr>
              <w:pStyle w:val="26"/>
              <w:spacing w:line="360" w:lineRule="auto"/>
              <w:jc w:val="center"/>
              <w:rPr>
                <w:rFonts w:hint="eastAsia" w:ascii="宋体" w:hAnsi="宋体" w:cs="宋体"/>
                <w:sz w:val="24"/>
                <w:szCs w:val="24"/>
              </w:rPr>
            </w:pPr>
            <w:r>
              <w:rPr>
                <w:rFonts w:hint="eastAsia" w:ascii="宋体" w:hAnsi="宋体" w:cs="宋体"/>
                <w:sz w:val="24"/>
                <w:szCs w:val="24"/>
              </w:rPr>
              <w:t>2</w:t>
            </w:r>
          </w:p>
        </w:tc>
        <w:tc>
          <w:tcPr>
            <w:tcW w:w="1955" w:type="dxa"/>
            <w:noWrap/>
            <w:vAlign w:val="center"/>
          </w:tcPr>
          <w:p w14:paraId="61762C20">
            <w:pPr>
              <w:pStyle w:val="26"/>
              <w:spacing w:line="360" w:lineRule="auto"/>
              <w:jc w:val="center"/>
              <w:rPr>
                <w:rFonts w:hint="eastAsia" w:ascii="宋体" w:hAnsi="宋体" w:cs="宋体"/>
                <w:sz w:val="24"/>
                <w:szCs w:val="24"/>
              </w:rPr>
            </w:pPr>
            <w:r>
              <w:rPr>
                <w:rFonts w:hint="eastAsia" w:ascii="宋体" w:hAnsi="宋体" w:cs="宋体"/>
                <w:sz w:val="24"/>
                <w:szCs w:val="24"/>
              </w:rPr>
              <w:t>项目编号</w:t>
            </w:r>
          </w:p>
        </w:tc>
        <w:tc>
          <w:tcPr>
            <w:tcW w:w="5908" w:type="dxa"/>
            <w:noWrap/>
            <w:vAlign w:val="center"/>
          </w:tcPr>
          <w:p w14:paraId="0D87A956">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HNJY2024【118】</w:t>
            </w:r>
          </w:p>
        </w:tc>
      </w:tr>
      <w:tr w14:paraId="64D2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04" w:type="dxa"/>
            <w:noWrap/>
            <w:vAlign w:val="center"/>
          </w:tcPr>
          <w:p w14:paraId="1D319CD4">
            <w:pPr>
              <w:pStyle w:val="26"/>
              <w:spacing w:line="360" w:lineRule="auto"/>
              <w:jc w:val="center"/>
              <w:rPr>
                <w:rFonts w:hint="eastAsia" w:ascii="宋体" w:hAnsi="宋体" w:cs="宋体"/>
                <w:sz w:val="24"/>
                <w:szCs w:val="24"/>
              </w:rPr>
            </w:pPr>
            <w:r>
              <w:rPr>
                <w:rFonts w:hint="eastAsia" w:ascii="宋体" w:hAnsi="宋体" w:cs="宋体"/>
                <w:sz w:val="24"/>
                <w:szCs w:val="24"/>
              </w:rPr>
              <w:t>3</w:t>
            </w:r>
          </w:p>
        </w:tc>
        <w:tc>
          <w:tcPr>
            <w:tcW w:w="1955" w:type="dxa"/>
            <w:noWrap/>
            <w:vAlign w:val="center"/>
          </w:tcPr>
          <w:p w14:paraId="135A4038">
            <w:pPr>
              <w:pStyle w:val="26"/>
              <w:spacing w:line="360" w:lineRule="auto"/>
              <w:jc w:val="center"/>
              <w:rPr>
                <w:rFonts w:hint="eastAsia" w:ascii="宋体" w:hAnsi="宋体" w:cs="宋体"/>
                <w:sz w:val="24"/>
                <w:szCs w:val="24"/>
              </w:rPr>
            </w:pPr>
            <w:r>
              <w:rPr>
                <w:rFonts w:hint="eastAsia" w:ascii="宋体" w:hAnsi="宋体" w:cs="宋体"/>
                <w:sz w:val="24"/>
                <w:szCs w:val="24"/>
              </w:rPr>
              <w:t>采购人</w:t>
            </w:r>
          </w:p>
        </w:tc>
        <w:tc>
          <w:tcPr>
            <w:tcW w:w="5908" w:type="dxa"/>
            <w:noWrap/>
            <w:vAlign w:val="center"/>
          </w:tcPr>
          <w:p w14:paraId="085E5799">
            <w:pPr>
              <w:pStyle w:val="26"/>
              <w:adjustRightInd w:val="0"/>
              <w:snapToGrid w:val="0"/>
              <w:spacing w:line="360" w:lineRule="auto"/>
              <w:rPr>
                <w:rFonts w:hint="eastAsia" w:ascii="宋体" w:hAnsi="宋体" w:cs="宋体"/>
                <w:sz w:val="24"/>
                <w:szCs w:val="24"/>
                <w:lang w:eastAsia="zh-CN"/>
              </w:rPr>
            </w:pPr>
            <w:r>
              <w:rPr>
                <w:rFonts w:hint="eastAsia" w:ascii="宋体" w:hAnsi="宋体" w:cs="宋体"/>
                <w:sz w:val="24"/>
                <w:szCs w:val="24"/>
                <w:lang w:eastAsia="zh-CN"/>
              </w:rPr>
              <w:t>名称：乐东黎族自治县第二人民医院</w:t>
            </w:r>
          </w:p>
          <w:p w14:paraId="2653455A">
            <w:pPr>
              <w:spacing w:line="360" w:lineRule="auto"/>
              <w:rPr>
                <w:rFonts w:hint="eastAsia" w:ascii="宋体" w:hAnsi="宋体" w:eastAsia="宋体" w:cs="宋体"/>
                <w:sz w:val="24"/>
                <w:lang w:eastAsia="zh-CN"/>
              </w:rPr>
            </w:pPr>
            <w:r>
              <w:rPr>
                <w:rFonts w:hint="eastAsia" w:ascii="宋体" w:hAnsi="宋体" w:cs="宋体"/>
                <w:sz w:val="24"/>
              </w:rPr>
              <w:t>联 系 人：</w:t>
            </w:r>
            <w:r>
              <w:rPr>
                <w:rFonts w:hint="eastAsia" w:ascii="宋体" w:hAnsi="宋体" w:cs="宋体"/>
                <w:sz w:val="24"/>
                <w:lang w:eastAsia="zh-CN"/>
              </w:rPr>
              <w:t>孙女士</w:t>
            </w:r>
          </w:p>
          <w:p w14:paraId="63984D15">
            <w:pPr>
              <w:spacing w:line="360" w:lineRule="auto"/>
              <w:rPr>
                <w:rFonts w:hint="eastAsia" w:ascii="宋体" w:hAnsi="宋体" w:cs="宋体"/>
                <w:sz w:val="24"/>
              </w:rPr>
            </w:pPr>
            <w:r>
              <w:rPr>
                <w:rFonts w:hint="eastAsia" w:ascii="宋体" w:hAnsi="宋体" w:cs="宋体"/>
                <w:sz w:val="24"/>
              </w:rPr>
              <w:t>电    话：13006067990</w:t>
            </w:r>
          </w:p>
        </w:tc>
      </w:tr>
      <w:tr w14:paraId="4246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6A0CF909">
            <w:pPr>
              <w:pStyle w:val="26"/>
              <w:spacing w:line="360" w:lineRule="auto"/>
              <w:jc w:val="center"/>
              <w:rPr>
                <w:rFonts w:hint="eastAsia" w:ascii="宋体" w:hAnsi="宋体" w:cs="宋体"/>
                <w:sz w:val="24"/>
                <w:szCs w:val="24"/>
              </w:rPr>
            </w:pPr>
            <w:r>
              <w:rPr>
                <w:rFonts w:hint="eastAsia" w:ascii="宋体" w:hAnsi="宋体" w:cs="宋体"/>
                <w:sz w:val="24"/>
                <w:szCs w:val="24"/>
              </w:rPr>
              <w:t>4</w:t>
            </w:r>
          </w:p>
        </w:tc>
        <w:tc>
          <w:tcPr>
            <w:tcW w:w="1955" w:type="dxa"/>
            <w:noWrap/>
            <w:vAlign w:val="center"/>
          </w:tcPr>
          <w:p w14:paraId="0EBAB1B4">
            <w:pPr>
              <w:pStyle w:val="26"/>
              <w:adjustRightInd w:val="0"/>
              <w:snapToGrid w:val="0"/>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代理机构</w:t>
            </w:r>
          </w:p>
        </w:tc>
        <w:tc>
          <w:tcPr>
            <w:tcW w:w="5908" w:type="dxa"/>
            <w:noWrap/>
            <w:vAlign w:val="center"/>
          </w:tcPr>
          <w:p w14:paraId="2B3FFB4B">
            <w:pPr>
              <w:pStyle w:val="26"/>
              <w:adjustRightInd w:val="0"/>
              <w:snapToGrid w:val="0"/>
              <w:spacing w:line="360" w:lineRule="auto"/>
              <w:rPr>
                <w:rFonts w:hint="eastAsia" w:ascii="宋体" w:hAnsi="宋体" w:cs="宋体"/>
                <w:sz w:val="24"/>
                <w:szCs w:val="24"/>
                <w:lang w:eastAsia="zh-CN"/>
              </w:rPr>
            </w:pPr>
            <w:r>
              <w:rPr>
                <w:rFonts w:hint="eastAsia" w:ascii="宋体" w:hAnsi="宋体" w:cs="宋体"/>
                <w:sz w:val="24"/>
                <w:szCs w:val="24"/>
                <w:lang w:eastAsia="zh-CN"/>
              </w:rPr>
              <w:t>名称：海南建云项目管理有限公司</w:t>
            </w:r>
          </w:p>
          <w:p w14:paraId="509828DD">
            <w:pPr>
              <w:pStyle w:val="26"/>
              <w:adjustRightInd w:val="0"/>
              <w:snapToGrid w:val="0"/>
              <w:spacing w:line="360" w:lineRule="auto"/>
              <w:rPr>
                <w:rFonts w:hint="eastAsia" w:ascii="宋体" w:hAnsi="宋体" w:cs="宋体"/>
                <w:sz w:val="24"/>
                <w:szCs w:val="24"/>
                <w:lang w:eastAsia="zh-CN"/>
              </w:rPr>
            </w:pPr>
            <w:r>
              <w:rPr>
                <w:rFonts w:hint="eastAsia" w:ascii="宋体" w:hAnsi="宋体" w:cs="宋体"/>
                <w:sz w:val="24"/>
                <w:szCs w:val="24"/>
                <w:lang w:eastAsia="zh-CN"/>
              </w:rPr>
              <w:t>联系人：王工</w:t>
            </w:r>
          </w:p>
          <w:p w14:paraId="78647E19">
            <w:pPr>
              <w:pStyle w:val="26"/>
              <w:adjustRightInd w:val="0"/>
              <w:snapToGrid w:val="0"/>
              <w:spacing w:line="360" w:lineRule="auto"/>
              <w:rPr>
                <w:rFonts w:hint="eastAsia" w:ascii="宋体" w:hAnsi="宋体" w:cs="宋体"/>
                <w:sz w:val="24"/>
                <w:szCs w:val="24"/>
                <w:lang w:eastAsia="zh-CN"/>
              </w:rPr>
            </w:pPr>
            <w:r>
              <w:rPr>
                <w:rFonts w:hint="eastAsia" w:ascii="宋体" w:hAnsi="宋体" w:cs="宋体"/>
                <w:sz w:val="24"/>
                <w:szCs w:val="24"/>
                <w:lang w:eastAsia="zh-CN"/>
              </w:rPr>
              <w:t>电话：0898-65819810</w:t>
            </w:r>
          </w:p>
        </w:tc>
      </w:tr>
      <w:tr w14:paraId="36C1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25C79B07">
            <w:pPr>
              <w:pStyle w:val="26"/>
              <w:spacing w:line="360" w:lineRule="auto"/>
              <w:jc w:val="center"/>
              <w:rPr>
                <w:rFonts w:hint="eastAsia" w:ascii="宋体" w:hAnsi="宋体" w:cs="宋体"/>
                <w:sz w:val="24"/>
                <w:szCs w:val="24"/>
              </w:rPr>
            </w:pPr>
            <w:r>
              <w:rPr>
                <w:rFonts w:hint="eastAsia" w:ascii="宋体" w:hAnsi="宋体" w:cs="宋体"/>
                <w:sz w:val="24"/>
                <w:szCs w:val="24"/>
              </w:rPr>
              <w:t>5</w:t>
            </w:r>
          </w:p>
        </w:tc>
        <w:tc>
          <w:tcPr>
            <w:tcW w:w="1955" w:type="dxa"/>
            <w:noWrap/>
            <w:vAlign w:val="center"/>
          </w:tcPr>
          <w:p w14:paraId="7593269E">
            <w:pPr>
              <w:pStyle w:val="26"/>
              <w:spacing w:line="360" w:lineRule="auto"/>
              <w:jc w:val="center"/>
              <w:rPr>
                <w:rFonts w:hint="eastAsia" w:ascii="宋体" w:hAnsi="宋体" w:cs="宋体"/>
                <w:sz w:val="24"/>
                <w:szCs w:val="24"/>
              </w:rPr>
            </w:pPr>
            <w:r>
              <w:rPr>
                <w:rFonts w:hint="eastAsia" w:ascii="宋体" w:hAnsi="宋体" w:cs="宋体"/>
                <w:sz w:val="24"/>
                <w:szCs w:val="24"/>
              </w:rPr>
              <w:t>采购预算</w:t>
            </w:r>
          </w:p>
        </w:tc>
        <w:tc>
          <w:tcPr>
            <w:tcW w:w="5908" w:type="dxa"/>
            <w:noWrap/>
            <w:vAlign w:val="center"/>
          </w:tcPr>
          <w:p w14:paraId="293D7BC1">
            <w:pPr>
              <w:pStyle w:val="26"/>
              <w:spacing w:line="360" w:lineRule="auto"/>
              <w:rPr>
                <w:rFonts w:hint="eastAsia" w:ascii="宋体" w:hAnsi="宋体" w:cs="宋体"/>
                <w:sz w:val="24"/>
                <w:szCs w:val="24"/>
                <w:lang w:eastAsia="zh-CN"/>
              </w:rPr>
            </w:pPr>
            <w:r>
              <w:rPr>
                <w:rFonts w:ascii="Arial" w:hAnsi="Arial" w:cs="Arial"/>
                <w:sz w:val="24"/>
                <w:szCs w:val="24"/>
                <w:lang w:eastAsia="zh-CN"/>
              </w:rPr>
              <w:t>¥</w:t>
            </w:r>
            <w:r>
              <w:rPr>
                <w:rFonts w:hint="eastAsia" w:ascii="宋体" w:hAnsi="宋体" w:cs="宋体"/>
                <w:sz w:val="24"/>
                <w:szCs w:val="24"/>
                <w:lang w:eastAsia="zh-CN"/>
              </w:rPr>
              <w:t>：400000.00元</w:t>
            </w:r>
          </w:p>
        </w:tc>
      </w:tr>
      <w:tr w14:paraId="6625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31D0FE71">
            <w:pPr>
              <w:pStyle w:val="26"/>
              <w:spacing w:line="360" w:lineRule="auto"/>
              <w:jc w:val="center"/>
              <w:rPr>
                <w:rFonts w:hint="eastAsia" w:ascii="宋体" w:hAnsi="宋体" w:cs="宋体"/>
                <w:sz w:val="24"/>
                <w:szCs w:val="24"/>
              </w:rPr>
            </w:pPr>
            <w:r>
              <w:rPr>
                <w:rFonts w:hint="eastAsia" w:ascii="宋体" w:hAnsi="宋体" w:cs="宋体"/>
                <w:sz w:val="24"/>
                <w:szCs w:val="24"/>
              </w:rPr>
              <w:t>6</w:t>
            </w:r>
          </w:p>
        </w:tc>
        <w:tc>
          <w:tcPr>
            <w:tcW w:w="1955" w:type="dxa"/>
            <w:noWrap/>
            <w:vAlign w:val="center"/>
          </w:tcPr>
          <w:p w14:paraId="39BDFFE8">
            <w:pPr>
              <w:pStyle w:val="26"/>
              <w:spacing w:line="360" w:lineRule="auto"/>
              <w:jc w:val="center"/>
              <w:rPr>
                <w:rFonts w:hint="eastAsia" w:ascii="宋体" w:hAnsi="宋体" w:cs="宋体"/>
                <w:color w:val="auto"/>
                <w:sz w:val="24"/>
                <w:szCs w:val="24"/>
              </w:rPr>
            </w:pPr>
            <w:r>
              <w:rPr>
                <w:rFonts w:hint="eastAsia" w:ascii="宋体" w:hAnsi="宋体" w:cs="宋体"/>
                <w:color w:val="auto"/>
                <w:sz w:val="24"/>
                <w:szCs w:val="24"/>
              </w:rPr>
              <w:t>投资模式</w:t>
            </w:r>
          </w:p>
        </w:tc>
        <w:tc>
          <w:tcPr>
            <w:tcW w:w="5908" w:type="dxa"/>
            <w:noWrap/>
            <w:vAlign w:val="center"/>
          </w:tcPr>
          <w:p w14:paraId="490F2C5D">
            <w:pPr>
              <w:pStyle w:val="26"/>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财政性资金</w:t>
            </w:r>
          </w:p>
        </w:tc>
      </w:tr>
      <w:tr w14:paraId="7120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54D2FD80">
            <w:pPr>
              <w:pStyle w:val="26"/>
              <w:spacing w:line="360" w:lineRule="auto"/>
              <w:jc w:val="center"/>
              <w:rPr>
                <w:rFonts w:hint="eastAsia" w:ascii="宋体" w:hAnsi="宋体" w:cs="宋体"/>
                <w:sz w:val="24"/>
                <w:szCs w:val="24"/>
              </w:rPr>
            </w:pPr>
            <w:r>
              <w:rPr>
                <w:rFonts w:hint="eastAsia" w:ascii="宋体" w:hAnsi="宋体" w:cs="宋体"/>
                <w:sz w:val="24"/>
                <w:szCs w:val="24"/>
              </w:rPr>
              <w:t>7</w:t>
            </w:r>
          </w:p>
        </w:tc>
        <w:tc>
          <w:tcPr>
            <w:tcW w:w="1955" w:type="dxa"/>
            <w:noWrap/>
            <w:vAlign w:val="center"/>
          </w:tcPr>
          <w:p w14:paraId="3D53F10A">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供应商资格</w:t>
            </w:r>
          </w:p>
        </w:tc>
        <w:tc>
          <w:tcPr>
            <w:tcW w:w="5908" w:type="dxa"/>
            <w:noWrap/>
            <w:vAlign w:val="center"/>
          </w:tcPr>
          <w:p w14:paraId="5852E8CB">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7FB99D9E">
            <w:pPr>
              <w:spacing w:line="360" w:lineRule="auto"/>
              <w:ind w:firstLine="720" w:firstLineChars="300"/>
              <w:rPr>
                <w:rFonts w:hint="eastAsia" w:ascii="宋体" w:hAnsi="宋体" w:cs="宋体"/>
                <w:sz w:val="24"/>
              </w:rPr>
            </w:pPr>
            <w:r>
              <w:rPr>
                <w:rFonts w:hint="eastAsia" w:ascii="宋体" w:hAnsi="宋体" w:cs="宋体"/>
                <w:sz w:val="24"/>
              </w:rPr>
              <w:t>1.1.在中华人民共和国注册，具有独立承担民事责任的能力【注：①供应商若为企业法人：提供“统一社会信用代码营业执照”；②若为事业法人：提供“事业单位法人证书副本”；③若为其他组织：提供“对应主管部门颁发的准许执业证明文件或营业执照”；④若为自然人：提供“提供工商主管部门颁发的个体营业执照/身份证明文件”。以上均提供复印件加盖公章】；</w:t>
            </w:r>
          </w:p>
          <w:p w14:paraId="0EE0A97E">
            <w:pPr>
              <w:spacing w:line="360" w:lineRule="auto"/>
              <w:ind w:firstLine="720" w:firstLineChars="300"/>
              <w:rPr>
                <w:rFonts w:hint="eastAsia" w:ascii="宋体" w:hAnsi="宋体" w:cs="宋体"/>
                <w:sz w:val="24"/>
              </w:rPr>
            </w:pPr>
            <w:r>
              <w:rPr>
                <w:rFonts w:hint="eastAsia" w:ascii="宋体" w:hAnsi="宋体" w:cs="宋体"/>
                <w:sz w:val="24"/>
              </w:rPr>
              <w:t>1.2.具有良好的商业信誉和健全的财务会计制度【提供承诺函加盖公章】；</w:t>
            </w:r>
          </w:p>
          <w:p w14:paraId="5BD2FA3F">
            <w:pPr>
              <w:spacing w:line="360" w:lineRule="auto"/>
              <w:ind w:firstLine="720" w:firstLineChars="300"/>
              <w:rPr>
                <w:rFonts w:hint="eastAsia" w:ascii="宋体" w:hAnsi="宋体" w:cs="宋体"/>
                <w:sz w:val="24"/>
              </w:rPr>
            </w:pPr>
            <w:r>
              <w:rPr>
                <w:rFonts w:hint="eastAsia" w:ascii="宋体" w:hAnsi="宋体" w:cs="宋体"/>
                <w:sz w:val="24"/>
              </w:rPr>
              <w:t>1.3.有依法缴纳税收和社会保障资金的良好记录【提供承诺函加盖公章】；</w:t>
            </w:r>
          </w:p>
          <w:p w14:paraId="47D73AEC">
            <w:pPr>
              <w:spacing w:line="360" w:lineRule="auto"/>
              <w:ind w:firstLine="720" w:firstLineChars="300"/>
              <w:rPr>
                <w:rFonts w:hint="eastAsia" w:ascii="宋体" w:hAnsi="宋体" w:cs="宋体"/>
                <w:sz w:val="24"/>
              </w:rPr>
            </w:pPr>
            <w:r>
              <w:rPr>
                <w:rFonts w:hint="eastAsia" w:ascii="宋体" w:hAnsi="宋体" w:cs="宋体"/>
                <w:sz w:val="24"/>
              </w:rPr>
              <w:t>1.4.具有履行合同所必需的设备和专业技术能力【提供声明书加盖公章，格式自拟】；</w:t>
            </w:r>
          </w:p>
          <w:p w14:paraId="26FC4920">
            <w:pPr>
              <w:spacing w:line="360" w:lineRule="auto"/>
              <w:ind w:firstLine="720" w:firstLineChars="300"/>
              <w:rPr>
                <w:rFonts w:hint="eastAsia" w:ascii="宋体" w:hAnsi="宋体" w:cs="宋体"/>
                <w:sz w:val="24"/>
              </w:rPr>
            </w:pPr>
            <w:r>
              <w:rPr>
                <w:rFonts w:hint="eastAsia" w:ascii="宋体" w:hAnsi="宋体" w:cs="宋体"/>
                <w:sz w:val="24"/>
              </w:rPr>
              <w:t>1.5.参加政府采购活动前三年内（成立不足三年的从成立之日起算），在经营活动中没有重大违法记录、无环保类行政处罚记录【提供声明书加盖公章，格式自拟】；</w:t>
            </w:r>
          </w:p>
          <w:p w14:paraId="378E1EDA">
            <w:pPr>
              <w:spacing w:line="360" w:lineRule="auto"/>
              <w:ind w:firstLine="720" w:firstLineChars="300"/>
              <w:jc w:val="left"/>
              <w:rPr>
                <w:rFonts w:hint="eastAsia" w:ascii="宋体" w:hAnsi="宋体" w:cs="宋体"/>
                <w:sz w:val="24"/>
              </w:rPr>
            </w:pPr>
            <w:r>
              <w:rPr>
                <w:rFonts w:hint="eastAsia" w:ascii="宋体" w:hAnsi="宋体" w:cs="宋体"/>
                <w:sz w:val="24"/>
              </w:rPr>
              <w:t>1.6.供应商必须未被列入“信用中国”网站(www.creditchina.gov.cn)政府采购严重违法失信行为记录名单、重大税收违法失信主体和中国政府采购网( www.ccgp.gov.cn ) 的“政府采购严重违法失信行为记录名单”及中国执行信息公开网（http://zxgk.court.gov.cn/shixin/）的失信被执行人的供应商【提供承诺函加盖公章】；</w:t>
            </w:r>
          </w:p>
          <w:p w14:paraId="62425CF2">
            <w:pPr>
              <w:spacing w:line="360" w:lineRule="auto"/>
              <w:ind w:firstLine="720" w:firstLineChars="300"/>
              <w:rPr>
                <w:rFonts w:hint="eastAsia" w:ascii="宋体" w:hAnsi="宋体" w:cs="宋体"/>
                <w:sz w:val="24"/>
              </w:rPr>
            </w:pPr>
            <w:r>
              <w:rPr>
                <w:rFonts w:hint="eastAsia" w:ascii="宋体" w:hAnsi="宋体" w:cs="宋体"/>
                <w:sz w:val="24"/>
              </w:rPr>
              <w:t>注：采购人或采购代理机构将于本项目投标截止日在“信用中国”网站、“中国政府采购网”网站、“中国执行信息公开网”网站等渠道对供应商进行信用记录查询，凡被列入失信被执行人、重大税收违法失信主体、政府采购严重违法失信行为记录名单的，视为存在不良信用记录，参与本项目的将被拒绝；</w:t>
            </w:r>
          </w:p>
          <w:p w14:paraId="26F4A242">
            <w:pPr>
              <w:spacing w:line="360" w:lineRule="auto"/>
              <w:ind w:firstLine="720" w:firstLineChars="300"/>
              <w:rPr>
                <w:rFonts w:hint="eastAsia" w:ascii="宋体" w:hAnsi="宋体" w:cs="宋体"/>
                <w:sz w:val="24"/>
              </w:rPr>
            </w:pPr>
            <w:r>
              <w:rPr>
                <w:rFonts w:hint="eastAsia" w:ascii="宋体" w:hAnsi="宋体" w:cs="宋体"/>
                <w:sz w:val="24"/>
              </w:rPr>
              <w:t>1.7.法律、行政法规规定的其他条件【提供声明书加盖公章，格式自拟】。</w:t>
            </w:r>
          </w:p>
          <w:p w14:paraId="12017880">
            <w:pPr>
              <w:spacing w:line="360" w:lineRule="auto"/>
              <w:ind w:firstLine="720" w:firstLineChars="300"/>
              <w:rPr>
                <w:rFonts w:hint="eastAsia" w:ascii="宋体" w:hAnsi="宋体" w:cs="宋体"/>
                <w:sz w:val="24"/>
              </w:rPr>
            </w:pPr>
            <w:r>
              <w:rPr>
                <w:rFonts w:hint="eastAsia" w:ascii="宋体" w:hAnsi="宋体" w:cs="宋体"/>
                <w:sz w:val="24"/>
              </w:rPr>
              <w:t>2.落实政府采购政策需满足的资格要求：本项目支持政府采购促进中小企业发展政策、政府采购支持监狱企业发展政策、促进残疾人就业政府采购政策、扶持不发达地区和少数民族地区等相关政策。</w:t>
            </w:r>
          </w:p>
          <w:p w14:paraId="77451D20">
            <w:pPr>
              <w:spacing w:line="360" w:lineRule="auto"/>
              <w:ind w:firstLine="720" w:firstLineChars="300"/>
              <w:rPr>
                <w:rFonts w:hint="eastAsia" w:ascii="宋体" w:hAnsi="宋体" w:cs="宋体"/>
                <w:sz w:val="24"/>
              </w:rPr>
            </w:pPr>
            <w:r>
              <w:rPr>
                <w:rFonts w:hint="eastAsia" w:ascii="宋体" w:hAnsi="宋体" w:cs="宋体"/>
                <w:sz w:val="24"/>
              </w:rPr>
              <w:t>3.本项目的特定资格要求：3.1供应商具有国家金融监督管理总局或(原)中国银行保险监督管理委员会或(原)中国保险监督管理委员会颁发的《经营保险业务许可证》或《保险许可证》，如供应商为分支机构则需要提供集团或总公司授权或相应证明材料。</w:t>
            </w:r>
          </w:p>
          <w:p w14:paraId="5D7874A8">
            <w:pPr>
              <w:spacing w:line="360" w:lineRule="auto"/>
              <w:ind w:firstLine="720" w:firstLineChars="300"/>
            </w:pPr>
            <w:r>
              <w:rPr>
                <w:rFonts w:hint="eastAsia" w:ascii="宋体" w:hAnsi="宋体" w:cs="宋体"/>
                <w:sz w:val="24"/>
              </w:rPr>
              <w:t>3.2本项目涉及特殊行业-保险业，根据《政府采购法实施条例》及有关释义，银行、保险、石油石化、电力、电信运营商等有行业特殊情况的，其分支机构可参与本项目的政府采购活动，且每家保险公司仅允许有一家分支机构进行投标,其分支机构可视为“具有独立承担民事责任能力的法人”（即采购文件中涉及要求提供“法定代表人”相关证明材料的，提供分支机构“负责人”的相关证明材料）。</w:t>
            </w:r>
          </w:p>
        </w:tc>
      </w:tr>
      <w:tr w14:paraId="0997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797885EC">
            <w:pPr>
              <w:pStyle w:val="26"/>
              <w:spacing w:line="360" w:lineRule="auto"/>
              <w:jc w:val="center"/>
              <w:rPr>
                <w:rFonts w:hint="eastAsia" w:ascii="宋体" w:hAnsi="宋体" w:cs="宋体"/>
                <w:sz w:val="24"/>
                <w:szCs w:val="24"/>
              </w:rPr>
            </w:pPr>
            <w:r>
              <w:rPr>
                <w:rFonts w:hint="eastAsia" w:ascii="宋体" w:hAnsi="宋体" w:cs="宋体"/>
                <w:sz w:val="24"/>
                <w:szCs w:val="24"/>
              </w:rPr>
              <w:t>8</w:t>
            </w:r>
          </w:p>
        </w:tc>
        <w:tc>
          <w:tcPr>
            <w:tcW w:w="1955" w:type="dxa"/>
            <w:noWrap/>
            <w:vAlign w:val="center"/>
          </w:tcPr>
          <w:p w14:paraId="1FB6AF3D">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合同履行期限（服务期）</w:t>
            </w:r>
          </w:p>
        </w:tc>
        <w:tc>
          <w:tcPr>
            <w:tcW w:w="5908" w:type="dxa"/>
            <w:noWrap/>
            <w:vAlign w:val="center"/>
          </w:tcPr>
          <w:p w14:paraId="3E6D7E6B">
            <w:pPr>
              <w:pStyle w:val="26"/>
              <w:adjustRightInd w:val="0"/>
              <w:snapToGrid w:val="0"/>
              <w:spacing w:line="360" w:lineRule="auto"/>
              <w:rPr>
                <w:rFonts w:hint="eastAsia" w:ascii="宋体" w:hAnsi="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lang w:eastAsia="zh-CN"/>
              </w:rPr>
              <w:t>年。</w:t>
            </w:r>
          </w:p>
        </w:tc>
      </w:tr>
      <w:tr w14:paraId="633E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ign w:val="center"/>
          </w:tcPr>
          <w:p w14:paraId="18B1D0FE">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9</w:t>
            </w:r>
          </w:p>
        </w:tc>
        <w:tc>
          <w:tcPr>
            <w:tcW w:w="1955" w:type="dxa"/>
            <w:noWrap/>
            <w:vAlign w:val="center"/>
          </w:tcPr>
          <w:p w14:paraId="78AB5E50">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委托代表人</w:t>
            </w:r>
          </w:p>
          <w:p w14:paraId="614E0C2F">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的资格条件</w:t>
            </w:r>
          </w:p>
        </w:tc>
        <w:tc>
          <w:tcPr>
            <w:tcW w:w="5908" w:type="dxa"/>
            <w:noWrap/>
            <w:vAlign w:val="center"/>
          </w:tcPr>
          <w:p w14:paraId="0A366149">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需提供法定代表人授权委托书、法定代表人身份证复印件及被授权人身份证复印件。</w:t>
            </w:r>
          </w:p>
        </w:tc>
      </w:tr>
      <w:tr w14:paraId="2476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4" w:type="dxa"/>
            <w:noWrap/>
            <w:vAlign w:val="center"/>
          </w:tcPr>
          <w:p w14:paraId="7FC2F75D">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10</w:t>
            </w:r>
          </w:p>
        </w:tc>
        <w:tc>
          <w:tcPr>
            <w:tcW w:w="1955" w:type="dxa"/>
            <w:noWrap/>
            <w:vAlign w:val="center"/>
          </w:tcPr>
          <w:p w14:paraId="7598A7C3">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委托代表人</w:t>
            </w:r>
          </w:p>
          <w:p w14:paraId="7C68E324">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的代理权限</w:t>
            </w:r>
          </w:p>
        </w:tc>
        <w:tc>
          <w:tcPr>
            <w:tcW w:w="5908" w:type="dxa"/>
            <w:noWrap/>
            <w:vAlign w:val="center"/>
          </w:tcPr>
          <w:p w14:paraId="5EDECD4B">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委托代表人只能代表委托人处置磋商活动中的一般事务。提出询问、质疑、投诉等特殊事项，必须经法定代表人特别授权。</w:t>
            </w:r>
          </w:p>
        </w:tc>
      </w:tr>
      <w:tr w14:paraId="626F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 w:type="dxa"/>
            <w:noWrap/>
            <w:vAlign w:val="center"/>
          </w:tcPr>
          <w:p w14:paraId="7628CF24">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11</w:t>
            </w:r>
          </w:p>
        </w:tc>
        <w:tc>
          <w:tcPr>
            <w:tcW w:w="1955" w:type="dxa"/>
            <w:noWrap/>
            <w:vAlign w:val="center"/>
          </w:tcPr>
          <w:p w14:paraId="169F8A59">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现场考察和</w:t>
            </w:r>
          </w:p>
          <w:p w14:paraId="018B2BF6">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答疑会</w:t>
            </w:r>
          </w:p>
        </w:tc>
        <w:tc>
          <w:tcPr>
            <w:tcW w:w="5908" w:type="dxa"/>
            <w:noWrap/>
            <w:vAlign w:val="center"/>
          </w:tcPr>
          <w:p w14:paraId="5322359D">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不组织</w:t>
            </w:r>
          </w:p>
        </w:tc>
      </w:tr>
      <w:tr w14:paraId="642C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 w:type="dxa"/>
            <w:noWrap/>
            <w:vAlign w:val="center"/>
          </w:tcPr>
          <w:p w14:paraId="6E547A83">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12</w:t>
            </w:r>
          </w:p>
        </w:tc>
        <w:tc>
          <w:tcPr>
            <w:tcW w:w="1955" w:type="dxa"/>
            <w:noWrap/>
            <w:vAlign w:val="center"/>
          </w:tcPr>
          <w:p w14:paraId="39ECD6A5">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磋商保证金</w:t>
            </w:r>
          </w:p>
          <w:p w14:paraId="4DF356E0">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到账截止日期</w:t>
            </w:r>
          </w:p>
        </w:tc>
        <w:tc>
          <w:tcPr>
            <w:tcW w:w="5908" w:type="dxa"/>
            <w:noWrap/>
            <w:vAlign w:val="center"/>
          </w:tcPr>
          <w:p w14:paraId="0B58AE8A">
            <w:pPr>
              <w:pStyle w:val="26"/>
              <w:snapToGrid w:val="0"/>
              <w:spacing w:line="360" w:lineRule="auto"/>
              <w:rPr>
                <w:rFonts w:hint="eastAsia" w:ascii="宋体" w:hAnsi="宋体" w:cs="宋体"/>
                <w:sz w:val="24"/>
                <w:szCs w:val="24"/>
                <w:lang w:eastAsia="zh-CN"/>
              </w:rPr>
            </w:pPr>
            <w:r>
              <w:rPr>
                <w:rFonts w:hint="eastAsia" w:ascii="宋体" w:hAnsi="宋体" w:cs="宋体"/>
                <w:sz w:val="24"/>
                <w:szCs w:val="24"/>
                <w:lang w:eastAsia="zh-CN"/>
              </w:rPr>
              <w:t>详见第一部分 竞争性磋商公告</w:t>
            </w:r>
          </w:p>
        </w:tc>
      </w:tr>
      <w:tr w14:paraId="0973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4" w:type="dxa"/>
            <w:noWrap/>
            <w:vAlign w:val="center"/>
          </w:tcPr>
          <w:p w14:paraId="1BEF624C">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13</w:t>
            </w:r>
          </w:p>
        </w:tc>
        <w:tc>
          <w:tcPr>
            <w:tcW w:w="1955" w:type="dxa"/>
            <w:noWrap/>
            <w:vAlign w:val="center"/>
          </w:tcPr>
          <w:p w14:paraId="499AC012">
            <w:pPr>
              <w:pStyle w:val="26"/>
              <w:spacing w:line="360" w:lineRule="auto"/>
              <w:jc w:val="center"/>
              <w:rPr>
                <w:rFonts w:hint="eastAsia" w:ascii="宋体" w:hAnsi="宋体" w:cs="宋体"/>
                <w:sz w:val="24"/>
                <w:szCs w:val="24"/>
              </w:rPr>
            </w:pPr>
            <w:r>
              <w:rPr>
                <w:rFonts w:hint="eastAsia" w:ascii="宋体" w:hAnsi="宋体" w:cs="宋体"/>
                <w:sz w:val="24"/>
                <w:szCs w:val="24"/>
                <w:lang w:eastAsia="zh-CN"/>
              </w:rPr>
              <w:t>磋商</w:t>
            </w:r>
            <w:r>
              <w:rPr>
                <w:rFonts w:hint="eastAsia" w:ascii="宋体" w:hAnsi="宋体" w:cs="宋体"/>
                <w:sz w:val="24"/>
                <w:szCs w:val="24"/>
              </w:rPr>
              <w:t>保证金</w:t>
            </w:r>
          </w:p>
        </w:tc>
        <w:tc>
          <w:tcPr>
            <w:tcW w:w="5908" w:type="dxa"/>
            <w:noWrap/>
            <w:vAlign w:val="center"/>
          </w:tcPr>
          <w:p w14:paraId="50C750CC">
            <w:pPr>
              <w:pStyle w:val="26"/>
              <w:spacing w:line="360" w:lineRule="auto"/>
              <w:jc w:val="left"/>
              <w:rPr>
                <w:rFonts w:hint="eastAsia" w:ascii="宋体" w:hAnsi="宋体" w:cs="宋体"/>
                <w:sz w:val="24"/>
                <w:szCs w:val="24"/>
                <w:lang w:eastAsia="zh-CN"/>
              </w:rPr>
            </w:pPr>
            <w:r>
              <w:rPr>
                <w:rFonts w:hint="eastAsia" w:ascii="宋体" w:hAnsi="宋体" w:cs="宋体"/>
                <w:sz w:val="24"/>
                <w:lang w:eastAsia="zh-CN"/>
              </w:rPr>
              <w:t>不作要求</w:t>
            </w:r>
          </w:p>
        </w:tc>
      </w:tr>
      <w:tr w14:paraId="3C7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314C8996">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14</w:t>
            </w:r>
          </w:p>
        </w:tc>
        <w:tc>
          <w:tcPr>
            <w:tcW w:w="1955" w:type="dxa"/>
            <w:noWrap/>
            <w:vAlign w:val="center"/>
          </w:tcPr>
          <w:p w14:paraId="6046FD75">
            <w:pPr>
              <w:pStyle w:val="26"/>
              <w:spacing w:line="360" w:lineRule="auto"/>
              <w:jc w:val="center"/>
              <w:rPr>
                <w:rFonts w:hint="eastAsia"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有效期</w:t>
            </w:r>
          </w:p>
        </w:tc>
        <w:tc>
          <w:tcPr>
            <w:tcW w:w="5908" w:type="dxa"/>
            <w:noWrap/>
            <w:vAlign w:val="center"/>
          </w:tcPr>
          <w:p w14:paraId="1E7653AA">
            <w:pPr>
              <w:pStyle w:val="26"/>
              <w:spacing w:line="360" w:lineRule="auto"/>
              <w:rPr>
                <w:rFonts w:hint="eastAsia" w:ascii="宋体" w:hAnsi="宋体" w:cs="宋体"/>
                <w:sz w:val="24"/>
                <w:szCs w:val="24"/>
                <w:lang w:eastAsia="zh-CN"/>
              </w:rPr>
            </w:pPr>
            <w:r>
              <w:rPr>
                <w:rFonts w:hint="eastAsia" w:ascii="宋体" w:hAnsi="宋体" w:cs="宋体"/>
                <w:sz w:val="24"/>
                <w:szCs w:val="24"/>
              </w:rPr>
              <w:t>自</w:t>
            </w:r>
            <w:r>
              <w:rPr>
                <w:rFonts w:hint="eastAsia" w:ascii="宋体" w:hAnsi="宋体" w:cs="宋体"/>
                <w:sz w:val="24"/>
                <w:szCs w:val="24"/>
                <w:lang w:eastAsia="zh-CN"/>
              </w:rPr>
              <w:t>响应文件开启之</w:t>
            </w:r>
            <w:r>
              <w:rPr>
                <w:rFonts w:hint="eastAsia" w:ascii="宋体" w:hAnsi="宋体" w:cs="宋体"/>
                <w:sz w:val="24"/>
                <w:szCs w:val="24"/>
              </w:rPr>
              <w:t>日起</w:t>
            </w:r>
            <w:r>
              <w:rPr>
                <w:rFonts w:hint="eastAsia" w:ascii="宋体" w:hAnsi="宋体" w:cs="宋体"/>
                <w:sz w:val="24"/>
                <w:szCs w:val="24"/>
                <w:lang w:eastAsia="zh-CN"/>
              </w:rPr>
              <w:t>6</w:t>
            </w:r>
            <w:r>
              <w:rPr>
                <w:rFonts w:hint="eastAsia" w:ascii="宋体" w:hAnsi="宋体" w:cs="宋体"/>
                <w:sz w:val="24"/>
                <w:szCs w:val="24"/>
              </w:rPr>
              <w:t>0天</w:t>
            </w:r>
          </w:p>
        </w:tc>
      </w:tr>
      <w:tr w14:paraId="625B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4" w:type="dxa"/>
            <w:noWrap/>
            <w:vAlign w:val="center"/>
          </w:tcPr>
          <w:p w14:paraId="558596D5">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15</w:t>
            </w:r>
          </w:p>
        </w:tc>
        <w:tc>
          <w:tcPr>
            <w:tcW w:w="1955" w:type="dxa"/>
            <w:noWrap/>
            <w:vAlign w:val="center"/>
          </w:tcPr>
          <w:p w14:paraId="00F83AD5">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响应文件份数</w:t>
            </w:r>
          </w:p>
        </w:tc>
        <w:tc>
          <w:tcPr>
            <w:tcW w:w="5908" w:type="dxa"/>
            <w:noWrap/>
            <w:vAlign w:val="center"/>
          </w:tcPr>
          <w:p w14:paraId="4DF59B80">
            <w:pPr>
              <w:pStyle w:val="26"/>
              <w:spacing w:line="360" w:lineRule="auto"/>
              <w:rPr>
                <w:rFonts w:hint="eastAsia" w:ascii="宋体" w:hAnsi="宋体" w:cs="宋体"/>
                <w:sz w:val="24"/>
                <w:szCs w:val="24"/>
                <w:lang w:eastAsia="zh-CN"/>
              </w:rPr>
            </w:pPr>
            <w:r>
              <w:rPr>
                <w:rFonts w:hint="eastAsia" w:ascii="宋体" w:hAnsi="宋体" w:cs="宋体"/>
                <w:sz w:val="24"/>
                <w:szCs w:val="24"/>
              </w:rPr>
              <w:t>正本1份、副本2份，电子版响应文件1份【电子U盘</w:t>
            </w:r>
            <w:r>
              <w:rPr>
                <w:rFonts w:hint="eastAsia" w:ascii="宋体" w:hAnsi="宋体" w:cs="宋体"/>
                <w:sz w:val="24"/>
                <w:szCs w:val="24"/>
                <w:lang w:val="en-US" w:eastAsia="zh-CN"/>
              </w:rPr>
              <w:t>或光盘</w:t>
            </w:r>
            <w:r>
              <w:rPr>
                <w:rFonts w:hint="eastAsia" w:ascii="宋体" w:hAnsi="宋体" w:cs="宋体"/>
                <w:sz w:val="24"/>
                <w:szCs w:val="24"/>
              </w:rPr>
              <w:t>，电子版文件格式为word（可编辑格式）和PDF格式两种，同时要求PDF格式的电子版响应文件必须是纸质正本响应文件的扫描件】</w:t>
            </w:r>
          </w:p>
        </w:tc>
      </w:tr>
      <w:tr w14:paraId="264E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654F4072">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16</w:t>
            </w:r>
          </w:p>
        </w:tc>
        <w:tc>
          <w:tcPr>
            <w:tcW w:w="1955" w:type="dxa"/>
            <w:noWrap/>
            <w:vAlign w:val="center"/>
          </w:tcPr>
          <w:p w14:paraId="2C684A4E">
            <w:pPr>
              <w:pStyle w:val="26"/>
              <w:spacing w:line="360" w:lineRule="auto"/>
              <w:jc w:val="center"/>
              <w:rPr>
                <w:rFonts w:hint="eastAsia" w:ascii="宋体" w:hAnsi="宋体" w:cs="宋体"/>
                <w:sz w:val="24"/>
                <w:szCs w:val="24"/>
                <w:lang w:eastAsia="zh-CN"/>
              </w:rPr>
            </w:pPr>
            <w:r>
              <w:rPr>
                <w:rFonts w:hint="eastAsia" w:ascii="宋体" w:hAnsi="宋体" w:cs="宋体"/>
                <w:sz w:val="24"/>
                <w:szCs w:val="24"/>
              </w:rPr>
              <w:t>是否退还</w:t>
            </w:r>
            <w:r>
              <w:rPr>
                <w:rFonts w:hint="eastAsia" w:ascii="宋体" w:hAnsi="宋体" w:cs="宋体"/>
                <w:sz w:val="24"/>
                <w:szCs w:val="24"/>
                <w:lang w:eastAsia="zh-CN"/>
              </w:rPr>
              <w:t>响应文件</w:t>
            </w:r>
          </w:p>
        </w:tc>
        <w:tc>
          <w:tcPr>
            <w:tcW w:w="5908" w:type="dxa"/>
            <w:noWrap/>
            <w:vAlign w:val="center"/>
          </w:tcPr>
          <w:p w14:paraId="37F75399">
            <w:pPr>
              <w:pStyle w:val="26"/>
              <w:spacing w:line="360" w:lineRule="auto"/>
              <w:rPr>
                <w:rFonts w:hint="eastAsia" w:ascii="宋体" w:hAnsi="宋体" w:cs="宋体"/>
                <w:sz w:val="24"/>
                <w:szCs w:val="24"/>
              </w:rPr>
            </w:pPr>
            <w:r>
              <w:rPr>
                <w:rFonts w:hint="eastAsia" w:ascii="宋体" w:hAnsi="宋体" w:cs="宋体"/>
                <w:sz w:val="24"/>
                <w:szCs w:val="24"/>
              </w:rPr>
              <w:t>不退还</w:t>
            </w:r>
          </w:p>
        </w:tc>
      </w:tr>
      <w:tr w14:paraId="07AB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3E510912">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17</w:t>
            </w:r>
          </w:p>
        </w:tc>
        <w:tc>
          <w:tcPr>
            <w:tcW w:w="1955" w:type="dxa"/>
            <w:noWrap/>
            <w:vAlign w:val="center"/>
          </w:tcPr>
          <w:p w14:paraId="45D5BDF9">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磋商小组的组成</w:t>
            </w:r>
          </w:p>
        </w:tc>
        <w:tc>
          <w:tcPr>
            <w:tcW w:w="5908" w:type="dxa"/>
            <w:noWrap/>
            <w:vAlign w:val="center"/>
          </w:tcPr>
          <w:p w14:paraId="33E5C968">
            <w:pPr>
              <w:pStyle w:val="26"/>
              <w:rPr>
                <w:rFonts w:hint="eastAsia" w:ascii="宋体" w:hAnsi="宋体" w:cs="宋体"/>
                <w:sz w:val="24"/>
                <w:szCs w:val="24"/>
              </w:rPr>
            </w:pPr>
            <w:r>
              <w:rPr>
                <w:rFonts w:hint="eastAsia" w:ascii="宋体" w:hAnsi="宋体" w:cs="宋体"/>
                <w:sz w:val="24"/>
                <w:szCs w:val="24"/>
                <w:lang w:eastAsia="zh-CN"/>
              </w:rPr>
              <w:t>磋商小组由3人组成，其中采购人代表</w:t>
            </w:r>
            <w:r>
              <w:rPr>
                <w:rFonts w:hint="eastAsia" w:ascii="宋体" w:hAnsi="宋体" w:cs="宋体"/>
                <w:sz w:val="24"/>
                <w:szCs w:val="24"/>
                <w:u w:val="single"/>
                <w:lang w:eastAsia="zh-CN"/>
              </w:rPr>
              <w:t xml:space="preserve"> 0 </w:t>
            </w:r>
            <w:r>
              <w:rPr>
                <w:rFonts w:hint="eastAsia" w:ascii="宋体" w:hAnsi="宋体" w:cs="宋体"/>
                <w:sz w:val="24"/>
                <w:szCs w:val="24"/>
                <w:lang w:eastAsia="zh-CN"/>
              </w:rPr>
              <w:t>名</w:t>
            </w:r>
            <w:r>
              <w:rPr>
                <w:rFonts w:hint="eastAsia" w:ascii="宋体" w:hAnsi="宋体" w:cs="宋体"/>
                <w:sz w:val="24"/>
                <w:szCs w:val="24"/>
              </w:rPr>
              <w:t>。</w:t>
            </w:r>
          </w:p>
          <w:p w14:paraId="116C6D5B">
            <w:pPr>
              <w:pStyle w:val="26"/>
              <w:spacing w:line="360" w:lineRule="auto"/>
              <w:rPr>
                <w:rFonts w:hint="eastAsia" w:ascii="宋体" w:hAnsi="宋体" w:cs="宋体"/>
                <w:sz w:val="24"/>
                <w:szCs w:val="24"/>
              </w:rPr>
            </w:pPr>
            <w:r>
              <w:rPr>
                <w:rFonts w:hint="eastAsia" w:ascii="宋体" w:hAnsi="宋体" w:cs="宋体"/>
                <w:sz w:val="24"/>
                <w:szCs w:val="24"/>
                <w:lang w:eastAsia="zh-CN"/>
              </w:rPr>
              <w:t>评审专家从海南省专家库中随机抽取。</w:t>
            </w:r>
          </w:p>
        </w:tc>
      </w:tr>
      <w:tr w14:paraId="58BE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6B086151">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18</w:t>
            </w:r>
          </w:p>
        </w:tc>
        <w:tc>
          <w:tcPr>
            <w:tcW w:w="1955" w:type="dxa"/>
            <w:noWrap/>
            <w:vAlign w:val="center"/>
          </w:tcPr>
          <w:p w14:paraId="3B8A570A">
            <w:pPr>
              <w:pStyle w:val="26"/>
              <w:spacing w:line="360" w:lineRule="auto"/>
              <w:jc w:val="center"/>
              <w:rPr>
                <w:rFonts w:hint="eastAsia" w:ascii="宋体" w:hAnsi="宋体" w:cs="宋体"/>
                <w:sz w:val="24"/>
                <w:szCs w:val="24"/>
                <w:lang w:eastAsia="zh-CN"/>
              </w:rPr>
            </w:pPr>
            <w:r>
              <w:rPr>
                <w:rFonts w:hint="eastAsia" w:ascii="宋体" w:hAnsi="宋体" w:cs="宋体"/>
                <w:sz w:val="24"/>
                <w:szCs w:val="24"/>
              </w:rPr>
              <w:t>评</w:t>
            </w:r>
            <w:r>
              <w:rPr>
                <w:rFonts w:hint="eastAsia" w:ascii="宋体" w:hAnsi="宋体" w:cs="宋体"/>
                <w:sz w:val="24"/>
                <w:szCs w:val="24"/>
                <w:lang w:eastAsia="zh-CN"/>
              </w:rPr>
              <w:t>审</w:t>
            </w:r>
            <w:r>
              <w:rPr>
                <w:rFonts w:hint="eastAsia" w:ascii="宋体" w:hAnsi="宋体" w:cs="宋体"/>
                <w:sz w:val="24"/>
                <w:szCs w:val="24"/>
              </w:rPr>
              <w:t>方法</w:t>
            </w:r>
          </w:p>
        </w:tc>
        <w:tc>
          <w:tcPr>
            <w:tcW w:w="5908" w:type="dxa"/>
            <w:noWrap/>
            <w:vAlign w:val="center"/>
          </w:tcPr>
          <w:p w14:paraId="4539E2CA">
            <w:pPr>
              <w:pStyle w:val="27"/>
              <w:spacing w:line="360" w:lineRule="auto"/>
              <w:jc w:val="both"/>
              <w:rPr>
                <w:rFonts w:hint="eastAsia" w:ascii="宋体" w:hAnsi="宋体" w:eastAsia="宋体" w:cs="宋体"/>
                <w:color w:val="auto"/>
              </w:rPr>
            </w:pPr>
            <w:r>
              <w:rPr>
                <w:rFonts w:hint="eastAsia" w:ascii="宋体" w:hAnsi="宋体" w:eastAsia="宋体" w:cs="宋体"/>
                <w:color w:val="auto"/>
              </w:rPr>
              <w:t>经磋商确定最终采购需求和提交最后报价的供应商后，由磋商小组采用综合评分法对提交最后报价的供应商的响应文件和最后报价进行综合评分。</w:t>
            </w:r>
          </w:p>
        </w:tc>
      </w:tr>
      <w:tr w14:paraId="2884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ign w:val="center"/>
          </w:tcPr>
          <w:p w14:paraId="143036AF">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19</w:t>
            </w:r>
          </w:p>
        </w:tc>
        <w:tc>
          <w:tcPr>
            <w:tcW w:w="1955" w:type="dxa"/>
            <w:noWrap/>
            <w:vAlign w:val="center"/>
          </w:tcPr>
          <w:p w14:paraId="18AE9A1D">
            <w:pPr>
              <w:pStyle w:val="26"/>
              <w:spacing w:line="360" w:lineRule="auto"/>
              <w:jc w:val="center"/>
              <w:rPr>
                <w:rFonts w:hint="eastAsia" w:ascii="宋体" w:hAnsi="宋体" w:cs="宋体"/>
                <w:sz w:val="24"/>
                <w:szCs w:val="24"/>
              </w:rPr>
            </w:pPr>
            <w:r>
              <w:rPr>
                <w:rFonts w:hint="eastAsia" w:ascii="宋体" w:hAnsi="宋体" w:cs="宋体"/>
                <w:sz w:val="24"/>
                <w:szCs w:val="24"/>
                <w:lang w:eastAsia="zh-CN"/>
              </w:rPr>
              <w:t>成交候选人数量</w:t>
            </w:r>
          </w:p>
        </w:tc>
        <w:tc>
          <w:tcPr>
            <w:tcW w:w="5908" w:type="dxa"/>
            <w:noWrap/>
            <w:vAlign w:val="center"/>
          </w:tcPr>
          <w:p w14:paraId="7D5B0966">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推荐3名成交候选供应商</w:t>
            </w:r>
          </w:p>
        </w:tc>
      </w:tr>
      <w:tr w14:paraId="2983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4" w:type="dxa"/>
            <w:noWrap/>
            <w:vAlign w:val="center"/>
          </w:tcPr>
          <w:p w14:paraId="7CDA13C2">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20</w:t>
            </w:r>
          </w:p>
        </w:tc>
        <w:tc>
          <w:tcPr>
            <w:tcW w:w="1955" w:type="dxa"/>
            <w:noWrap/>
            <w:vAlign w:val="center"/>
          </w:tcPr>
          <w:p w14:paraId="5534E838">
            <w:pPr>
              <w:pStyle w:val="26"/>
              <w:spacing w:line="360" w:lineRule="auto"/>
              <w:jc w:val="center"/>
              <w:rPr>
                <w:rFonts w:hint="eastAsia" w:ascii="宋体" w:hAnsi="宋体" w:cs="宋体"/>
                <w:sz w:val="24"/>
                <w:szCs w:val="24"/>
              </w:rPr>
            </w:pPr>
            <w:r>
              <w:rPr>
                <w:rFonts w:hint="eastAsia" w:ascii="宋体" w:hAnsi="宋体" w:cs="宋体"/>
                <w:sz w:val="24"/>
                <w:szCs w:val="24"/>
                <w:lang w:eastAsia="zh-CN"/>
              </w:rPr>
              <w:t>招标代理服务费</w:t>
            </w:r>
          </w:p>
        </w:tc>
        <w:tc>
          <w:tcPr>
            <w:tcW w:w="5908" w:type="dxa"/>
            <w:noWrap/>
            <w:vAlign w:val="center"/>
          </w:tcPr>
          <w:p w14:paraId="69BD982A">
            <w:pPr>
              <w:pStyle w:val="26"/>
              <w:spacing w:line="360" w:lineRule="auto"/>
              <w:jc w:val="left"/>
              <w:rPr>
                <w:rFonts w:hint="eastAsia" w:ascii="宋体" w:hAnsi="宋体" w:cs="宋体"/>
                <w:sz w:val="24"/>
                <w:szCs w:val="24"/>
                <w:lang w:eastAsia="zh-CN"/>
              </w:rPr>
            </w:pPr>
            <w:bookmarkStart w:id="71" w:name="OLE_LINK4"/>
            <w:r>
              <w:rPr>
                <w:rFonts w:hint="eastAsia" w:ascii="宋体" w:hAnsi="宋体" w:cs="宋体"/>
                <w:sz w:val="24"/>
                <w:szCs w:val="24"/>
                <w:lang w:eastAsia="zh-CN"/>
              </w:rPr>
              <w:t>参照《海南省物价局关于降低部分招标代理服务收费标准的通知》（琼价费管〔2011〕225 号）文件中相关规定向</w:t>
            </w:r>
            <w:r>
              <w:rPr>
                <w:rFonts w:hint="eastAsia" w:ascii="宋体" w:hAnsi="宋体" w:cs="宋体"/>
                <w:sz w:val="24"/>
                <w:szCs w:val="24"/>
                <w:lang w:val="en-US" w:eastAsia="zh-CN"/>
              </w:rPr>
              <w:t>甲方</w:t>
            </w:r>
            <w:r>
              <w:rPr>
                <w:rFonts w:hint="eastAsia" w:ascii="宋体" w:hAnsi="宋体" w:cs="宋体"/>
                <w:sz w:val="24"/>
                <w:szCs w:val="24"/>
                <w:lang w:eastAsia="zh-CN"/>
              </w:rPr>
              <w:t>收取</w:t>
            </w:r>
            <w:bookmarkEnd w:id="71"/>
            <w:r>
              <w:rPr>
                <w:rFonts w:hint="eastAsia" w:ascii="宋体" w:hAnsi="宋体" w:cs="宋体"/>
                <w:sz w:val="24"/>
                <w:szCs w:val="24"/>
                <w:lang w:eastAsia="zh-CN"/>
              </w:rPr>
              <w:t>。</w:t>
            </w:r>
          </w:p>
        </w:tc>
      </w:tr>
      <w:tr w14:paraId="732C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904" w:type="dxa"/>
            <w:noWrap/>
            <w:vAlign w:val="center"/>
          </w:tcPr>
          <w:p w14:paraId="31C7E089">
            <w:pPr>
              <w:spacing w:line="360" w:lineRule="auto"/>
              <w:jc w:val="center"/>
              <w:rPr>
                <w:rFonts w:hint="eastAsia" w:ascii="宋体" w:hAnsi="宋体" w:cs="宋体"/>
                <w:sz w:val="24"/>
              </w:rPr>
            </w:pPr>
            <w:r>
              <w:rPr>
                <w:rFonts w:hint="eastAsia" w:ascii="宋体" w:hAnsi="宋体" w:cs="宋体"/>
                <w:sz w:val="24"/>
              </w:rPr>
              <w:t>21</w:t>
            </w:r>
          </w:p>
        </w:tc>
        <w:tc>
          <w:tcPr>
            <w:tcW w:w="1955" w:type="dxa"/>
            <w:noWrap/>
            <w:vAlign w:val="center"/>
          </w:tcPr>
          <w:p w14:paraId="5BFDC32E">
            <w:pPr>
              <w:pStyle w:val="26"/>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其他要求</w:t>
            </w:r>
          </w:p>
        </w:tc>
        <w:tc>
          <w:tcPr>
            <w:tcW w:w="5908" w:type="dxa"/>
            <w:noWrap/>
            <w:vAlign w:val="center"/>
          </w:tcPr>
          <w:p w14:paraId="3135ACA1">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单位负责人为同一人或者存在直接控股、管理关系的不同供应商，不得参加同一合同项下的政府采购活动【提供声明书加盖公章，格式自拟】。</w:t>
            </w:r>
          </w:p>
        </w:tc>
      </w:tr>
      <w:tr w14:paraId="7EEC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4" w:type="dxa"/>
            <w:noWrap/>
            <w:vAlign w:val="center"/>
          </w:tcPr>
          <w:p w14:paraId="0A3A77E9">
            <w:pPr>
              <w:spacing w:line="360" w:lineRule="auto"/>
              <w:jc w:val="center"/>
              <w:rPr>
                <w:rFonts w:hint="eastAsia" w:ascii="宋体" w:hAnsi="宋体" w:cs="宋体"/>
                <w:sz w:val="24"/>
              </w:rPr>
            </w:pPr>
            <w:r>
              <w:rPr>
                <w:rFonts w:hint="eastAsia" w:ascii="宋体" w:hAnsi="宋体" w:cs="宋体"/>
                <w:sz w:val="24"/>
              </w:rPr>
              <w:t>22</w:t>
            </w:r>
          </w:p>
        </w:tc>
        <w:tc>
          <w:tcPr>
            <w:tcW w:w="1955" w:type="dxa"/>
            <w:noWrap/>
            <w:vAlign w:val="center"/>
          </w:tcPr>
          <w:p w14:paraId="0016CDE3">
            <w:pPr>
              <w:pStyle w:val="26"/>
              <w:snapToGrid w:val="0"/>
              <w:spacing w:line="360" w:lineRule="auto"/>
              <w:jc w:val="center"/>
              <w:rPr>
                <w:rFonts w:hint="eastAsia" w:ascii="宋体" w:hAnsi="宋体" w:cs="宋体"/>
                <w:sz w:val="24"/>
                <w:szCs w:val="24"/>
                <w:lang w:eastAsia="zh-CN"/>
              </w:rPr>
            </w:pPr>
            <w:r>
              <w:rPr>
                <w:rFonts w:hint="eastAsia" w:ascii="宋体" w:hAnsi="宋体" w:cs="宋体"/>
                <w:sz w:val="24"/>
                <w:szCs w:val="24"/>
                <w:lang w:eastAsia="zh-CN"/>
              </w:rPr>
              <w:t>中小企业促进政策</w:t>
            </w:r>
          </w:p>
        </w:tc>
        <w:tc>
          <w:tcPr>
            <w:tcW w:w="5908" w:type="dxa"/>
            <w:noWrap/>
            <w:vAlign w:val="center"/>
          </w:tcPr>
          <w:p w14:paraId="05E51F56">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 xml:space="preserve">（1）根据财政部、工业和信息化部 2020 年 12 月 18 日颁布的 《政府采购促进中小企业发展暂行办法》（财库〔2020〕46号） 第九条规定及财政部2022年5月30日颁布的《关于进一步加 大政府采购支持中小企业力度的通知》（财库〔2022〕19 号）第二条规定，采购人、采购代理机构应当对符合以上办法、通知规定的小微企业报价给予10%（工程项目为3%）的扣除，用 </w:t>
            </w:r>
          </w:p>
          <w:p w14:paraId="41EFDD9E">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 xml:space="preserve">扣除后的价格参加评审。适用招标投标法的政府采购工程建设项目，采用综合评估法但未采用低价优先法计算价格分的，评标时应当在采用原报价进行评分的基础上增加其价格得分的3%作为其价格分。 </w:t>
            </w:r>
          </w:p>
          <w:p w14:paraId="2A15C073">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 xml:space="preserve">（2）接受大中型企业与小微企业组成联合体或者允许大中型企业向一家或者多家小微企业分包的采购项目，招标人、招标代理机构应当对联合体或者大中型企业的报价给予 4%(工程项目为 1%)的扣除，用扣除后的价格参加评审。适用招标投标法的政府采购工程建设项目,采用综合评估法但未采用低价优先法计算价格分的,评标时应当在采用原报价进行评分的基础上增加其价格得分的 1%作为其价格分。组成联合体或者接受分包的小微企业与联合体内其他企业、分包企业之间存在直接 </w:t>
            </w:r>
          </w:p>
          <w:p w14:paraId="1F84B912">
            <w:pPr>
              <w:pStyle w:val="26"/>
              <w:spacing w:line="360" w:lineRule="auto"/>
              <w:rPr>
                <w:rFonts w:hint="eastAsia" w:ascii="宋体" w:hAnsi="宋体" w:cs="宋体"/>
                <w:sz w:val="24"/>
                <w:szCs w:val="24"/>
                <w:lang w:eastAsia="zh-CN"/>
              </w:rPr>
            </w:pPr>
            <w:r>
              <w:rPr>
                <w:rFonts w:hint="eastAsia" w:ascii="宋体" w:hAnsi="宋体" w:cs="宋体"/>
                <w:sz w:val="24"/>
                <w:szCs w:val="24"/>
                <w:lang w:eastAsia="zh-CN"/>
              </w:rPr>
              <w:t xml:space="preserve">控股、管理关系的,不享受价格扣除优惠政策。 </w:t>
            </w:r>
          </w:p>
          <w:p w14:paraId="41BCB158">
            <w:pPr>
              <w:pStyle w:val="26"/>
              <w:snapToGrid w:val="0"/>
              <w:spacing w:line="360" w:lineRule="auto"/>
              <w:rPr>
                <w:rFonts w:hint="eastAsia" w:ascii="宋体" w:hAnsi="宋体" w:cs="宋体"/>
                <w:sz w:val="24"/>
                <w:szCs w:val="24"/>
                <w:lang w:eastAsia="zh-CN"/>
              </w:rPr>
            </w:pPr>
            <w:r>
              <w:rPr>
                <w:rFonts w:hint="eastAsia" w:ascii="宋体" w:hAnsi="宋体" w:cs="宋体"/>
                <w:sz w:val="24"/>
                <w:szCs w:val="24"/>
                <w:lang w:eastAsia="zh-CN"/>
              </w:rPr>
              <w:t>（3）根据《政府采购促进中小企业发展管理办法》（财库〔2020〕46号）第十一条规定，中小企业参加政府采购活动，应当出具本办法规定的《中小企业声明函》，否则不得享受相关中小企业扶持政策。</w:t>
            </w:r>
          </w:p>
        </w:tc>
      </w:tr>
      <w:tr w14:paraId="50D6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904" w:type="dxa"/>
            <w:noWrap/>
            <w:vAlign w:val="center"/>
          </w:tcPr>
          <w:p w14:paraId="4B4F7A6F">
            <w:pPr>
              <w:spacing w:line="360" w:lineRule="auto"/>
              <w:jc w:val="center"/>
              <w:rPr>
                <w:rFonts w:hint="eastAsia" w:ascii="宋体" w:hAnsi="宋体" w:cs="宋体"/>
                <w:sz w:val="24"/>
              </w:rPr>
            </w:pPr>
            <w:r>
              <w:rPr>
                <w:rFonts w:hint="eastAsia" w:ascii="宋体" w:hAnsi="宋体" w:cs="宋体"/>
                <w:sz w:val="24"/>
              </w:rPr>
              <w:t>23</w:t>
            </w:r>
          </w:p>
        </w:tc>
        <w:tc>
          <w:tcPr>
            <w:tcW w:w="1955" w:type="dxa"/>
            <w:noWrap/>
            <w:vAlign w:val="center"/>
          </w:tcPr>
          <w:p w14:paraId="4318BF2D">
            <w:pPr>
              <w:pStyle w:val="26"/>
              <w:snapToGrid w:val="0"/>
              <w:spacing w:line="360" w:lineRule="auto"/>
              <w:jc w:val="center"/>
              <w:rPr>
                <w:rFonts w:hint="eastAsia" w:ascii="宋体" w:hAnsi="宋体" w:cs="宋体"/>
                <w:color w:val="auto"/>
                <w:sz w:val="24"/>
                <w:szCs w:val="24"/>
                <w:lang w:eastAsia="zh-CN"/>
              </w:rPr>
            </w:pPr>
            <w:r>
              <w:rPr>
                <w:rFonts w:hint="eastAsia" w:ascii="宋体" w:hAnsi="宋体" w:cs="宋体"/>
                <w:color w:val="auto"/>
                <w:sz w:val="24"/>
                <w:lang w:eastAsia="zh-CN"/>
              </w:rPr>
              <w:t>所属行业</w:t>
            </w:r>
          </w:p>
        </w:tc>
        <w:tc>
          <w:tcPr>
            <w:tcW w:w="5908" w:type="dxa"/>
            <w:noWrap/>
            <w:vAlign w:val="center"/>
          </w:tcPr>
          <w:p w14:paraId="276B0CCC">
            <w:pPr>
              <w:pStyle w:val="26"/>
              <w:snapToGrid w:val="0"/>
              <w:spacing w:line="360" w:lineRule="auto"/>
              <w:rPr>
                <w:rFonts w:hint="eastAsia" w:ascii="宋体" w:hAnsi="宋体" w:cs="宋体"/>
                <w:color w:val="auto"/>
                <w:sz w:val="24"/>
                <w:szCs w:val="24"/>
                <w:lang w:eastAsia="zh-CN"/>
              </w:rPr>
            </w:pPr>
            <w:r>
              <w:rPr>
                <w:rFonts w:hint="eastAsia" w:ascii="宋体" w:hAnsi="宋体" w:eastAsia="宋体" w:cs="宋体"/>
                <w:color w:val="auto"/>
                <w:sz w:val="24"/>
                <w:szCs w:val="24"/>
                <w:lang w:eastAsia="zh-CN"/>
              </w:rPr>
              <w:t>本次采购标的所属行业为其他未列明行业。从业人员300人以下的为中小微型企业。其中，从业人员100人及以上的为中型企业；从业人员10人及以上的为小型企业；从业人员10人以下的为微型企业。</w:t>
            </w:r>
          </w:p>
        </w:tc>
      </w:tr>
    </w:tbl>
    <w:p w14:paraId="7F1F432F">
      <w:pPr>
        <w:rPr>
          <w:rStyle w:val="28"/>
          <w:rFonts w:hint="eastAsia"/>
        </w:rPr>
      </w:pPr>
      <w:bookmarkStart w:id="72" w:name="_Toc317237599"/>
      <w:bookmarkStart w:id="73" w:name="_Toc24736"/>
      <w:bookmarkStart w:id="74" w:name="_Toc6054"/>
      <w:bookmarkStart w:id="75" w:name="_Toc23763"/>
      <w:bookmarkStart w:id="76" w:name="_Toc64"/>
      <w:bookmarkStart w:id="77" w:name="_Toc5678"/>
      <w:bookmarkStart w:id="78" w:name="_Toc317237774"/>
      <w:r>
        <w:rPr>
          <w:rStyle w:val="28"/>
          <w:rFonts w:hint="eastAsia"/>
        </w:rPr>
        <w:br w:type="page"/>
      </w:r>
    </w:p>
    <w:p w14:paraId="6D616499">
      <w:pPr>
        <w:tabs>
          <w:tab w:val="left" w:pos="540"/>
          <w:tab w:val="left" w:pos="720"/>
        </w:tabs>
        <w:outlineLvl w:val="1"/>
        <w:rPr>
          <w:rStyle w:val="28"/>
          <w:rFonts w:hint="eastAsia"/>
        </w:rPr>
      </w:pPr>
      <w:r>
        <w:rPr>
          <w:rStyle w:val="28"/>
          <w:rFonts w:hint="eastAsia"/>
        </w:rPr>
        <w:t>A.说明和释义</w:t>
      </w:r>
      <w:bookmarkEnd w:id="72"/>
      <w:bookmarkEnd w:id="73"/>
      <w:bookmarkEnd w:id="74"/>
      <w:bookmarkEnd w:id="75"/>
      <w:bookmarkEnd w:id="76"/>
      <w:bookmarkEnd w:id="77"/>
      <w:bookmarkEnd w:id="78"/>
    </w:p>
    <w:p w14:paraId="4C5D2B9B">
      <w:pPr>
        <w:numPr>
          <w:ilvl w:val="0"/>
          <w:numId w:val="1"/>
        </w:numPr>
        <w:spacing w:line="360" w:lineRule="auto"/>
        <w:rPr>
          <w:rFonts w:hint="eastAsia" w:ascii="宋体" w:hAnsi="宋体" w:cs="宋体"/>
          <w:b/>
          <w:sz w:val="24"/>
        </w:rPr>
      </w:pPr>
      <w:r>
        <w:rPr>
          <w:rFonts w:hint="eastAsia" w:ascii="宋体" w:hAnsi="宋体" w:cs="宋体"/>
          <w:b/>
          <w:sz w:val="24"/>
        </w:rPr>
        <w:t>适用范围</w:t>
      </w:r>
    </w:p>
    <w:p w14:paraId="2D5EB40C">
      <w:pPr>
        <w:pStyle w:val="5"/>
        <w:tabs>
          <w:tab w:val="left" w:pos="1050"/>
          <w:tab w:val="clear" w:pos="992"/>
        </w:tabs>
        <w:ind w:left="0" w:firstLine="480" w:firstLineChars="200"/>
        <w:rPr>
          <w:rFonts w:hint="eastAsia" w:ascii="宋体" w:hAnsi="宋体" w:cs="宋体"/>
        </w:rPr>
      </w:pPr>
      <w:r>
        <w:rPr>
          <w:rFonts w:hint="eastAsia" w:ascii="宋体" w:hAnsi="宋体" w:cs="宋体"/>
        </w:rPr>
        <w:t>本磋商文件仅适用于本采购活动。</w:t>
      </w:r>
    </w:p>
    <w:p w14:paraId="252E08ED">
      <w:pPr>
        <w:pStyle w:val="5"/>
        <w:tabs>
          <w:tab w:val="left" w:pos="1050"/>
          <w:tab w:val="clear" w:pos="992"/>
        </w:tabs>
        <w:ind w:left="0" w:firstLine="480" w:firstLineChars="200"/>
        <w:rPr>
          <w:rFonts w:hint="eastAsia" w:ascii="宋体" w:hAnsi="宋体" w:cs="宋体"/>
        </w:rPr>
      </w:pPr>
      <w:r>
        <w:rPr>
          <w:rFonts w:hint="eastAsia" w:ascii="宋体" w:hAnsi="宋体" w:cs="宋体"/>
        </w:rPr>
        <w:t>本采购活动及结果受中国法律的制约和保护。</w:t>
      </w:r>
    </w:p>
    <w:p w14:paraId="72193A65">
      <w:pPr>
        <w:numPr>
          <w:ilvl w:val="0"/>
          <w:numId w:val="1"/>
        </w:numPr>
        <w:spacing w:line="360" w:lineRule="auto"/>
        <w:rPr>
          <w:rFonts w:hint="eastAsia" w:ascii="宋体" w:hAnsi="宋体" w:cs="宋体"/>
          <w:b/>
          <w:sz w:val="24"/>
        </w:rPr>
      </w:pPr>
      <w:r>
        <w:rPr>
          <w:rFonts w:hint="eastAsia" w:ascii="宋体" w:hAnsi="宋体" w:cs="宋体"/>
          <w:b/>
          <w:sz w:val="24"/>
        </w:rPr>
        <w:t>采购说明</w:t>
      </w:r>
    </w:p>
    <w:p w14:paraId="4CE22DC6">
      <w:pPr>
        <w:pStyle w:val="5"/>
        <w:tabs>
          <w:tab w:val="left" w:pos="1050"/>
          <w:tab w:val="clear" w:pos="992"/>
        </w:tabs>
        <w:ind w:left="0" w:firstLine="480" w:firstLineChars="200"/>
        <w:rPr>
          <w:rFonts w:hint="eastAsia" w:ascii="宋体" w:hAnsi="宋体" w:cs="宋体"/>
        </w:rPr>
      </w:pPr>
      <w:r>
        <w:rPr>
          <w:rFonts w:hint="eastAsia" w:ascii="宋体" w:hAnsi="宋体" w:cs="宋体"/>
        </w:rPr>
        <w:t>项目名称：见供应商须知前附表。</w:t>
      </w:r>
    </w:p>
    <w:p w14:paraId="1C02F327">
      <w:pPr>
        <w:pStyle w:val="5"/>
        <w:tabs>
          <w:tab w:val="left" w:pos="1050"/>
          <w:tab w:val="clear" w:pos="992"/>
        </w:tabs>
        <w:ind w:left="0" w:firstLine="480" w:firstLineChars="200"/>
        <w:rPr>
          <w:rFonts w:hint="eastAsia" w:ascii="宋体" w:hAnsi="宋体" w:cs="宋体"/>
        </w:rPr>
      </w:pPr>
      <w:r>
        <w:rPr>
          <w:rFonts w:hint="eastAsia" w:ascii="宋体" w:hAnsi="宋体" w:cs="宋体"/>
        </w:rPr>
        <w:t>项目编号：见供应商须知前附表。</w:t>
      </w:r>
    </w:p>
    <w:p w14:paraId="3836DA10">
      <w:pPr>
        <w:pStyle w:val="5"/>
        <w:tabs>
          <w:tab w:val="left" w:pos="1050"/>
          <w:tab w:val="clear" w:pos="992"/>
        </w:tabs>
        <w:ind w:left="0" w:firstLine="480" w:firstLineChars="200"/>
        <w:rPr>
          <w:rFonts w:hint="eastAsia" w:ascii="宋体" w:hAnsi="宋体" w:cs="宋体"/>
        </w:rPr>
      </w:pPr>
      <w:r>
        <w:rPr>
          <w:rFonts w:hint="eastAsia" w:ascii="宋体" w:hAnsi="宋体" w:cs="宋体"/>
        </w:rPr>
        <w:t>采购人：见供应商须知前附表。</w:t>
      </w:r>
    </w:p>
    <w:p w14:paraId="2B5868D0">
      <w:pPr>
        <w:pStyle w:val="5"/>
        <w:tabs>
          <w:tab w:val="left" w:pos="1050"/>
          <w:tab w:val="clear" w:pos="992"/>
        </w:tabs>
        <w:ind w:left="0" w:firstLine="480" w:firstLineChars="200"/>
        <w:rPr>
          <w:rFonts w:hint="eastAsia" w:ascii="宋体" w:hAnsi="宋体" w:cs="宋体"/>
        </w:rPr>
      </w:pPr>
      <w:r>
        <w:rPr>
          <w:rFonts w:hint="eastAsia" w:ascii="宋体" w:hAnsi="宋体" w:cs="宋体"/>
        </w:rPr>
        <w:t>采购代理机构：见供应商须知前附表。</w:t>
      </w:r>
    </w:p>
    <w:p w14:paraId="79B9B499">
      <w:pPr>
        <w:pStyle w:val="5"/>
        <w:tabs>
          <w:tab w:val="left" w:pos="1050"/>
          <w:tab w:val="clear" w:pos="992"/>
        </w:tabs>
        <w:ind w:left="0" w:firstLine="480" w:firstLineChars="200"/>
        <w:rPr>
          <w:rFonts w:hint="eastAsia" w:ascii="宋体" w:hAnsi="宋体" w:cs="宋体"/>
        </w:rPr>
      </w:pPr>
      <w:r>
        <w:rPr>
          <w:rFonts w:hint="eastAsia" w:ascii="宋体" w:hAnsi="宋体" w:cs="宋体"/>
        </w:rPr>
        <w:t>采购预算：见供应商须知前附表。</w:t>
      </w:r>
    </w:p>
    <w:p w14:paraId="645244E5">
      <w:pPr>
        <w:pStyle w:val="5"/>
        <w:tabs>
          <w:tab w:val="left" w:pos="1050"/>
          <w:tab w:val="clear" w:pos="992"/>
        </w:tabs>
        <w:ind w:left="0" w:firstLine="480" w:firstLineChars="200"/>
        <w:rPr>
          <w:rFonts w:hint="eastAsia" w:ascii="宋体" w:hAnsi="宋体" w:cs="宋体"/>
        </w:rPr>
      </w:pPr>
      <w:r>
        <w:rPr>
          <w:rFonts w:hint="eastAsia" w:ascii="宋体" w:hAnsi="宋体" w:cs="宋体"/>
        </w:rPr>
        <w:t>投资模式：见供应商须知前附表。</w:t>
      </w:r>
    </w:p>
    <w:p w14:paraId="4329F403">
      <w:pPr>
        <w:pStyle w:val="5"/>
        <w:tabs>
          <w:tab w:val="left" w:pos="1050"/>
          <w:tab w:val="clear" w:pos="992"/>
        </w:tabs>
        <w:ind w:left="0" w:firstLine="480" w:firstLineChars="200"/>
        <w:rPr>
          <w:rFonts w:hint="eastAsia" w:ascii="宋体" w:hAnsi="宋体" w:cs="宋体"/>
        </w:rPr>
      </w:pPr>
      <w:r>
        <w:rPr>
          <w:rFonts w:hint="eastAsia" w:ascii="宋体" w:hAnsi="宋体" w:cs="宋体"/>
        </w:rPr>
        <w:t>供应商资格要求：</w:t>
      </w:r>
    </w:p>
    <w:p w14:paraId="3B82E35E">
      <w:pPr>
        <w:pStyle w:val="5"/>
        <w:numPr>
          <w:ilvl w:val="1"/>
          <w:numId w:val="0"/>
        </w:numPr>
        <w:tabs>
          <w:tab w:val="left" w:pos="1050"/>
        </w:tabs>
        <w:ind w:firstLine="960" w:firstLineChars="400"/>
        <w:rPr>
          <w:rFonts w:hint="eastAsia" w:ascii="宋体" w:hAnsi="宋体" w:cs="宋体"/>
        </w:rPr>
      </w:pPr>
      <w:r>
        <w:rPr>
          <w:rFonts w:hint="eastAsia" w:ascii="宋体" w:hAnsi="宋体" w:cs="宋体"/>
        </w:rPr>
        <w:t>2.7.1凡有能力按照本磋商文件规定的要求交付货物、工程及其相应服务的响应单位均为合格的供应商。</w:t>
      </w:r>
    </w:p>
    <w:p w14:paraId="2759638B">
      <w:pPr>
        <w:pStyle w:val="5"/>
        <w:numPr>
          <w:ilvl w:val="1"/>
          <w:numId w:val="0"/>
        </w:numPr>
        <w:tabs>
          <w:tab w:val="left" w:pos="1050"/>
        </w:tabs>
        <w:ind w:firstLine="960" w:firstLineChars="400"/>
        <w:rPr>
          <w:rFonts w:hint="eastAsia" w:ascii="宋体" w:hAnsi="宋体" w:cs="宋体"/>
        </w:rPr>
      </w:pPr>
      <w:r>
        <w:rPr>
          <w:rFonts w:hint="eastAsia" w:ascii="宋体" w:hAnsi="宋体" w:cs="宋体"/>
        </w:rPr>
        <w:t>2.7.2符合本磋商文件第一章的“供应商资格要求”规定的条件。</w:t>
      </w:r>
    </w:p>
    <w:p w14:paraId="2B4C8F88">
      <w:pPr>
        <w:pStyle w:val="5"/>
        <w:numPr>
          <w:ilvl w:val="1"/>
          <w:numId w:val="0"/>
        </w:numPr>
        <w:tabs>
          <w:tab w:val="left" w:pos="1050"/>
        </w:tabs>
        <w:ind w:firstLine="960" w:firstLineChars="400"/>
        <w:rPr>
          <w:rFonts w:hint="eastAsia" w:ascii="宋体" w:hAnsi="宋体" w:cs="宋体"/>
        </w:rPr>
      </w:pPr>
      <w:r>
        <w:rPr>
          <w:rFonts w:hint="eastAsia" w:ascii="宋体" w:hAnsi="宋体" w:cs="宋体"/>
        </w:rPr>
        <w:t>2.7.3本项目不接受联合体响应。如允许联合响应时（第一章的“供应商资格要求”），联合体各方之间应当签订共同响应协议，明确约定联合体各方承担的工作和相应的责任，并将共同响应协议连同响应文件一并提交。联合体各方签订共同响应协议后，不得再以自己名义单独在同一项目中响应，也不得组成新的联合体参加同一项目响应。联合体中至少有一方完全满足供应商资格要求的特定条件。联合响应时，联合体内最多允许有两家单位。</w:t>
      </w:r>
    </w:p>
    <w:p w14:paraId="332B2B8D">
      <w:pPr>
        <w:pStyle w:val="5"/>
        <w:numPr>
          <w:ilvl w:val="1"/>
          <w:numId w:val="0"/>
        </w:numPr>
        <w:tabs>
          <w:tab w:val="left" w:pos="1050"/>
        </w:tabs>
        <w:ind w:firstLine="960" w:firstLineChars="400"/>
        <w:rPr>
          <w:rFonts w:hint="eastAsia" w:ascii="宋体" w:hAnsi="宋体" w:cs="宋体"/>
        </w:rPr>
      </w:pPr>
      <w:r>
        <w:rPr>
          <w:rFonts w:hint="eastAsia" w:ascii="宋体" w:hAnsi="宋体" w:cs="宋体"/>
        </w:rPr>
        <w:t>2.7.4供应商参加响应不得有下列情形：</w:t>
      </w:r>
    </w:p>
    <w:p w14:paraId="1A327D38">
      <w:pPr>
        <w:pStyle w:val="5"/>
        <w:numPr>
          <w:ilvl w:val="1"/>
          <w:numId w:val="0"/>
        </w:numPr>
        <w:tabs>
          <w:tab w:val="left" w:pos="1050"/>
        </w:tabs>
        <w:ind w:firstLine="960" w:firstLineChars="400"/>
        <w:rPr>
          <w:rFonts w:hint="eastAsia" w:ascii="宋体" w:hAnsi="宋体" w:cs="宋体"/>
        </w:rPr>
      </w:pPr>
      <w:r>
        <w:rPr>
          <w:rFonts w:hint="eastAsia" w:ascii="宋体" w:hAnsi="宋体" w:cs="宋体"/>
        </w:rPr>
        <w:t>（1）提供虚假材料谋取成交；</w:t>
      </w:r>
    </w:p>
    <w:p w14:paraId="1DFA7B47">
      <w:pPr>
        <w:pStyle w:val="5"/>
        <w:numPr>
          <w:ilvl w:val="1"/>
          <w:numId w:val="0"/>
        </w:numPr>
        <w:tabs>
          <w:tab w:val="left" w:pos="1050"/>
        </w:tabs>
        <w:ind w:firstLine="960" w:firstLineChars="400"/>
        <w:rPr>
          <w:rFonts w:hint="eastAsia" w:ascii="宋体" w:hAnsi="宋体" w:cs="宋体"/>
        </w:rPr>
      </w:pPr>
      <w:r>
        <w:rPr>
          <w:rFonts w:hint="eastAsia" w:ascii="宋体" w:hAnsi="宋体" w:cs="宋体"/>
        </w:rPr>
        <w:t>（2）采取不正当手段诋毁、排挤其他供应商；</w:t>
      </w:r>
    </w:p>
    <w:p w14:paraId="2D581388">
      <w:pPr>
        <w:pStyle w:val="5"/>
        <w:numPr>
          <w:ilvl w:val="1"/>
          <w:numId w:val="0"/>
        </w:numPr>
        <w:tabs>
          <w:tab w:val="left" w:pos="1050"/>
        </w:tabs>
        <w:ind w:firstLine="960" w:firstLineChars="400"/>
        <w:rPr>
          <w:rFonts w:hint="eastAsia" w:ascii="宋体" w:hAnsi="宋体" w:cs="宋体"/>
        </w:rPr>
      </w:pPr>
      <w:r>
        <w:rPr>
          <w:rFonts w:hint="eastAsia" w:ascii="宋体" w:hAnsi="宋体" w:cs="宋体"/>
        </w:rPr>
        <w:t>（3）与招标采购单位、其他供应商恶意串通；</w:t>
      </w:r>
    </w:p>
    <w:p w14:paraId="26F21FD9">
      <w:pPr>
        <w:pStyle w:val="5"/>
        <w:numPr>
          <w:ilvl w:val="1"/>
          <w:numId w:val="0"/>
        </w:numPr>
        <w:tabs>
          <w:tab w:val="left" w:pos="1050"/>
        </w:tabs>
        <w:ind w:firstLine="960" w:firstLineChars="400"/>
        <w:rPr>
          <w:rFonts w:hint="eastAsia" w:ascii="宋体" w:hAnsi="宋体" w:cs="宋体"/>
        </w:rPr>
      </w:pPr>
      <w:r>
        <w:rPr>
          <w:rFonts w:hint="eastAsia" w:ascii="宋体" w:hAnsi="宋体" w:cs="宋体"/>
        </w:rPr>
        <w:t>（4）向招标采购单位、评标委员会成员行贿或者提供其他不正当利益；</w:t>
      </w:r>
    </w:p>
    <w:p w14:paraId="31BCA0B3">
      <w:pPr>
        <w:pStyle w:val="5"/>
        <w:numPr>
          <w:ilvl w:val="1"/>
          <w:numId w:val="0"/>
        </w:numPr>
        <w:tabs>
          <w:tab w:val="left" w:pos="1050"/>
        </w:tabs>
        <w:ind w:firstLine="960" w:firstLineChars="400"/>
        <w:rPr>
          <w:rFonts w:hint="eastAsia" w:ascii="宋体" w:hAnsi="宋体" w:cs="宋体"/>
        </w:rPr>
      </w:pPr>
      <w:r>
        <w:rPr>
          <w:rFonts w:hint="eastAsia" w:ascii="宋体" w:hAnsi="宋体" w:cs="宋体"/>
        </w:rPr>
        <w:t>（5）在采购过程中与招标采购单位进行协商磋商；</w:t>
      </w:r>
    </w:p>
    <w:p w14:paraId="2C6DB6D7">
      <w:pPr>
        <w:pStyle w:val="5"/>
        <w:numPr>
          <w:ilvl w:val="1"/>
          <w:numId w:val="0"/>
        </w:numPr>
        <w:tabs>
          <w:tab w:val="left" w:pos="1050"/>
        </w:tabs>
        <w:ind w:firstLine="960" w:firstLineChars="400"/>
        <w:rPr>
          <w:rFonts w:hint="eastAsia" w:ascii="宋体" w:hAnsi="宋体" w:cs="宋体"/>
        </w:rPr>
      </w:pPr>
      <w:r>
        <w:rPr>
          <w:rFonts w:hint="eastAsia" w:ascii="宋体" w:hAnsi="宋体" w:cs="宋体"/>
        </w:rPr>
        <w:t xml:space="preserve">（6）拒绝有关部门的监督检查或者向监督检查部门提供虚假情况。    </w:t>
      </w:r>
    </w:p>
    <w:p w14:paraId="080C1859">
      <w:pPr>
        <w:pStyle w:val="5"/>
        <w:numPr>
          <w:ilvl w:val="1"/>
          <w:numId w:val="0"/>
        </w:numPr>
        <w:tabs>
          <w:tab w:val="left" w:pos="1050"/>
        </w:tabs>
        <w:ind w:firstLine="960" w:firstLineChars="400"/>
        <w:rPr>
          <w:rFonts w:hint="eastAsia" w:ascii="宋体" w:hAnsi="宋体" w:cs="宋体"/>
        </w:rPr>
      </w:pPr>
      <w:r>
        <w:rPr>
          <w:rFonts w:hint="eastAsia" w:ascii="宋体" w:hAnsi="宋体" w:cs="宋体"/>
        </w:rPr>
        <w:t>有上述情形之一的供应商，属于不合格供应商，其响应或成交资格将被取消。</w:t>
      </w:r>
    </w:p>
    <w:p w14:paraId="530EB153">
      <w:pPr>
        <w:numPr>
          <w:ilvl w:val="0"/>
          <w:numId w:val="1"/>
        </w:numPr>
        <w:spacing w:line="360" w:lineRule="auto"/>
        <w:rPr>
          <w:rFonts w:hint="eastAsia" w:ascii="宋体" w:hAnsi="宋体" w:cs="宋体"/>
          <w:b/>
          <w:sz w:val="24"/>
        </w:rPr>
      </w:pPr>
      <w:r>
        <w:rPr>
          <w:rFonts w:hint="eastAsia" w:ascii="宋体" w:hAnsi="宋体" w:cs="宋体"/>
          <w:b/>
          <w:sz w:val="24"/>
        </w:rPr>
        <w:t>磋商授权委托</w:t>
      </w:r>
    </w:p>
    <w:p w14:paraId="75B59052">
      <w:pPr>
        <w:pStyle w:val="5"/>
        <w:tabs>
          <w:tab w:val="left" w:pos="1050"/>
          <w:tab w:val="clear" w:pos="992"/>
        </w:tabs>
        <w:ind w:left="0" w:firstLine="480" w:firstLineChars="200"/>
        <w:rPr>
          <w:rFonts w:hint="eastAsia" w:ascii="宋体" w:hAnsi="宋体" w:cs="宋体"/>
        </w:rPr>
      </w:pPr>
      <w:r>
        <w:rPr>
          <w:rFonts w:hint="eastAsia" w:ascii="宋体" w:hAnsi="宋体" w:cs="宋体"/>
        </w:rPr>
        <w:t>供应商的法定代表人可以委托代表人处理磋商事务。</w:t>
      </w:r>
    </w:p>
    <w:p w14:paraId="516E8B74">
      <w:pPr>
        <w:pStyle w:val="5"/>
        <w:tabs>
          <w:tab w:val="left" w:pos="1050"/>
          <w:tab w:val="clear" w:pos="992"/>
        </w:tabs>
        <w:ind w:left="0" w:firstLine="480" w:firstLineChars="200"/>
        <w:rPr>
          <w:rFonts w:hint="eastAsia" w:ascii="宋体" w:hAnsi="宋体" w:cs="宋体"/>
        </w:rPr>
      </w:pPr>
      <w:r>
        <w:rPr>
          <w:rFonts w:hint="eastAsia" w:ascii="宋体" w:hAnsi="宋体" w:cs="宋体"/>
        </w:rPr>
        <w:t>委托代表人的资格条件：见供应商须知前附表。</w:t>
      </w:r>
    </w:p>
    <w:p w14:paraId="18E8D01D">
      <w:pPr>
        <w:pStyle w:val="5"/>
        <w:tabs>
          <w:tab w:val="left" w:pos="1050"/>
          <w:tab w:val="clear" w:pos="992"/>
        </w:tabs>
        <w:ind w:left="0" w:firstLine="480" w:firstLineChars="200"/>
        <w:rPr>
          <w:rFonts w:hint="eastAsia" w:ascii="宋体" w:hAnsi="宋体" w:cs="宋体"/>
        </w:rPr>
      </w:pPr>
      <w:r>
        <w:rPr>
          <w:rFonts w:hint="eastAsia" w:ascii="宋体" w:hAnsi="宋体" w:cs="宋体"/>
        </w:rPr>
        <w:t>委托代表人的代理权限：见供应商须知前附表。</w:t>
      </w:r>
    </w:p>
    <w:p w14:paraId="36849C63">
      <w:pPr>
        <w:pStyle w:val="5"/>
        <w:tabs>
          <w:tab w:val="left" w:pos="1050"/>
          <w:tab w:val="clear" w:pos="992"/>
        </w:tabs>
        <w:ind w:left="0" w:firstLine="480" w:firstLineChars="200"/>
        <w:rPr>
          <w:rFonts w:hint="eastAsia" w:ascii="宋体" w:hAnsi="宋体" w:cs="宋体"/>
        </w:rPr>
      </w:pPr>
      <w:r>
        <w:rPr>
          <w:rFonts w:hint="eastAsia" w:ascii="宋体" w:hAnsi="宋体" w:cs="宋体"/>
        </w:rPr>
        <w:t>委托代表人须持有法定代表人出具的符合格式要求的《授权委托书》（格式见附件）。</w:t>
      </w:r>
    </w:p>
    <w:p w14:paraId="1870501E">
      <w:pPr>
        <w:numPr>
          <w:ilvl w:val="0"/>
          <w:numId w:val="1"/>
        </w:numPr>
        <w:spacing w:line="360" w:lineRule="auto"/>
        <w:rPr>
          <w:rFonts w:hint="eastAsia" w:ascii="宋体" w:hAnsi="宋体" w:cs="宋体"/>
          <w:b/>
          <w:sz w:val="24"/>
        </w:rPr>
      </w:pPr>
      <w:r>
        <w:rPr>
          <w:rFonts w:hint="eastAsia" w:ascii="宋体" w:hAnsi="宋体" w:cs="宋体"/>
          <w:b/>
          <w:sz w:val="24"/>
        </w:rPr>
        <w:t>磋商费用</w:t>
      </w:r>
    </w:p>
    <w:p w14:paraId="27BE53AF">
      <w:pPr>
        <w:pStyle w:val="5"/>
        <w:tabs>
          <w:tab w:val="left" w:pos="1050"/>
          <w:tab w:val="clear" w:pos="992"/>
        </w:tabs>
        <w:ind w:left="0" w:firstLine="480" w:firstLineChars="200"/>
      </w:pPr>
      <w:r>
        <w:rPr>
          <w:rFonts w:hint="eastAsia" w:ascii="宋体" w:hAnsi="宋体" w:cs="宋体"/>
        </w:rPr>
        <w:t>供应商自行承担参加磋商的全部费用。</w:t>
      </w:r>
    </w:p>
    <w:p w14:paraId="4B9D30AC"/>
    <w:p w14:paraId="686116FD">
      <w:pPr>
        <w:pStyle w:val="3"/>
        <w:spacing w:line="240" w:lineRule="auto"/>
        <w:rPr>
          <w:rFonts w:hint="eastAsia"/>
        </w:rPr>
      </w:pPr>
      <w:bookmarkStart w:id="79" w:name="_Toc3181"/>
      <w:bookmarkStart w:id="80" w:name="_Toc6826"/>
      <w:bookmarkStart w:id="81" w:name="_Toc1069"/>
      <w:bookmarkStart w:id="82" w:name="_Toc30029"/>
      <w:bookmarkStart w:id="83" w:name="_Toc23371"/>
      <w:r>
        <w:rPr>
          <w:rFonts w:hint="eastAsia"/>
        </w:rPr>
        <w:t>B.磋商文件</w:t>
      </w:r>
      <w:bookmarkEnd w:id="79"/>
      <w:bookmarkEnd w:id="80"/>
      <w:bookmarkEnd w:id="81"/>
      <w:bookmarkEnd w:id="82"/>
      <w:bookmarkEnd w:id="83"/>
    </w:p>
    <w:p w14:paraId="6FBBE650">
      <w:pPr>
        <w:numPr>
          <w:ilvl w:val="0"/>
          <w:numId w:val="1"/>
        </w:numPr>
        <w:spacing w:line="360" w:lineRule="auto"/>
        <w:rPr>
          <w:rFonts w:hint="eastAsia" w:ascii="宋体" w:hAnsi="宋体" w:cs="宋体"/>
          <w:b/>
          <w:sz w:val="24"/>
        </w:rPr>
      </w:pPr>
      <w:r>
        <w:rPr>
          <w:rFonts w:hint="eastAsia" w:ascii="宋体" w:hAnsi="宋体" w:cs="宋体"/>
          <w:b/>
          <w:sz w:val="24"/>
        </w:rPr>
        <w:t>磋商文件的构成</w:t>
      </w:r>
    </w:p>
    <w:p w14:paraId="167F7550">
      <w:pPr>
        <w:pStyle w:val="5"/>
        <w:tabs>
          <w:tab w:val="left" w:pos="1050"/>
          <w:tab w:val="clear" w:pos="992"/>
        </w:tabs>
        <w:ind w:left="0" w:firstLine="480" w:firstLineChars="200"/>
        <w:rPr>
          <w:rFonts w:hint="eastAsia" w:ascii="宋体" w:hAnsi="宋体" w:cs="宋体"/>
        </w:rPr>
      </w:pPr>
      <w:r>
        <w:rPr>
          <w:rFonts w:hint="eastAsia" w:ascii="宋体" w:hAnsi="宋体" w:cs="宋体"/>
        </w:rPr>
        <w:t>磋商文件包括以下内容：</w:t>
      </w:r>
    </w:p>
    <w:p w14:paraId="32C4476B">
      <w:pPr>
        <w:spacing w:line="360" w:lineRule="auto"/>
        <w:ind w:firstLine="480" w:firstLineChars="200"/>
        <w:rPr>
          <w:rFonts w:hint="eastAsia" w:ascii="宋体" w:hAnsi="宋体" w:cs="宋体"/>
          <w:sz w:val="24"/>
        </w:rPr>
      </w:pPr>
      <w:r>
        <w:rPr>
          <w:rFonts w:hint="eastAsia" w:ascii="宋体" w:hAnsi="宋体" w:cs="宋体"/>
          <w:sz w:val="24"/>
        </w:rPr>
        <w:t>（一）采购邀请；</w:t>
      </w:r>
    </w:p>
    <w:p w14:paraId="2EF4A70B">
      <w:pPr>
        <w:spacing w:line="360" w:lineRule="auto"/>
        <w:ind w:firstLine="480" w:firstLineChars="200"/>
        <w:rPr>
          <w:rFonts w:hint="eastAsia" w:ascii="宋体" w:hAnsi="宋体" w:cs="宋体"/>
          <w:sz w:val="24"/>
        </w:rPr>
      </w:pPr>
      <w:r>
        <w:rPr>
          <w:rFonts w:hint="eastAsia" w:ascii="宋体" w:hAnsi="宋体" w:cs="宋体"/>
          <w:sz w:val="24"/>
        </w:rPr>
        <w:t>（二）供应商须知；</w:t>
      </w:r>
    </w:p>
    <w:p w14:paraId="7AB91C4C">
      <w:pPr>
        <w:spacing w:line="360" w:lineRule="auto"/>
        <w:ind w:firstLine="480" w:firstLineChars="200"/>
        <w:rPr>
          <w:rFonts w:hint="eastAsia" w:ascii="宋体" w:hAnsi="宋体" w:cs="宋体"/>
          <w:sz w:val="24"/>
        </w:rPr>
      </w:pPr>
      <w:r>
        <w:rPr>
          <w:rFonts w:hint="eastAsia" w:ascii="宋体" w:hAnsi="宋体" w:cs="宋体"/>
          <w:sz w:val="24"/>
        </w:rPr>
        <w:t>（三）采购需求；</w:t>
      </w:r>
    </w:p>
    <w:p w14:paraId="2A7F7E81">
      <w:pPr>
        <w:spacing w:line="360" w:lineRule="auto"/>
        <w:ind w:firstLine="480" w:firstLineChars="200"/>
        <w:rPr>
          <w:rFonts w:hint="eastAsia" w:ascii="宋体" w:hAnsi="宋体" w:cs="宋体"/>
          <w:sz w:val="24"/>
        </w:rPr>
      </w:pPr>
      <w:r>
        <w:rPr>
          <w:rFonts w:hint="eastAsia" w:ascii="宋体" w:hAnsi="宋体" w:cs="宋体"/>
          <w:sz w:val="24"/>
        </w:rPr>
        <w:t>（四）采购合同；</w:t>
      </w:r>
    </w:p>
    <w:p w14:paraId="7824EE1B">
      <w:pPr>
        <w:spacing w:line="360" w:lineRule="auto"/>
        <w:ind w:firstLine="480" w:firstLineChars="200"/>
        <w:rPr>
          <w:rFonts w:hint="eastAsia" w:ascii="宋体" w:hAnsi="宋体" w:cs="宋体"/>
          <w:sz w:val="24"/>
        </w:rPr>
      </w:pPr>
      <w:r>
        <w:rPr>
          <w:rFonts w:hint="eastAsia" w:ascii="宋体" w:hAnsi="宋体" w:cs="宋体"/>
          <w:sz w:val="24"/>
        </w:rPr>
        <w:t>（五）评审程序、方法和标准；</w:t>
      </w:r>
    </w:p>
    <w:p w14:paraId="3BCF7A72">
      <w:pPr>
        <w:spacing w:line="360" w:lineRule="auto"/>
        <w:ind w:firstLine="480" w:firstLineChars="200"/>
        <w:rPr>
          <w:rFonts w:hint="eastAsia" w:ascii="宋体" w:hAnsi="宋体" w:cs="宋体"/>
          <w:sz w:val="24"/>
        </w:rPr>
      </w:pPr>
      <w:r>
        <w:rPr>
          <w:rFonts w:hint="eastAsia" w:ascii="宋体" w:hAnsi="宋体" w:cs="宋体"/>
          <w:sz w:val="24"/>
        </w:rPr>
        <w:t>（六）响应文件格式。</w:t>
      </w:r>
    </w:p>
    <w:p w14:paraId="21992BFA">
      <w:pPr>
        <w:pStyle w:val="5"/>
        <w:tabs>
          <w:tab w:val="left" w:pos="1050"/>
          <w:tab w:val="clear" w:pos="992"/>
        </w:tabs>
        <w:ind w:left="0" w:firstLine="480" w:firstLineChars="200"/>
        <w:rPr>
          <w:rFonts w:hint="eastAsia" w:ascii="宋体" w:hAnsi="宋体" w:cs="宋体"/>
        </w:rPr>
      </w:pPr>
      <w:r>
        <w:rPr>
          <w:rFonts w:hint="eastAsia" w:ascii="宋体" w:hAnsi="宋体" w:cs="宋体"/>
        </w:rPr>
        <w:t>供应商应当仔细阅读和正确理解磋商文件中陈述的所有事项，遵循格式文件的规定和签署要求。</w:t>
      </w:r>
    </w:p>
    <w:p w14:paraId="0C38D104">
      <w:pPr>
        <w:numPr>
          <w:ilvl w:val="0"/>
          <w:numId w:val="1"/>
        </w:numPr>
        <w:spacing w:line="360" w:lineRule="auto"/>
        <w:rPr>
          <w:rFonts w:hint="eastAsia" w:ascii="宋体" w:hAnsi="宋体" w:cs="宋体"/>
          <w:b/>
          <w:sz w:val="24"/>
        </w:rPr>
      </w:pPr>
      <w:r>
        <w:rPr>
          <w:rFonts w:hint="eastAsia" w:ascii="宋体" w:hAnsi="宋体" w:cs="宋体"/>
          <w:b/>
          <w:sz w:val="24"/>
        </w:rPr>
        <w:t>磋商文件的澄清和修改</w:t>
      </w:r>
    </w:p>
    <w:p w14:paraId="7AB74CF5">
      <w:pPr>
        <w:pStyle w:val="5"/>
        <w:tabs>
          <w:tab w:val="left" w:pos="1050"/>
          <w:tab w:val="clear" w:pos="992"/>
        </w:tabs>
        <w:ind w:left="0" w:firstLine="480" w:firstLineChars="200"/>
        <w:rPr>
          <w:rFonts w:hint="eastAsia" w:ascii="宋体" w:hAnsi="宋体" w:cs="宋体"/>
        </w:rPr>
      </w:pPr>
      <w:r>
        <w:rPr>
          <w:rFonts w:hint="eastAsia" w:ascii="宋体" w:hAnsi="宋体" w:cs="宋体"/>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5105048">
      <w:pPr>
        <w:pStyle w:val="5"/>
        <w:tabs>
          <w:tab w:val="left" w:pos="1050"/>
          <w:tab w:val="clear" w:pos="992"/>
        </w:tabs>
        <w:ind w:left="0" w:firstLine="480" w:firstLineChars="200"/>
        <w:rPr>
          <w:rFonts w:hint="eastAsia" w:ascii="宋体" w:hAnsi="宋体" w:cs="宋体"/>
        </w:rPr>
      </w:pPr>
      <w:r>
        <w:rPr>
          <w:rFonts w:hint="eastAsia" w:ascii="宋体" w:hAnsi="宋体" w:cs="宋体"/>
        </w:rPr>
        <w:t>澄清或者修改是磋商文件的组成部分。澄清或者修改以公告的方式发布。</w:t>
      </w:r>
    </w:p>
    <w:p w14:paraId="3DE4CEF8">
      <w:pPr>
        <w:numPr>
          <w:ilvl w:val="0"/>
          <w:numId w:val="1"/>
        </w:numPr>
        <w:spacing w:line="360" w:lineRule="auto"/>
        <w:rPr>
          <w:rFonts w:hint="eastAsia" w:ascii="宋体" w:hAnsi="宋体" w:cs="宋体"/>
          <w:b/>
          <w:sz w:val="24"/>
        </w:rPr>
      </w:pPr>
      <w:r>
        <w:rPr>
          <w:rFonts w:hint="eastAsia" w:ascii="宋体" w:hAnsi="宋体" w:cs="宋体"/>
          <w:b/>
          <w:sz w:val="24"/>
        </w:rPr>
        <w:t>现场考察和答疑会</w:t>
      </w:r>
    </w:p>
    <w:p w14:paraId="0DE4E0C1">
      <w:pPr>
        <w:pStyle w:val="5"/>
        <w:tabs>
          <w:tab w:val="left" w:pos="1050"/>
          <w:tab w:val="clear" w:pos="992"/>
        </w:tabs>
        <w:ind w:left="0" w:firstLine="480" w:firstLineChars="200"/>
        <w:rPr>
          <w:rFonts w:hint="eastAsia" w:ascii="宋体" w:hAnsi="宋体" w:cs="宋体"/>
        </w:rPr>
      </w:pPr>
      <w:r>
        <w:rPr>
          <w:rFonts w:hint="eastAsia" w:ascii="宋体" w:hAnsi="宋体" w:cs="宋体"/>
        </w:rPr>
        <w:t>现场考察和答疑会：见供应商须知前附表。</w:t>
      </w:r>
    </w:p>
    <w:p w14:paraId="208F0BBB">
      <w:pPr>
        <w:pStyle w:val="3"/>
        <w:spacing w:line="240" w:lineRule="auto"/>
        <w:rPr>
          <w:rFonts w:hint="eastAsia"/>
        </w:rPr>
      </w:pPr>
      <w:bookmarkStart w:id="84" w:name="_Toc25021"/>
      <w:bookmarkStart w:id="85" w:name="_Toc32624"/>
      <w:bookmarkStart w:id="86" w:name="_Toc13261"/>
      <w:bookmarkStart w:id="87" w:name="_Toc7651"/>
      <w:bookmarkStart w:id="88" w:name="_Toc25853"/>
      <w:r>
        <w:rPr>
          <w:rFonts w:hint="eastAsia"/>
        </w:rPr>
        <w:t>C.响应文件</w:t>
      </w:r>
      <w:bookmarkEnd w:id="84"/>
      <w:bookmarkEnd w:id="85"/>
      <w:bookmarkEnd w:id="86"/>
      <w:bookmarkEnd w:id="87"/>
      <w:bookmarkEnd w:id="88"/>
    </w:p>
    <w:p w14:paraId="2AC1C094">
      <w:pPr>
        <w:numPr>
          <w:ilvl w:val="0"/>
          <w:numId w:val="1"/>
        </w:numPr>
        <w:spacing w:line="360" w:lineRule="auto"/>
        <w:rPr>
          <w:rFonts w:hint="eastAsia" w:ascii="宋体" w:hAnsi="宋体" w:cs="宋体"/>
          <w:b/>
          <w:sz w:val="24"/>
        </w:rPr>
      </w:pPr>
      <w:r>
        <w:rPr>
          <w:rFonts w:hint="eastAsia" w:ascii="宋体" w:hAnsi="宋体" w:cs="宋体"/>
          <w:b/>
          <w:sz w:val="24"/>
        </w:rPr>
        <w:t>响应文件计量单位和使用文字</w:t>
      </w:r>
    </w:p>
    <w:p w14:paraId="6605B7B8">
      <w:pPr>
        <w:pStyle w:val="5"/>
        <w:tabs>
          <w:tab w:val="left" w:pos="1050"/>
          <w:tab w:val="clear" w:pos="992"/>
        </w:tabs>
        <w:ind w:left="0" w:firstLine="480" w:firstLineChars="200"/>
        <w:rPr>
          <w:rFonts w:hint="eastAsia" w:ascii="宋体" w:hAnsi="宋体" w:cs="宋体"/>
        </w:rPr>
      </w:pPr>
      <w:r>
        <w:rPr>
          <w:rFonts w:hint="eastAsia" w:ascii="宋体" w:hAnsi="宋体" w:cs="宋体"/>
        </w:rPr>
        <w:t>所有计量均采用中华人民共和国法定计量单位。</w:t>
      </w:r>
    </w:p>
    <w:p w14:paraId="0465F267">
      <w:pPr>
        <w:pStyle w:val="5"/>
        <w:tabs>
          <w:tab w:val="left" w:pos="1050"/>
          <w:tab w:val="clear" w:pos="992"/>
        </w:tabs>
        <w:ind w:left="0" w:firstLine="480" w:firstLineChars="200"/>
        <w:rPr>
          <w:rFonts w:hint="eastAsia" w:ascii="宋体" w:hAnsi="宋体" w:cs="宋体"/>
        </w:rPr>
      </w:pPr>
      <w:r>
        <w:rPr>
          <w:rFonts w:hint="eastAsia" w:ascii="宋体" w:hAnsi="宋体" w:cs="宋体"/>
        </w:rPr>
        <w:t>响应文件使用中文编制。响应文件部分内容必须使用其他文字的，应当附有该文字的中文译本。供应商承担未附中文译本或中文译本不准确而引起不利后果。</w:t>
      </w:r>
    </w:p>
    <w:p w14:paraId="561103C0">
      <w:pPr>
        <w:numPr>
          <w:ilvl w:val="0"/>
          <w:numId w:val="1"/>
        </w:numPr>
        <w:spacing w:line="360" w:lineRule="auto"/>
        <w:rPr>
          <w:rFonts w:hint="eastAsia" w:ascii="宋体" w:hAnsi="宋体" w:cs="宋体"/>
          <w:b/>
          <w:sz w:val="24"/>
        </w:rPr>
      </w:pPr>
      <w:r>
        <w:rPr>
          <w:rFonts w:hint="eastAsia" w:ascii="宋体" w:hAnsi="宋体" w:cs="宋体"/>
          <w:b/>
          <w:sz w:val="24"/>
        </w:rPr>
        <w:t>联合体</w:t>
      </w:r>
    </w:p>
    <w:p w14:paraId="65C9CEA4">
      <w:pPr>
        <w:pStyle w:val="5"/>
        <w:tabs>
          <w:tab w:val="left" w:pos="1050"/>
          <w:tab w:val="clear" w:pos="992"/>
        </w:tabs>
        <w:ind w:left="0" w:firstLine="480" w:firstLineChars="200"/>
        <w:rPr>
          <w:rFonts w:hint="eastAsia" w:ascii="宋体" w:hAnsi="宋体" w:cs="宋体"/>
        </w:rPr>
      </w:pPr>
      <w:r>
        <w:rPr>
          <w:rFonts w:hint="eastAsia" w:ascii="宋体" w:hAnsi="宋体" w:cs="宋体"/>
        </w:rPr>
        <w:t>不接受供应商组成联合体。</w:t>
      </w:r>
    </w:p>
    <w:p w14:paraId="0A094704">
      <w:pPr>
        <w:numPr>
          <w:ilvl w:val="0"/>
          <w:numId w:val="1"/>
        </w:numPr>
        <w:spacing w:line="360" w:lineRule="auto"/>
        <w:rPr>
          <w:rFonts w:hint="eastAsia" w:ascii="宋体" w:hAnsi="宋体" w:cs="宋体"/>
          <w:b/>
          <w:sz w:val="24"/>
        </w:rPr>
      </w:pPr>
      <w:r>
        <w:rPr>
          <w:rFonts w:hint="eastAsia" w:ascii="宋体" w:hAnsi="宋体" w:cs="宋体"/>
          <w:b/>
          <w:sz w:val="24"/>
        </w:rPr>
        <w:t>响应文件的组成</w:t>
      </w:r>
    </w:p>
    <w:p w14:paraId="20F62B56">
      <w:pPr>
        <w:pStyle w:val="5"/>
        <w:tabs>
          <w:tab w:val="left" w:pos="1050"/>
          <w:tab w:val="clear" w:pos="992"/>
        </w:tabs>
        <w:ind w:left="0" w:firstLine="480" w:firstLineChars="200"/>
        <w:rPr>
          <w:rFonts w:hint="eastAsia" w:ascii="宋体" w:hAnsi="宋体" w:cs="宋体"/>
        </w:rPr>
      </w:pPr>
      <w:r>
        <w:rPr>
          <w:rFonts w:hint="eastAsia" w:ascii="宋体" w:hAnsi="宋体" w:cs="宋体"/>
        </w:rPr>
        <w:t>响应文件</w:t>
      </w:r>
    </w:p>
    <w:p w14:paraId="1EE955A4">
      <w:pPr>
        <w:numPr>
          <w:ilvl w:val="2"/>
          <w:numId w:val="1"/>
        </w:numPr>
        <w:tabs>
          <w:tab w:val="left" w:pos="1365"/>
          <w:tab w:val="clear" w:pos="1418"/>
        </w:tabs>
        <w:spacing w:line="360" w:lineRule="auto"/>
        <w:ind w:left="0" w:firstLine="720" w:firstLineChars="300"/>
        <w:rPr>
          <w:rFonts w:hint="eastAsia" w:ascii="宋体" w:hAnsi="宋体" w:cs="宋体"/>
        </w:rPr>
      </w:pPr>
      <w:r>
        <w:rPr>
          <w:rFonts w:hint="eastAsia" w:ascii="宋体" w:hAnsi="宋体" w:cs="宋体"/>
          <w:bCs/>
          <w:sz w:val="24"/>
          <w:szCs w:val="28"/>
        </w:rPr>
        <w:t>详见磋商文件第六部分响应文件格式</w:t>
      </w:r>
    </w:p>
    <w:p w14:paraId="78872E6B">
      <w:pPr>
        <w:numPr>
          <w:ilvl w:val="0"/>
          <w:numId w:val="1"/>
        </w:numPr>
        <w:spacing w:line="360" w:lineRule="auto"/>
        <w:rPr>
          <w:rFonts w:hint="eastAsia" w:ascii="宋体" w:hAnsi="宋体" w:cs="宋体"/>
          <w:b/>
          <w:sz w:val="24"/>
        </w:rPr>
      </w:pPr>
      <w:r>
        <w:rPr>
          <w:rFonts w:hint="eastAsia" w:ascii="宋体" w:hAnsi="宋体" w:cs="宋体"/>
          <w:b/>
          <w:sz w:val="24"/>
        </w:rPr>
        <w:t>响应文件编制说明</w:t>
      </w:r>
    </w:p>
    <w:p w14:paraId="750CC7C3">
      <w:pPr>
        <w:pStyle w:val="5"/>
        <w:tabs>
          <w:tab w:val="left" w:pos="1050"/>
          <w:tab w:val="clear" w:pos="992"/>
        </w:tabs>
        <w:ind w:left="0" w:firstLine="480" w:firstLineChars="200"/>
        <w:rPr>
          <w:rFonts w:hint="eastAsia" w:ascii="宋体" w:hAnsi="宋体" w:cs="宋体"/>
        </w:rPr>
      </w:pPr>
      <w:r>
        <w:rPr>
          <w:rFonts w:hint="eastAsia" w:ascii="宋体" w:hAnsi="宋体" w:cs="宋体"/>
        </w:rPr>
        <w:t>响应文件必须按照磋商文件要求的统一格式顺序编写</w:t>
      </w:r>
      <w:r>
        <w:rPr>
          <w:rFonts w:hint="eastAsia" w:ascii="宋体" w:hAnsi="宋体" w:cs="宋体"/>
          <w:b/>
        </w:rPr>
        <w:t>。</w:t>
      </w:r>
      <w:r>
        <w:rPr>
          <w:rFonts w:hint="eastAsia" w:ascii="宋体" w:hAnsi="宋体" w:cs="宋体"/>
          <w:b/>
          <w:u w:val="single"/>
        </w:rPr>
        <w:t>要求响应文件全部内容制作详细的目录（包括页码的编制），为评审时查询作索引。</w:t>
      </w:r>
    </w:p>
    <w:p w14:paraId="06587EA7">
      <w:pPr>
        <w:rPr>
          <w:rFonts w:hint="eastAsia" w:ascii="宋体" w:hAnsi="宋体" w:cs="宋体"/>
        </w:rPr>
      </w:pPr>
    </w:p>
    <w:p w14:paraId="0BFF750F">
      <w:pPr>
        <w:numPr>
          <w:ilvl w:val="0"/>
          <w:numId w:val="1"/>
        </w:numPr>
        <w:spacing w:line="360" w:lineRule="auto"/>
        <w:rPr>
          <w:rFonts w:hint="eastAsia" w:ascii="宋体" w:hAnsi="宋体" w:cs="宋体"/>
          <w:b/>
          <w:sz w:val="24"/>
        </w:rPr>
      </w:pPr>
      <w:r>
        <w:rPr>
          <w:rFonts w:hint="eastAsia" w:ascii="宋体" w:hAnsi="宋体" w:cs="宋体"/>
          <w:b/>
          <w:sz w:val="24"/>
        </w:rPr>
        <w:t>磋商报价</w:t>
      </w:r>
    </w:p>
    <w:p w14:paraId="623A7040">
      <w:pPr>
        <w:pStyle w:val="5"/>
        <w:tabs>
          <w:tab w:val="left" w:pos="1050"/>
          <w:tab w:val="clear" w:pos="992"/>
        </w:tabs>
        <w:ind w:left="0" w:firstLine="480" w:firstLineChars="200"/>
        <w:rPr>
          <w:rFonts w:hint="eastAsia" w:ascii="宋体" w:hAnsi="宋体" w:cs="宋体"/>
        </w:rPr>
      </w:pPr>
      <w:r>
        <w:rPr>
          <w:rFonts w:hint="eastAsia" w:ascii="宋体" w:hAnsi="宋体" w:cs="宋体"/>
        </w:rPr>
        <w:t>《报价一览表》中全部货物和服务的报价，应当包括服务、拟投入本项目的产品制作、劳务、运输、管理、维护、保险、利润、税金等完成本项目组织与实施的所有费用，以及合同包含的所有风险、责任等。</w:t>
      </w:r>
    </w:p>
    <w:p w14:paraId="76F1431A">
      <w:pPr>
        <w:pStyle w:val="5"/>
        <w:tabs>
          <w:tab w:val="left" w:pos="1050"/>
          <w:tab w:val="clear" w:pos="992"/>
        </w:tabs>
        <w:ind w:left="0" w:firstLine="480" w:firstLineChars="200"/>
        <w:rPr>
          <w:rFonts w:hint="eastAsia" w:ascii="宋体" w:hAnsi="宋体" w:cs="宋体"/>
        </w:rPr>
      </w:pPr>
      <w:r>
        <w:rPr>
          <w:rFonts w:hint="eastAsia" w:ascii="宋体" w:hAnsi="宋体" w:cs="宋体"/>
        </w:rPr>
        <w:t>报价全部采用人民币表示。</w:t>
      </w:r>
    </w:p>
    <w:p w14:paraId="20A84651">
      <w:pPr>
        <w:pStyle w:val="5"/>
        <w:tabs>
          <w:tab w:val="left" w:pos="1050"/>
          <w:tab w:val="clear" w:pos="992"/>
        </w:tabs>
        <w:ind w:left="0" w:firstLine="482" w:firstLineChars="200"/>
        <w:rPr>
          <w:rFonts w:hint="eastAsia" w:ascii="宋体" w:hAnsi="宋体" w:cs="宋体"/>
        </w:rPr>
      </w:pPr>
      <w:r>
        <w:rPr>
          <w:rFonts w:hint="eastAsia" w:ascii="宋体" w:hAnsi="宋体" w:cs="宋体"/>
          <w:b/>
          <w:bCs w:val="0"/>
        </w:rPr>
        <w:t>超出采购预算的报价为无效报价。</w:t>
      </w:r>
    </w:p>
    <w:p w14:paraId="729E4D4A">
      <w:pPr>
        <w:numPr>
          <w:ilvl w:val="0"/>
          <w:numId w:val="1"/>
        </w:numPr>
        <w:spacing w:line="360" w:lineRule="auto"/>
        <w:rPr>
          <w:rFonts w:hint="eastAsia" w:ascii="宋体" w:hAnsi="宋体" w:cs="宋体"/>
          <w:b/>
          <w:sz w:val="24"/>
        </w:rPr>
      </w:pPr>
      <w:r>
        <w:rPr>
          <w:rFonts w:hint="eastAsia" w:ascii="宋体" w:hAnsi="宋体" w:cs="宋体"/>
          <w:b/>
          <w:sz w:val="24"/>
        </w:rPr>
        <w:t>磋商保证金</w:t>
      </w:r>
    </w:p>
    <w:p w14:paraId="3E08151B">
      <w:pPr>
        <w:pStyle w:val="5"/>
        <w:tabs>
          <w:tab w:val="left" w:pos="1050"/>
          <w:tab w:val="clear" w:pos="992"/>
        </w:tabs>
        <w:ind w:left="0" w:firstLine="482" w:firstLineChars="200"/>
        <w:rPr>
          <w:rFonts w:hint="eastAsia" w:ascii="宋体" w:hAnsi="宋体" w:cs="宋体"/>
          <w:b/>
        </w:rPr>
      </w:pPr>
      <w:r>
        <w:rPr>
          <w:rFonts w:hint="eastAsia" w:ascii="宋体" w:hAnsi="宋体" w:cs="宋体"/>
          <w:b/>
        </w:rPr>
        <w:t>磋商保证金金额：见供应商须知前附表。</w:t>
      </w:r>
    </w:p>
    <w:p w14:paraId="571E8526">
      <w:pPr>
        <w:pStyle w:val="5"/>
        <w:tabs>
          <w:tab w:val="left" w:pos="1050"/>
          <w:tab w:val="clear" w:pos="992"/>
        </w:tabs>
        <w:ind w:left="0" w:firstLine="482" w:firstLineChars="200"/>
        <w:rPr>
          <w:rFonts w:hint="eastAsia" w:ascii="宋体" w:hAnsi="宋体" w:cs="宋体"/>
          <w:b/>
        </w:rPr>
      </w:pPr>
      <w:r>
        <w:rPr>
          <w:rFonts w:hint="eastAsia" w:ascii="宋体" w:hAnsi="宋体" w:cs="宋体"/>
          <w:b/>
        </w:rPr>
        <w:t>磋商保证金缴纳时间：见供应商须知前附表。</w:t>
      </w:r>
    </w:p>
    <w:p w14:paraId="48E6E290">
      <w:pPr>
        <w:pStyle w:val="5"/>
        <w:tabs>
          <w:tab w:val="left" w:pos="1050"/>
          <w:tab w:val="clear" w:pos="992"/>
        </w:tabs>
        <w:ind w:left="0" w:firstLine="482" w:firstLineChars="200"/>
        <w:rPr>
          <w:rFonts w:hint="eastAsia" w:ascii="宋体" w:hAnsi="宋体" w:cs="宋体"/>
          <w:b/>
        </w:rPr>
      </w:pPr>
      <w:r>
        <w:rPr>
          <w:rFonts w:hint="eastAsia" w:ascii="宋体" w:hAnsi="宋体" w:cs="宋体"/>
          <w:b/>
        </w:rPr>
        <w:t>磋商保证金支付地址：见供应商须知前附表。</w:t>
      </w:r>
    </w:p>
    <w:p w14:paraId="5C8E8D65">
      <w:pPr>
        <w:pStyle w:val="5"/>
        <w:tabs>
          <w:tab w:val="left" w:pos="1050"/>
          <w:tab w:val="clear" w:pos="992"/>
        </w:tabs>
        <w:ind w:left="0" w:firstLine="480" w:firstLineChars="200"/>
        <w:rPr>
          <w:rFonts w:hint="eastAsia" w:ascii="宋体" w:hAnsi="宋体" w:cs="宋体"/>
        </w:rPr>
      </w:pPr>
      <w:r>
        <w:rPr>
          <w:rFonts w:hint="eastAsia" w:ascii="宋体" w:hAnsi="宋体" w:cs="宋体"/>
        </w:rPr>
        <w:t>供应商未按磋商文件要求提交磋商保证金的，报价无效。</w:t>
      </w:r>
    </w:p>
    <w:p w14:paraId="63D348C9">
      <w:pPr>
        <w:pStyle w:val="5"/>
        <w:tabs>
          <w:tab w:val="left" w:pos="1050"/>
          <w:tab w:val="clear" w:pos="992"/>
        </w:tabs>
        <w:ind w:left="0" w:firstLine="480" w:firstLineChars="200"/>
        <w:rPr>
          <w:rFonts w:hint="eastAsia" w:ascii="宋体" w:hAnsi="宋体" w:cs="宋体"/>
        </w:rPr>
      </w:pPr>
      <w:r>
        <w:rPr>
          <w:rFonts w:hint="eastAsia" w:ascii="宋体" w:hAnsi="宋体" w:cs="宋体"/>
        </w:rPr>
        <w:t>未成交的供应商，磋商保证金将在成交通知书发出之日起5个工作日内，由招标代理机构退还磋商保证金。</w:t>
      </w:r>
    </w:p>
    <w:p w14:paraId="3B9C32D8">
      <w:pPr>
        <w:pStyle w:val="5"/>
        <w:tabs>
          <w:tab w:val="left" w:pos="1050"/>
          <w:tab w:val="clear" w:pos="992"/>
        </w:tabs>
        <w:ind w:left="0" w:firstLine="480" w:firstLineChars="200"/>
        <w:rPr>
          <w:rFonts w:hint="eastAsia" w:ascii="宋体" w:hAnsi="宋体" w:cs="宋体"/>
        </w:rPr>
      </w:pPr>
      <w:r>
        <w:rPr>
          <w:rFonts w:hint="eastAsia" w:ascii="宋体" w:hAnsi="宋体" w:cs="宋体"/>
        </w:rPr>
        <w:t>成交的供应商，磋商保证金将在采购合同签署后5个工作日内，由采购代理机构退还磋商保证金。</w:t>
      </w:r>
    </w:p>
    <w:p w14:paraId="72574A8E">
      <w:pPr>
        <w:pStyle w:val="5"/>
        <w:tabs>
          <w:tab w:val="left" w:pos="1050"/>
          <w:tab w:val="clear" w:pos="992"/>
        </w:tabs>
        <w:ind w:left="0" w:firstLine="480" w:firstLineChars="200"/>
        <w:rPr>
          <w:rFonts w:hint="eastAsia" w:ascii="宋体" w:hAnsi="宋体" w:cs="宋体"/>
        </w:rPr>
      </w:pPr>
      <w:r>
        <w:rPr>
          <w:rFonts w:hint="eastAsia" w:ascii="宋体" w:hAnsi="宋体" w:cs="宋体"/>
        </w:rPr>
        <w:t>发生下列情况之一，磋商保证金不予退还：</w:t>
      </w:r>
    </w:p>
    <w:p w14:paraId="19D40B5F">
      <w:pPr>
        <w:numPr>
          <w:ilvl w:val="2"/>
          <w:numId w:val="1"/>
        </w:numPr>
        <w:spacing w:line="360" w:lineRule="auto"/>
        <w:ind w:left="0" w:firstLine="720" w:firstLineChars="300"/>
        <w:rPr>
          <w:rFonts w:hint="eastAsia" w:ascii="宋体" w:hAnsi="宋体" w:cs="宋体"/>
          <w:sz w:val="24"/>
        </w:rPr>
      </w:pPr>
      <w:r>
        <w:rPr>
          <w:rFonts w:hint="eastAsia" w:ascii="宋体" w:hAnsi="宋体" w:cs="宋体"/>
          <w:sz w:val="24"/>
        </w:rPr>
        <w:t>供应商在提交响应文件截止时间后撤回响应文件的；</w:t>
      </w:r>
    </w:p>
    <w:p w14:paraId="76C4F0A2">
      <w:pPr>
        <w:numPr>
          <w:ilvl w:val="2"/>
          <w:numId w:val="1"/>
        </w:numPr>
        <w:spacing w:line="360" w:lineRule="auto"/>
        <w:ind w:left="0" w:firstLine="720" w:firstLineChars="300"/>
        <w:rPr>
          <w:rFonts w:hint="eastAsia" w:ascii="宋体" w:hAnsi="宋体" w:cs="宋体"/>
          <w:sz w:val="24"/>
        </w:rPr>
      </w:pPr>
      <w:r>
        <w:rPr>
          <w:rFonts w:hint="eastAsia" w:ascii="宋体" w:hAnsi="宋体" w:cs="宋体"/>
          <w:sz w:val="24"/>
        </w:rPr>
        <w:t>供应商在响应文件中提供虚假材料的；</w:t>
      </w:r>
    </w:p>
    <w:p w14:paraId="7C506EBC">
      <w:pPr>
        <w:numPr>
          <w:ilvl w:val="2"/>
          <w:numId w:val="1"/>
        </w:numPr>
        <w:spacing w:line="360" w:lineRule="auto"/>
        <w:ind w:left="0" w:firstLine="720" w:firstLineChars="300"/>
        <w:rPr>
          <w:rFonts w:hint="eastAsia" w:ascii="宋体" w:hAnsi="宋体" w:cs="宋体"/>
          <w:sz w:val="24"/>
        </w:rPr>
      </w:pPr>
      <w:r>
        <w:rPr>
          <w:rFonts w:hint="eastAsia" w:ascii="宋体" w:hAnsi="宋体" w:cs="宋体"/>
          <w:sz w:val="24"/>
        </w:rPr>
        <w:t>除因不可抗力或磋商文件认可的情形以外，成交供应商不与采购人签订合同的；</w:t>
      </w:r>
    </w:p>
    <w:p w14:paraId="34B5141D">
      <w:pPr>
        <w:numPr>
          <w:ilvl w:val="2"/>
          <w:numId w:val="1"/>
        </w:numPr>
        <w:spacing w:line="360" w:lineRule="auto"/>
        <w:ind w:left="0" w:firstLine="720" w:firstLineChars="300"/>
        <w:rPr>
          <w:rFonts w:hint="eastAsia" w:ascii="宋体" w:hAnsi="宋体" w:cs="宋体"/>
          <w:sz w:val="24"/>
        </w:rPr>
      </w:pPr>
      <w:r>
        <w:rPr>
          <w:rFonts w:hint="eastAsia" w:ascii="宋体" w:hAnsi="宋体" w:cs="宋体"/>
          <w:sz w:val="24"/>
        </w:rPr>
        <w:t>供应商与采购人、其他供应商或者采购代理机构恶意串通的；</w:t>
      </w:r>
    </w:p>
    <w:p w14:paraId="21D17314">
      <w:pPr>
        <w:numPr>
          <w:ilvl w:val="2"/>
          <w:numId w:val="1"/>
        </w:numPr>
        <w:spacing w:line="360" w:lineRule="auto"/>
        <w:ind w:left="0" w:firstLine="720" w:firstLineChars="300"/>
        <w:rPr>
          <w:rFonts w:hint="eastAsia" w:ascii="宋体" w:hAnsi="宋体" w:cs="宋体"/>
          <w:sz w:val="24"/>
        </w:rPr>
      </w:pPr>
      <w:r>
        <w:rPr>
          <w:rFonts w:hint="eastAsia" w:ascii="宋体" w:hAnsi="宋体" w:cs="宋体"/>
          <w:sz w:val="24"/>
        </w:rPr>
        <w:t>成交供应商不在规定期限内与采购人签订合同的；</w:t>
      </w:r>
    </w:p>
    <w:p w14:paraId="7B38983C">
      <w:pPr>
        <w:numPr>
          <w:ilvl w:val="2"/>
          <w:numId w:val="1"/>
        </w:numPr>
        <w:spacing w:line="360" w:lineRule="auto"/>
        <w:ind w:left="0" w:firstLine="720" w:firstLineChars="300"/>
        <w:rPr>
          <w:rFonts w:hint="eastAsia" w:ascii="宋体" w:hAnsi="宋体" w:cs="宋体"/>
          <w:sz w:val="24"/>
        </w:rPr>
      </w:pPr>
      <w:r>
        <w:rPr>
          <w:rFonts w:hint="eastAsia" w:ascii="宋体" w:hAnsi="宋体" w:cs="宋体"/>
          <w:sz w:val="24"/>
        </w:rPr>
        <w:t>供应商在本次磋商过程中出现违反法律法规的行为、扰乱磋商、评审秩序的行为或恶意利用规则谋求不法利益的行为。</w:t>
      </w:r>
    </w:p>
    <w:p w14:paraId="45352B0F">
      <w:pPr>
        <w:numPr>
          <w:ilvl w:val="0"/>
          <w:numId w:val="1"/>
        </w:numPr>
        <w:spacing w:line="360" w:lineRule="auto"/>
        <w:rPr>
          <w:rFonts w:hint="eastAsia" w:ascii="宋体" w:hAnsi="宋体" w:cs="宋体"/>
          <w:b/>
          <w:sz w:val="24"/>
        </w:rPr>
      </w:pPr>
      <w:r>
        <w:rPr>
          <w:rFonts w:hint="eastAsia" w:ascii="宋体" w:hAnsi="宋体" w:cs="宋体"/>
          <w:b/>
          <w:sz w:val="24"/>
        </w:rPr>
        <w:t>响应文件的有效期</w:t>
      </w:r>
    </w:p>
    <w:p w14:paraId="23C1C2A1">
      <w:pPr>
        <w:pStyle w:val="5"/>
        <w:tabs>
          <w:tab w:val="left" w:pos="1050"/>
          <w:tab w:val="clear" w:pos="992"/>
        </w:tabs>
        <w:ind w:left="0" w:firstLine="480" w:firstLineChars="200"/>
        <w:rPr>
          <w:rFonts w:hint="eastAsia" w:ascii="宋体" w:hAnsi="宋体" w:cs="宋体"/>
        </w:rPr>
      </w:pPr>
      <w:r>
        <w:rPr>
          <w:rFonts w:hint="eastAsia" w:ascii="宋体" w:hAnsi="宋体" w:cs="宋体"/>
        </w:rPr>
        <w:t>自开启响应文件截止之日起</w:t>
      </w:r>
      <w:r>
        <w:rPr>
          <w:rFonts w:hint="eastAsia" w:ascii="宋体" w:hAnsi="宋体" w:cs="宋体"/>
          <w:b/>
          <w:u w:val="single"/>
        </w:rPr>
        <w:t>60天</w:t>
      </w:r>
      <w:r>
        <w:rPr>
          <w:rFonts w:hint="eastAsia" w:ascii="宋体" w:hAnsi="宋体" w:cs="宋体"/>
        </w:rPr>
        <w:t>，响应文件应保持有效。有效期短于规定期限的，将被拒绝。</w:t>
      </w:r>
    </w:p>
    <w:p w14:paraId="5B546EB5">
      <w:pPr>
        <w:pStyle w:val="5"/>
        <w:tabs>
          <w:tab w:val="left" w:pos="1050"/>
          <w:tab w:val="clear" w:pos="992"/>
        </w:tabs>
        <w:ind w:left="0" w:firstLine="480" w:firstLineChars="200"/>
        <w:rPr>
          <w:rFonts w:hint="eastAsia" w:ascii="宋体" w:hAnsi="宋体" w:cs="宋体"/>
        </w:rPr>
      </w:pPr>
      <w:r>
        <w:rPr>
          <w:rFonts w:hint="eastAsia" w:ascii="宋体" w:hAnsi="宋体" w:cs="宋体"/>
        </w:rPr>
        <w:t>在特殊情况下，采购代理机构可与供应商协商延长响应文件的有效期。协商应当以信函、传真或电子邮件的形式进行。同意延长有效期的供应商，其磋商保证金的有效期也相应延长，但不能修改响应文件。拒绝接受延长有效期要求的供应商，其磋商将被拒绝，磋商保证金将被退还。</w:t>
      </w:r>
    </w:p>
    <w:p w14:paraId="5127F5E3">
      <w:pPr>
        <w:numPr>
          <w:ilvl w:val="0"/>
          <w:numId w:val="1"/>
        </w:numPr>
        <w:spacing w:line="360" w:lineRule="auto"/>
        <w:rPr>
          <w:rFonts w:hint="eastAsia" w:ascii="宋体" w:hAnsi="宋体" w:cs="宋体"/>
          <w:b/>
          <w:sz w:val="24"/>
        </w:rPr>
      </w:pPr>
      <w:r>
        <w:rPr>
          <w:rFonts w:hint="eastAsia" w:ascii="宋体" w:hAnsi="宋体" w:cs="宋体"/>
          <w:b/>
          <w:sz w:val="24"/>
        </w:rPr>
        <w:t>响应文件的份数和签署</w:t>
      </w:r>
    </w:p>
    <w:p w14:paraId="0510E108">
      <w:pPr>
        <w:pStyle w:val="5"/>
        <w:tabs>
          <w:tab w:val="left" w:pos="1050"/>
          <w:tab w:val="clear" w:pos="992"/>
        </w:tabs>
        <w:ind w:left="0" w:firstLine="482" w:firstLineChars="200"/>
        <w:rPr>
          <w:rFonts w:hint="eastAsia" w:ascii="宋体" w:hAnsi="宋体" w:cs="宋体"/>
          <w:b/>
        </w:rPr>
      </w:pPr>
      <w:r>
        <w:rPr>
          <w:rFonts w:hint="eastAsia" w:ascii="宋体" w:hAnsi="宋体" w:cs="宋体"/>
          <w:b/>
        </w:rPr>
        <w:t>响应文件份数：见供应商须知前附表。</w:t>
      </w:r>
      <w:r>
        <w:rPr>
          <w:rFonts w:hint="eastAsia" w:ascii="宋体" w:hAnsi="宋体" w:cs="宋体"/>
          <w:szCs w:val="24"/>
        </w:rPr>
        <w:t>响应文件的正本与副本应采用左侧方式固定胶装成册,不得采用活页夹等可随时拆换的方式装订。</w:t>
      </w:r>
    </w:p>
    <w:p w14:paraId="7395A208">
      <w:pPr>
        <w:pStyle w:val="5"/>
        <w:tabs>
          <w:tab w:val="left" w:pos="1050"/>
          <w:tab w:val="clear" w:pos="992"/>
        </w:tabs>
        <w:ind w:left="0" w:firstLine="480" w:firstLineChars="200"/>
        <w:rPr>
          <w:rFonts w:hint="eastAsia" w:ascii="宋体" w:hAnsi="宋体" w:cs="宋体"/>
        </w:rPr>
      </w:pPr>
      <w:r>
        <w:rPr>
          <w:rFonts w:hint="eastAsia" w:ascii="宋体" w:hAnsi="宋体" w:cs="宋体"/>
        </w:rPr>
        <w:t>响应文件正本均须用不褪色墨水书写、打印或印刷，响应文件副本的所有资料，都可以用响应文件的正本复制。响应文件封面上应当清楚地注明“正本”或“副本”。响应文件的正本和副本内容有不一致的，以正本为准。</w:t>
      </w:r>
    </w:p>
    <w:p w14:paraId="4E75FA9A">
      <w:pPr>
        <w:pStyle w:val="5"/>
        <w:tabs>
          <w:tab w:val="left" w:pos="1050"/>
          <w:tab w:val="clear" w:pos="992"/>
        </w:tabs>
        <w:ind w:left="0" w:firstLine="480" w:firstLineChars="200"/>
        <w:rPr>
          <w:rFonts w:hint="eastAsia" w:ascii="宋体" w:hAnsi="宋体" w:cs="宋体"/>
        </w:rPr>
      </w:pPr>
      <w:r>
        <w:rPr>
          <w:rFonts w:hint="eastAsia" w:ascii="宋体" w:hAnsi="宋体" w:cs="宋体"/>
        </w:rPr>
        <w:t>响应文件主要内容（磋商文件格式中要求法人代表或授权委托人签字的内容和加盖单位公章）应由供应商的法定代表人或其授权的委托人签字（或盖章）并逐页加盖供应商公章。</w:t>
      </w:r>
    </w:p>
    <w:p w14:paraId="1F1BBCCA">
      <w:pPr>
        <w:pStyle w:val="5"/>
        <w:tabs>
          <w:tab w:val="left" w:pos="1050"/>
          <w:tab w:val="clear" w:pos="992"/>
        </w:tabs>
        <w:ind w:left="0" w:firstLine="480" w:firstLineChars="200"/>
        <w:rPr>
          <w:rFonts w:hint="eastAsia" w:ascii="宋体" w:hAnsi="宋体" w:cs="宋体"/>
        </w:rPr>
      </w:pPr>
      <w:r>
        <w:rPr>
          <w:rFonts w:hint="eastAsia" w:ascii="宋体" w:hAnsi="宋体" w:cs="宋体"/>
        </w:rPr>
        <w:t>全套响应文件应无涂改、无行间插字。除非这些删改是根据采购代理机构的要求实施的，或者是供应商造成的错误且必须修改的。修改处应由响应文件签字人签字证明。</w:t>
      </w:r>
    </w:p>
    <w:p w14:paraId="062658DE">
      <w:pPr>
        <w:pStyle w:val="5"/>
        <w:tabs>
          <w:tab w:val="left" w:pos="1050"/>
          <w:tab w:val="clear" w:pos="992"/>
        </w:tabs>
        <w:ind w:left="0" w:firstLine="480" w:firstLineChars="200"/>
        <w:rPr>
          <w:rFonts w:hint="eastAsia" w:ascii="宋体" w:hAnsi="宋体" w:cs="宋体"/>
        </w:rPr>
      </w:pPr>
      <w:r>
        <w:rPr>
          <w:rFonts w:hint="eastAsia" w:ascii="宋体" w:hAnsi="宋体" w:cs="宋体"/>
        </w:rPr>
        <w:t>传真或电传的响应文件将被拒绝。</w:t>
      </w:r>
    </w:p>
    <w:p w14:paraId="082BFB11">
      <w:pPr>
        <w:spacing w:line="360" w:lineRule="auto"/>
        <w:ind w:firstLine="482" w:firstLineChars="200"/>
        <w:rPr>
          <w:rFonts w:hint="eastAsia" w:ascii="宋体" w:hAnsi="宋体" w:cs="宋体"/>
          <w:b/>
          <w:sz w:val="24"/>
          <w:u w:val="single"/>
        </w:rPr>
      </w:pPr>
      <w:r>
        <w:rPr>
          <w:rFonts w:hint="eastAsia" w:ascii="宋体" w:hAnsi="宋体" w:cs="宋体"/>
          <w:b/>
          <w:sz w:val="24"/>
          <w:u w:val="single"/>
        </w:rPr>
        <w:t>特别说明：本项目要求供应商提交电子版响应文件。</w:t>
      </w:r>
    </w:p>
    <w:p w14:paraId="1A4B7A6B">
      <w:pPr>
        <w:spacing w:line="360" w:lineRule="auto"/>
        <w:ind w:firstLine="482" w:firstLineChars="200"/>
        <w:rPr>
          <w:rFonts w:hint="eastAsia" w:ascii="宋体" w:hAnsi="宋体" w:cs="宋体"/>
          <w:b/>
          <w:sz w:val="24"/>
          <w:u w:val="single"/>
        </w:rPr>
      </w:pPr>
      <w:r>
        <w:rPr>
          <w:rFonts w:hint="eastAsia" w:ascii="宋体" w:hAnsi="宋体" w:cs="宋体"/>
          <w:b/>
          <w:sz w:val="24"/>
          <w:u w:val="single"/>
        </w:rPr>
        <w:t>电子版响应文件与对应的响应文件正本内容必须一致。其载体必须是可以被读取的U盘</w:t>
      </w:r>
      <w:r>
        <w:rPr>
          <w:rFonts w:hint="eastAsia" w:ascii="宋体" w:hAnsi="宋体" w:cs="宋体"/>
          <w:b/>
          <w:sz w:val="24"/>
          <w:u w:val="single"/>
          <w:lang w:val="en-US" w:eastAsia="zh-CN"/>
        </w:rPr>
        <w:t>或光盘</w:t>
      </w:r>
      <w:r>
        <w:rPr>
          <w:rFonts w:hint="eastAsia" w:ascii="宋体" w:hAnsi="宋体" w:cs="宋体"/>
          <w:b/>
          <w:sz w:val="24"/>
          <w:u w:val="single"/>
        </w:rPr>
        <w:t>，格式为PDF和WORD，不得加密。电子版响应文件提交后不予退还。</w:t>
      </w:r>
    </w:p>
    <w:p w14:paraId="5CA41A09">
      <w:pPr>
        <w:pStyle w:val="19"/>
      </w:pPr>
    </w:p>
    <w:p w14:paraId="1E87A9D5">
      <w:pPr>
        <w:pStyle w:val="3"/>
        <w:spacing w:line="240" w:lineRule="auto"/>
        <w:rPr>
          <w:rFonts w:hint="eastAsia"/>
        </w:rPr>
      </w:pPr>
      <w:bookmarkStart w:id="89" w:name="_Toc28231"/>
      <w:bookmarkStart w:id="90" w:name="_Toc317237777"/>
      <w:bookmarkStart w:id="91" w:name="_Toc12048"/>
      <w:bookmarkStart w:id="92" w:name="_Toc31219"/>
      <w:bookmarkStart w:id="93" w:name="_Toc4400"/>
      <w:bookmarkStart w:id="94" w:name="_Toc22802"/>
      <w:bookmarkStart w:id="95" w:name="_Toc317237602"/>
      <w:r>
        <w:rPr>
          <w:rFonts w:hint="eastAsia"/>
        </w:rPr>
        <w:t>D.响应文件的递交</w:t>
      </w:r>
      <w:bookmarkEnd w:id="89"/>
      <w:bookmarkEnd w:id="90"/>
      <w:bookmarkEnd w:id="91"/>
      <w:bookmarkEnd w:id="92"/>
      <w:bookmarkEnd w:id="93"/>
      <w:bookmarkEnd w:id="94"/>
      <w:bookmarkEnd w:id="95"/>
    </w:p>
    <w:p w14:paraId="558B0CB2">
      <w:pPr>
        <w:numPr>
          <w:ilvl w:val="0"/>
          <w:numId w:val="1"/>
        </w:numPr>
        <w:spacing w:line="360" w:lineRule="auto"/>
        <w:rPr>
          <w:rFonts w:hint="eastAsia" w:ascii="宋体" w:hAnsi="宋体" w:cs="宋体"/>
          <w:b/>
          <w:sz w:val="24"/>
        </w:rPr>
      </w:pPr>
      <w:r>
        <w:rPr>
          <w:rFonts w:hint="eastAsia" w:ascii="宋体" w:hAnsi="宋体" w:cs="宋体"/>
          <w:b/>
          <w:sz w:val="24"/>
        </w:rPr>
        <w:t>响应文件的装订、密封及标记</w:t>
      </w:r>
    </w:p>
    <w:p w14:paraId="5272EAF8">
      <w:pPr>
        <w:pStyle w:val="5"/>
        <w:tabs>
          <w:tab w:val="left" w:pos="1050"/>
          <w:tab w:val="clear" w:pos="992"/>
        </w:tabs>
        <w:ind w:left="0" w:firstLine="480" w:firstLineChars="200"/>
        <w:rPr>
          <w:rFonts w:hint="eastAsia" w:ascii="宋体" w:hAnsi="宋体" w:cs="宋体"/>
        </w:rPr>
      </w:pPr>
      <w:r>
        <w:rPr>
          <w:rFonts w:hint="eastAsia" w:ascii="宋体" w:hAnsi="宋体" w:cs="宋体"/>
        </w:rPr>
        <w:t>所有响应文件必须装订成册。</w:t>
      </w:r>
    </w:p>
    <w:p w14:paraId="1DAD11EC">
      <w:pPr>
        <w:pStyle w:val="5"/>
        <w:tabs>
          <w:tab w:val="left" w:pos="1050"/>
          <w:tab w:val="clear" w:pos="992"/>
        </w:tabs>
        <w:ind w:left="0" w:firstLine="480" w:firstLineChars="200"/>
        <w:rPr>
          <w:rFonts w:hint="eastAsia" w:ascii="宋体" w:hAnsi="宋体" w:cs="宋体"/>
        </w:rPr>
      </w:pPr>
      <w:r>
        <w:rPr>
          <w:rFonts w:hint="eastAsia" w:ascii="宋体" w:hAnsi="宋体" w:cs="宋体"/>
        </w:rPr>
        <w:t>响应文件应按以下方法分别装袋密封：</w:t>
      </w:r>
    </w:p>
    <w:p w14:paraId="13955ECF">
      <w:pPr>
        <w:numPr>
          <w:ilvl w:val="2"/>
          <w:numId w:val="1"/>
        </w:numPr>
        <w:spacing w:line="360" w:lineRule="auto"/>
        <w:ind w:left="0" w:firstLine="723" w:firstLineChars="300"/>
        <w:rPr>
          <w:rFonts w:hint="eastAsia" w:ascii="宋体" w:hAnsi="宋体" w:cs="宋体"/>
          <w:b/>
          <w:sz w:val="24"/>
        </w:rPr>
      </w:pPr>
      <w:r>
        <w:rPr>
          <w:rFonts w:hint="eastAsia" w:ascii="宋体" w:hAnsi="宋体" w:cs="宋体"/>
          <w:b/>
          <w:sz w:val="24"/>
        </w:rPr>
        <w:t>供应商将所有响应文件封装为一个密封袋，报价一览表（除响应文件外，另独立密封一份）、电子版单独密封。在密封袋上，要清楚标明“响应文件”、“报价一览表”、“电子版”字样。</w:t>
      </w:r>
    </w:p>
    <w:p w14:paraId="6462D708">
      <w:pPr>
        <w:numPr>
          <w:ilvl w:val="2"/>
          <w:numId w:val="1"/>
        </w:numPr>
        <w:spacing w:line="360" w:lineRule="auto"/>
        <w:ind w:left="0" w:firstLine="720" w:firstLineChars="300"/>
        <w:rPr>
          <w:rFonts w:hint="eastAsia" w:ascii="宋体" w:hAnsi="宋体" w:cs="宋体"/>
          <w:b/>
          <w:bCs/>
          <w:sz w:val="24"/>
        </w:rPr>
      </w:pPr>
      <w:r>
        <w:rPr>
          <w:rFonts w:hint="eastAsia" w:ascii="宋体" w:hAnsi="宋体" w:cs="宋体"/>
          <w:sz w:val="24"/>
        </w:rPr>
        <w:t>响应文件密封袋的正面封口处应加盖供应商公章。</w:t>
      </w:r>
      <w:r>
        <w:rPr>
          <w:rFonts w:hint="eastAsia" w:ascii="宋体" w:hAnsi="宋体" w:cs="宋体"/>
          <w:b/>
          <w:bCs/>
          <w:sz w:val="24"/>
        </w:rPr>
        <w:t>封皮上写明采购人名称、项目名称、项目编号、供应商名称。</w:t>
      </w:r>
    </w:p>
    <w:p w14:paraId="3EE031B6">
      <w:pPr>
        <w:spacing w:line="360" w:lineRule="auto"/>
        <w:ind w:firstLine="480" w:firstLineChars="200"/>
        <w:jc w:val="left"/>
        <w:rPr>
          <w:rFonts w:hint="eastAsia" w:ascii="宋体" w:hAnsi="宋体" w:cs="宋体"/>
          <w:sz w:val="24"/>
        </w:rPr>
      </w:pPr>
      <w:r>
        <w:rPr>
          <w:rFonts w:hint="eastAsia" w:ascii="宋体" w:hAnsi="宋体" w:cs="宋体"/>
          <w:sz w:val="24"/>
        </w:rPr>
        <w:t>16.2.3响应文件的装订做到整齐、干净、牢固即可。过度包装和精美装饰不是加分条件。</w:t>
      </w:r>
    </w:p>
    <w:p w14:paraId="39DFEADC">
      <w:pPr>
        <w:numPr>
          <w:ilvl w:val="0"/>
          <w:numId w:val="1"/>
        </w:numPr>
        <w:spacing w:line="360" w:lineRule="auto"/>
        <w:rPr>
          <w:rFonts w:hint="eastAsia" w:ascii="宋体" w:hAnsi="宋体" w:cs="宋体"/>
          <w:b/>
          <w:sz w:val="24"/>
        </w:rPr>
      </w:pPr>
      <w:r>
        <w:rPr>
          <w:rFonts w:hint="eastAsia" w:ascii="宋体" w:hAnsi="宋体" w:cs="宋体"/>
          <w:b/>
          <w:sz w:val="24"/>
        </w:rPr>
        <w:t>截止时间</w:t>
      </w:r>
    </w:p>
    <w:p w14:paraId="5E41C84C">
      <w:pPr>
        <w:pStyle w:val="5"/>
        <w:tabs>
          <w:tab w:val="left" w:pos="1050"/>
          <w:tab w:val="clear" w:pos="992"/>
        </w:tabs>
        <w:ind w:left="0" w:firstLine="480" w:firstLineChars="200"/>
        <w:rPr>
          <w:rFonts w:hint="eastAsia" w:ascii="宋体" w:hAnsi="宋体" w:cs="宋体"/>
        </w:rPr>
      </w:pPr>
      <w:r>
        <w:rPr>
          <w:rFonts w:hint="eastAsia" w:ascii="宋体" w:hAnsi="宋体" w:cs="宋体"/>
        </w:rPr>
        <w:t>响应文件必须在提交响应文件截止时间前送达磋商地点。</w:t>
      </w:r>
    </w:p>
    <w:p w14:paraId="1CADE54D">
      <w:pPr>
        <w:pStyle w:val="5"/>
        <w:tabs>
          <w:tab w:val="left" w:pos="1050"/>
          <w:tab w:val="clear" w:pos="992"/>
        </w:tabs>
        <w:ind w:left="0" w:firstLine="480" w:firstLineChars="200"/>
        <w:rPr>
          <w:rFonts w:hint="eastAsia" w:ascii="宋体" w:hAnsi="宋体" w:cs="宋体"/>
        </w:rPr>
      </w:pPr>
      <w:r>
        <w:rPr>
          <w:rFonts w:hint="eastAsia" w:ascii="宋体" w:hAnsi="宋体" w:cs="宋体"/>
        </w:rPr>
        <w:t>采购代理机构推迟响应文件截止时间，将在不晚于原定响应文件截止时间前3天发布公告。</w:t>
      </w:r>
    </w:p>
    <w:p w14:paraId="56427EB5">
      <w:pPr>
        <w:pStyle w:val="5"/>
        <w:tabs>
          <w:tab w:val="left" w:pos="1050"/>
          <w:tab w:val="clear" w:pos="992"/>
        </w:tabs>
        <w:ind w:left="0" w:firstLine="480" w:firstLineChars="200"/>
        <w:rPr>
          <w:rFonts w:hint="eastAsia" w:ascii="宋体" w:hAnsi="宋体" w:cs="宋体"/>
        </w:rPr>
      </w:pPr>
      <w:r>
        <w:rPr>
          <w:rFonts w:hint="eastAsia" w:ascii="宋体" w:hAnsi="宋体" w:cs="宋体"/>
        </w:rPr>
        <w:t>在响应文件截止时间以后送达的响应文件，采购代理机构拒绝接收。</w:t>
      </w:r>
    </w:p>
    <w:p w14:paraId="5003C763">
      <w:pPr>
        <w:numPr>
          <w:ilvl w:val="0"/>
          <w:numId w:val="1"/>
        </w:numPr>
        <w:spacing w:line="360" w:lineRule="auto"/>
        <w:rPr>
          <w:rFonts w:hint="eastAsia" w:ascii="宋体" w:hAnsi="宋体" w:cs="宋体"/>
          <w:b/>
          <w:sz w:val="24"/>
        </w:rPr>
      </w:pPr>
      <w:r>
        <w:rPr>
          <w:rFonts w:hint="eastAsia" w:ascii="宋体" w:hAnsi="宋体" w:cs="宋体"/>
          <w:b/>
          <w:sz w:val="24"/>
        </w:rPr>
        <w:t>响应文件的修改和撤回</w:t>
      </w:r>
    </w:p>
    <w:p w14:paraId="3C04EE71">
      <w:pPr>
        <w:pStyle w:val="5"/>
        <w:tabs>
          <w:tab w:val="left" w:pos="1050"/>
          <w:tab w:val="clear" w:pos="992"/>
        </w:tabs>
        <w:ind w:left="0" w:firstLine="480" w:firstLineChars="200"/>
        <w:rPr>
          <w:rFonts w:hint="eastAsia" w:ascii="宋体" w:hAnsi="宋体" w:cs="宋体"/>
        </w:rPr>
      </w:pPr>
      <w:r>
        <w:rPr>
          <w:rFonts w:hint="eastAsia" w:ascii="宋体" w:hAnsi="宋体" w:cs="宋体"/>
        </w:rPr>
        <w:t>响应文件提交截止时间以后，供应商不得修改和撤回响应文件，不得在磋商有效期内撤回响应文件，否则磋商保证金不予退还。</w:t>
      </w:r>
    </w:p>
    <w:p w14:paraId="243C37D9">
      <w:pPr>
        <w:pStyle w:val="5"/>
        <w:tabs>
          <w:tab w:val="left" w:pos="1050"/>
          <w:tab w:val="clear" w:pos="992"/>
        </w:tabs>
        <w:ind w:left="0" w:firstLine="480" w:firstLineChars="200"/>
      </w:pPr>
      <w:r>
        <w:rPr>
          <w:rFonts w:hint="eastAsia" w:ascii="宋体" w:hAnsi="宋体" w:cs="宋体"/>
        </w:rPr>
        <w:t>响应文件提交后，均不予退还。</w:t>
      </w:r>
    </w:p>
    <w:p w14:paraId="35374EA8"/>
    <w:p w14:paraId="25D1602B">
      <w:pPr>
        <w:pStyle w:val="3"/>
        <w:rPr>
          <w:rFonts w:hint="eastAsia"/>
        </w:rPr>
      </w:pPr>
      <w:bookmarkStart w:id="96" w:name="_Toc317237778"/>
      <w:bookmarkStart w:id="97" w:name="_Toc317237603"/>
      <w:bookmarkStart w:id="98" w:name="_Toc3698"/>
      <w:bookmarkStart w:id="99" w:name="_Toc12312"/>
      <w:bookmarkStart w:id="100" w:name="_Toc21740"/>
      <w:bookmarkStart w:id="101" w:name="_Toc2793"/>
      <w:bookmarkStart w:id="102" w:name="_Toc16131"/>
      <w:r>
        <w:rPr>
          <w:rFonts w:hint="eastAsia"/>
        </w:rPr>
        <w:t>E.磋商程序</w:t>
      </w:r>
      <w:bookmarkEnd w:id="96"/>
      <w:bookmarkEnd w:id="97"/>
      <w:bookmarkEnd w:id="98"/>
      <w:bookmarkEnd w:id="99"/>
      <w:bookmarkEnd w:id="100"/>
      <w:bookmarkEnd w:id="101"/>
      <w:bookmarkEnd w:id="102"/>
    </w:p>
    <w:p w14:paraId="6C6322FE">
      <w:pPr>
        <w:numPr>
          <w:ilvl w:val="0"/>
          <w:numId w:val="1"/>
        </w:numPr>
        <w:spacing w:line="360" w:lineRule="auto"/>
        <w:rPr>
          <w:rFonts w:hint="eastAsia" w:ascii="宋体" w:hAnsi="宋体" w:cs="宋体"/>
          <w:b/>
          <w:sz w:val="24"/>
        </w:rPr>
      </w:pPr>
      <w:r>
        <w:rPr>
          <w:rFonts w:hint="eastAsia" w:ascii="宋体" w:hAnsi="宋体" w:cs="宋体"/>
          <w:b/>
          <w:sz w:val="24"/>
        </w:rPr>
        <w:t>磋商文件的送达</w:t>
      </w:r>
    </w:p>
    <w:p w14:paraId="32424E27">
      <w:pPr>
        <w:pStyle w:val="5"/>
        <w:tabs>
          <w:tab w:val="left" w:pos="1050"/>
          <w:tab w:val="clear" w:pos="992"/>
        </w:tabs>
        <w:ind w:left="0" w:firstLine="480" w:firstLineChars="200"/>
        <w:rPr>
          <w:rFonts w:hint="eastAsia" w:ascii="宋体" w:hAnsi="宋体" w:cs="宋体"/>
        </w:rPr>
      </w:pPr>
      <w:r>
        <w:rPr>
          <w:rFonts w:hint="eastAsia" w:ascii="宋体" w:hAnsi="宋体" w:cs="宋体"/>
        </w:rPr>
        <w:t>供应商应当在磋商文件要求的截止时间前，将响应文件密封送达指定地点。在截止时间后送达的响应文件为无效文件，采购人、采购代理机构或者磋商小组应当拒收。</w:t>
      </w:r>
    </w:p>
    <w:p w14:paraId="34BD0CF4">
      <w:pPr>
        <w:pStyle w:val="5"/>
        <w:tabs>
          <w:tab w:val="left" w:pos="1050"/>
          <w:tab w:val="clear" w:pos="992"/>
        </w:tabs>
        <w:ind w:left="0" w:firstLine="480" w:firstLineChars="200"/>
        <w:rPr>
          <w:rFonts w:hint="eastAsia" w:ascii="宋体" w:hAnsi="宋体" w:cs="宋体"/>
        </w:rPr>
      </w:pPr>
      <w:r>
        <w:rPr>
          <w:rFonts w:hint="eastAsia" w:ascii="宋体" w:hAnsi="宋体" w:cs="宋体"/>
        </w:rPr>
        <w:t>供应商为被授权代表参加采购活动，须携带《法定代表人授权书》及个人身份证原件；若为法人代表亲临开标现场，则需提供《法定代表人身份证明》及个人身份证原件，以备查验。其现场所签署确认的文件均代表供应商的决定，并作为响应文件的补充内容，具有同等法律效力。无法证明其身份的，采购代理机有权不接收其递交的相应文件。</w:t>
      </w:r>
    </w:p>
    <w:p w14:paraId="53A6BDDD">
      <w:pPr>
        <w:pStyle w:val="5"/>
        <w:tabs>
          <w:tab w:val="left" w:pos="1050"/>
          <w:tab w:val="clear" w:pos="992"/>
        </w:tabs>
        <w:ind w:left="0" w:firstLine="480" w:firstLineChars="200"/>
        <w:rPr>
          <w:rFonts w:hint="eastAsia" w:ascii="宋体" w:hAnsi="宋体" w:cs="宋体"/>
        </w:rPr>
      </w:pPr>
      <w:r>
        <w:rPr>
          <w:rFonts w:hint="eastAsia" w:ascii="宋体" w:hAnsi="宋体" w:cs="宋体"/>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ECE9D3A">
      <w:pPr>
        <w:pStyle w:val="5"/>
        <w:tabs>
          <w:tab w:val="left" w:pos="1050"/>
          <w:tab w:val="clear" w:pos="992"/>
        </w:tabs>
        <w:ind w:left="0" w:firstLine="480" w:firstLineChars="200"/>
        <w:rPr>
          <w:rFonts w:hint="eastAsia" w:ascii="宋体" w:hAnsi="宋体" w:cs="宋体"/>
        </w:rPr>
      </w:pPr>
      <w:r>
        <w:rPr>
          <w:rFonts w:hint="eastAsia" w:ascii="宋体" w:hAnsi="宋体" w:cs="宋体"/>
        </w:rPr>
        <w:t>采购代理机构按磋商文件规定的时间、地点举行磋商仪式。磋商仪式由采购代理机构主持，邀请采购人代表、供应商代表及有关工作人员参加。供应商的法定代表人或法定代表人授权的代表必须参加磋商仪式。</w:t>
      </w:r>
    </w:p>
    <w:p w14:paraId="1772A106">
      <w:pPr>
        <w:numPr>
          <w:ilvl w:val="0"/>
          <w:numId w:val="1"/>
        </w:numPr>
        <w:spacing w:line="360" w:lineRule="auto"/>
        <w:rPr>
          <w:rFonts w:hint="eastAsia" w:ascii="宋体" w:hAnsi="宋体" w:cs="宋体"/>
          <w:b/>
          <w:sz w:val="24"/>
        </w:rPr>
      </w:pPr>
      <w:r>
        <w:rPr>
          <w:rFonts w:hint="eastAsia" w:ascii="宋体" w:hAnsi="宋体" w:cs="宋体"/>
          <w:b/>
          <w:sz w:val="24"/>
        </w:rPr>
        <w:t>磋商小组</w:t>
      </w:r>
    </w:p>
    <w:p w14:paraId="23982CB0">
      <w:pPr>
        <w:pStyle w:val="5"/>
        <w:tabs>
          <w:tab w:val="left" w:pos="1050"/>
          <w:tab w:val="clear" w:pos="992"/>
        </w:tabs>
        <w:ind w:left="0" w:firstLine="480" w:firstLineChars="200"/>
        <w:rPr>
          <w:rFonts w:hint="eastAsia" w:ascii="宋体" w:hAnsi="宋体" w:cs="宋体"/>
        </w:rPr>
      </w:pPr>
      <w:r>
        <w:rPr>
          <w:rFonts w:hint="eastAsia" w:ascii="宋体" w:hAnsi="宋体" w:cs="宋体"/>
        </w:rPr>
        <w:t>磋商小组的组成：由采购人代表/人和从</w:t>
      </w:r>
      <w:r>
        <w:rPr>
          <w:rFonts w:hint="eastAsia" w:ascii="宋体" w:hAnsi="宋体" w:cs="宋体"/>
          <w:szCs w:val="24"/>
        </w:rPr>
        <w:t>海南省专家库</w:t>
      </w:r>
      <w:r>
        <w:rPr>
          <w:rFonts w:hint="eastAsia" w:ascii="宋体" w:hAnsi="宋体" w:cs="宋体"/>
        </w:rPr>
        <w:t>中随机抽取的相关专家</w:t>
      </w:r>
      <w:r>
        <w:rPr>
          <w:rFonts w:hint="eastAsia" w:ascii="宋体" w:hAnsi="宋体" w:cs="宋体"/>
          <w:u w:val="single"/>
        </w:rPr>
        <w:t>叁</w:t>
      </w:r>
      <w:r>
        <w:rPr>
          <w:rFonts w:hint="eastAsia" w:ascii="宋体" w:hAnsi="宋体" w:cs="宋体"/>
        </w:rPr>
        <w:t>人组成，其中，技术、经济等方面的专家人数不得少于成员总数的2/3。该磋商小组独立工作，负责评审所有响应文件并确定成交侯选供应商，提交评审报告。</w:t>
      </w:r>
    </w:p>
    <w:p w14:paraId="1FF716AF">
      <w:pPr>
        <w:pStyle w:val="5"/>
        <w:tabs>
          <w:tab w:val="left" w:pos="1050"/>
          <w:tab w:val="clear" w:pos="992"/>
        </w:tabs>
        <w:ind w:left="0" w:firstLine="480" w:firstLineChars="200"/>
        <w:rPr>
          <w:rFonts w:hint="eastAsia" w:ascii="宋体" w:hAnsi="宋体" w:cs="宋体"/>
        </w:rPr>
      </w:pPr>
      <w:r>
        <w:rPr>
          <w:rFonts w:hint="eastAsia" w:ascii="宋体" w:hAnsi="宋体" w:cs="宋体"/>
        </w:rPr>
        <w:t>评审方法：见供应商须知前附表。</w:t>
      </w:r>
    </w:p>
    <w:p w14:paraId="652DFAA2">
      <w:pPr>
        <w:numPr>
          <w:ilvl w:val="0"/>
          <w:numId w:val="1"/>
        </w:numPr>
        <w:spacing w:line="360" w:lineRule="auto"/>
        <w:rPr>
          <w:rFonts w:hint="eastAsia" w:ascii="宋体" w:hAnsi="宋体" w:cs="宋体"/>
          <w:b/>
          <w:sz w:val="24"/>
        </w:rPr>
      </w:pPr>
      <w:r>
        <w:rPr>
          <w:rFonts w:hint="eastAsia" w:ascii="宋体" w:hAnsi="宋体" w:cs="宋体"/>
          <w:b/>
          <w:sz w:val="24"/>
        </w:rPr>
        <w:t>磋商方式和内容</w:t>
      </w:r>
    </w:p>
    <w:p w14:paraId="2FF5087F">
      <w:pPr>
        <w:pStyle w:val="5"/>
        <w:tabs>
          <w:tab w:val="left" w:pos="1050"/>
          <w:tab w:val="clear" w:pos="992"/>
        </w:tabs>
        <w:ind w:left="0" w:firstLine="480" w:firstLineChars="200"/>
        <w:rPr>
          <w:rFonts w:hint="eastAsia" w:ascii="宋体" w:hAnsi="宋体" w:cs="宋体"/>
        </w:rPr>
      </w:pPr>
      <w:r>
        <w:rPr>
          <w:rFonts w:hint="eastAsia" w:ascii="宋体" w:hAnsi="宋体" w:cs="宋体"/>
        </w:rPr>
        <w:t>磋商小组按供应商提交响应文件的顺序分别与通过资格审查的供应商进行磋商，并给予所有参加磋商的供应商平等的磋商机会。</w:t>
      </w:r>
    </w:p>
    <w:p w14:paraId="6653BC56">
      <w:pPr>
        <w:pStyle w:val="5"/>
        <w:tabs>
          <w:tab w:val="left" w:pos="1050"/>
          <w:tab w:val="clear" w:pos="992"/>
        </w:tabs>
        <w:ind w:left="0" w:firstLine="480" w:firstLineChars="200"/>
        <w:rPr>
          <w:rFonts w:hint="eastAsia" w:ascii="宋体" w:hAnsi="宋体" w:cs="宋体"/>
        </w:rPr>
      </w:pPr>
      <w:r>
        <w:rPr>
          <w:rFonts w:hint="eastAsia" w:ascii="宋体" w:hAnsi="宋体" w:cs="宋体"/>
        </w:rPr>
        <w:t>磋商内容包括技术方案响应情况、服务内容标准与承诺、技术能力、合同条件、采购要求的优化建议等。在磋商过程中，磋商小组可以根据磋商文件和磋商情况实质性变动采购需求中的技术、服务要求以及合同草案条款，但不得变动磋商文件中的其他内容。实质性变动的内容，须经采购人代表确认。</w:t>
      </w:r>
    </w:p>
    <w:p w14:paraId="356D2508">
      <w:pPr>
        <w:pStyle w:val="5"/>
        <w:tabs>
          <w:tab w:val="left" w:pos="1050"/>
          <w:tab w:val="clear" w:pos="992"/>
        </w:tabs>
        <w:ind w:left="0" w:firstLine="480" w:firstLineChars="200"/>
        <w:rPr>
          <w:rFonts w:hint="eastAsia" w:ascii="宋体" w:hAnsi="宋体" w:cs="宋体"/>
        </w:rPr>
      </w:pPr>
      <w:r>
        <w:rPr>
          <w:rFonts w:hint="eastAsia" w:ascii="宋体" w:hAnsi="宋体" w:cs="宋体"/>
        </w:rPr>
        <w:t>磋商小组可以根据磋商的实际情况决定磋商的轮次，但最多不能超过三轮磋商。</w:t>
      </w:r>
    </w:p>
    <w:p w14:paraId="37326C10">
      <w:pPr>
        <w:pStyle w:val="5"/>
        <w:tabs>
          <w:tab w:val="left" w:pos="1050"/>
          <w:tab w:val="clear" w:pos="992"/>
        </w:tabs>
        <w:ind w:left="0" w:firstLine="480" w:firstLineChars="200"/>
        <w:rPr>
          <w:rFonts w:hint="eastAsia" w:ascii="宋体" w:hAnsi="宋体" w:cs="宋体"/>
        </w:rPr>
      </w:pPr>
      <w:r>
        <w:rPr>
          <w:rFonts w:hint="eastAsia" w:ascii="宋体" w:hAnsi="宋体" w:cs="宋体"/>
        </w:rPr>
        <w:t>供应商在磋商中作出的承诺，是其响应文件的组成部分。</w:t>
      </w:r>
    </w:p>
    <w:p w14:paraId="24687895">
      <w:pPr>
        <w:numPr>
          <w:ilvl w:val="0"/>
          <w:numId w:val="1"/>
        </w:numPr>
        <w:spacing w:line="360" w:lineRule="auto"/>
        <w:rPr>
          <w:rFonts w:hint="eastAsia" w:ascii="宋体" w:hAnsi="宋体" w:cs="宋体"/>
          <w:b/>
          <w:sz w:val="24"/>
        </w:rPr>
      </w:pPr>
      <w:r>
        <w:rPr>
          <w:rFonts w:hint="eastAsia" w:ascii="宋体" w:hAnsi="宋体" w:cs="宋体"/>
          <w:b/>
          <w:sz w:val="24"/>
        </w:rPr>
        <w:t>磋商内容的保密</w:t>
      </w:r>
    </w:p>
    <w:p w14:paraId="56E6ACA4">
      <w:pPr>
        <w:pStyle w:val="5"/>
        <w:tabs>
          <w:tab w:val="left" w:pos="1050"/>
          <w:tab w:val="clear" w:pos="992"/>
        </w:tabs>
        <w:ind w:left="0" w:firstLine="480" w:firstLineChars="200"/>
        <w:rPr>
          <w:rFonts w:hint="eastAsia" w:ascii="宋体" w:hAnsi="宋体" w:cs="宋体"/>
        </w:rPr>
      </w:pPr>
      <w:r>
        <w:rPr>
          <w:rFonts w:hint="eastAsia" w:ascii="宋体" w:hAnsi="宋体" w:cs="宋体"/>
        </w:rPr>
        <w:t>磋商后，至正式授予成交供应商合同止，凡属于审查、澄清、评价和比较的所有资料、有关授予合同的信息等，都不能向供应商或与磋商无关的其他人泄露。</w:t>
      </w:r>
    </w:p>
    <w:p w14:paraId="6A79F87A">
      <w:pPr>
        <w:pStyle w:val="5"/>
        <w:tabs>
          <w:tab w:val="left" w:pos="1050"/>
          <w:tab w:val="clear" w:pos="992"/>
        </w:tabs>
        <w:ind w:left="0" w:firstLine="480" w:firstLineChars="200"/>
        <w:rPr>
          <w:rFonts w:hint="eastAsia" w:ascii="宋体" w:hAnsi="宋体" w:cs="宋体"/>
        </w:rPr>
      </w:pPr>
      <w:r>
        <w:rPr>
          <w:rFonts w:hint="eastAsia" w:ascii="宋体" w:hAnsi="宋体" w:cs="宋体"/>
        </w:rPr>
        <w:t>在响应文件的审查、澄清、评价和比较以及授予合同的过程中，供应商对采购人、采购代理机构和磋商小组成员施加影响的任何行为，都将导致其磋商资格被取消。</w:t>
      </w:r>
    </w:p>
    <w:p w14:paraId="643E458C">
      <w:pPr>
        <w:numPr>
          <w:ilvl w:val="0"/>
          <w:numId w:val="1"/>
        </w:numPr>
        <w:spacing w:line="360" w:lineRule="auto"/>
        <w:rPr>
          <w:rFonts w:hint="eastAsia" w:ascii="宋体" w:hAnsi="宋体" w:cs="宋体"/>
          <w:b/>
          <w:sz w:val="24"/>
        </w:rPr>
      </w:pPr>
      <w:r>
        <w:rPr>
          <w:rFonts w:hint="eastAsia" w:ascii="宋体" w:hAnsi="宋体" w:cs="宋体"/>
          <w:b/>
          <w:sz w:val="24"/>
        </w:rPr>
        <w:t>对响应文件的评审</w:t>
      </w:r>
    </w:p>
    <w:p w14:paraId="43FEF4E9">
      <w:pPr>
        <w:pStyle w:val="5"/>
        <w:tabs>
          <w:tab w:val="left" w:pos="1050"/>
          <w:tab w:val="clear" w:pos="992"/>
        </w:tabs>
        <w:ind w:left="0" w:firstLine="480" w:firstLineChars="200"/>
        <w:rPr>
          <w:rFonts w:hint="eastAsia" w:ascii="宋体" w:hAnsi="宋体" w:cs="宋体"/>
        </w:rPr>
      </w:pPr>
      <w:r>
        <w:rPr>
          <w:rFonts w:hint="eastAsia" w:ascii="宋体" w:hAnsi="宋体" w:cs="宋体"/>
        </w:rPr>
        <w:t>评审程序、评审方法和评审标准见第五部分</w:t>
      </w:r>
    </w:p>
    <w:p w14:paraId="27065B73">
      <w:pPr>
        <w:numPr>
          <w:ilvl w:val="0"/>
          <w:numId w:val="1"/>
        </w:numPr>
        <w:spacing w:line="360" w:lineRule="auto"/>
        <w:rPr>
          <w:rFonts w:hint="eastAsia" w:ascii="宋体" w:hAnsi="宋体" w:cs="宋体"/>
          <w:b/>
          <w:sz w:val="24"/>
        </w:rPr>
      </w:pPr>
      <w:r>
        <w:rPr>
          <w:rFonts w:hint="eastAsia" w:ascii="宋体" w:hAnsi="宋体" w:cs="宋体"/>
          <w:b/>
          <w:sz w:val="24"/>
        </w:rPr>
        <w:t>确认成交结果</w:t>
      </w:r>
    </w:p>
    <w:p w14:paraId="39EF0539">
      <w:pPr>
        <w:pStyle w:val="5"/>
        <w:tabs>
          <w:tab w:val="left" w:pos="1050"/>
          <w:tab w:val="clear" w:pos="992"/>
        </w:tabs>
        <w:ind w:left="0" w:firstLine="480" w:firstLineChars="200"/>
        <w:rPr>
          <w:rFonts w:hint="eastAsia" w:ascii="宋体" w:hAnsi="宋体" w:cs="宋体"/>
        </w:rPr>
      </w:pPr>
      <w:r>
        <w:rPr>
          <w:rFonts w:hint="eastAsia" w:ascii="宋体" w:hAnsi="宋体" w:cs="宋体"/>
        </w:rPr>
        <w:t>采购代理机构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w:t>
      </w:r>
    </w:p>
    <w:p w14:paraId="21A82943">
      <w:pPr>
        <w:pStyle w:val="5"/>
        <w:tabs>
          <w:tab w:val="left" w:pos="1050"/>
          <w:tab w:val="clear" w:pos="992"/>
        </w:tabs>
        <w:ind w:left="0" w:firstLine="480" w:firstLineChars="200"/>
        <w:rPr>
          <w:rFonts w:hint="eastAsia" w:ascii="宋体" w:hAnsi="宋体" w:cs="宋体"/>
        </w:rPr>
      </w:pPr>
      <w:r>
        <w:rPr>
          <w:rFonts w:hint="eastAsia" w:ascii="宋体" w:hAnsi="宋体" w:cs="宋体"/>
        </w:rPr>
        <w:t>采购人或者采购代理机构应当在成交供应商确定后1个工作日内，在省级以上财政部门指定的政府采购信息发布媒体上公告成交结果，同时向成交供应商发出成交通知书，并将磋商文件随成交结果同时公告。成交通知书是成交供应商与采购人签订合同的依据。合同签订后，成交通知书成为合同的一部分。</w:t>
      </w:r>
    </w:p>
    <w:p w14:paraId="4B43A2BE"/>
    <w:p w14:paraId="7CC71DB9">
      <w:pPr>
        <w:pStyle w:val="3"/>
        <w:rPr>
          <w:rFonts w:hint="eastAsia"/>
        </w:rPr>
      </w:pPr>
      <w:bookmarkStart w:id="103" w:name="_Toc9841"/>
      <w:bookmarkStart w:id="104" w:name="_Toc833"/>
      <w:bookmarkStart w:id="105" w:name="_Toc23898"/>
      <w:bookmarkStart w:id="106" w:name="_Toc22697"/>
      <w:bookmarkStart w:id="107" w:name="_Toc317237604"/>
      <w:bookmarkStart w:id="108" w:name="_Toc317237779"/>
      <w:bookmarkStart w:id="109" w:name="_Toc27033"/>
      <w:r>
        <w:rPr>
          <w:rFonts w:hint="eastAsia"/>
        </w:rPr>
        <w:t>F.授予合同</w:t>
      </w:r>
      <w:bookmarkEnd w:id="103"/>
      <w:bookmarkEnd w:id="104"/>
      <w:bookmarkEnd w:id="105"/>
      <w:bookmarkEnd w:id="106"/>
      <w:bookmarkEnd w:id="107"/>
      <w:bookmarkEnd w:id="108"/>
      <w:bookmarkEnd w:id="109"/>
    </w:p>
    <w:p w14:paraId="7DCC4614">
      <w:pPr>
        <w:numPr>
          <w:ilvl w:val="0"/>
          <w:numId w:val="1"/>
        </w:numPr>
        <w:spacing w:line="360" w:lineRule="auto"/>
        <w:rPr>
          <w:rFonts w:hint="eastAsia" w:ascii="宋体" w:hAnsi="宋体" w:cs="宋体"/>
          <w:b/>
          <w:sz w:val="24"/>
        </w:rPr>
      </w:pPr>
      <w:r>
        <w:rPr>
          <w:rFonts w:hint="eastAsia" w:ascii="宋体" w:hAnsi="宋体" w:cs="宋体"/>
          <w:b/>
          <w:sz w:val="24"/>
        </w:rPr>
        <w:t>成交供应商的确认</w:t>
      </w:r>
    </w:p>
    <w:p w14:paraId="20A9617B">
      <w:pPr>
        <w:pStyle w:val="5"/>
        <w:tabs>
          <w:tab w:val="left" w:pos="1050"/>
          <w:tab w:val="clear" w:pos="992"/>
        </w:tabs>
        <w:ind w:left="0" w:firstLine="480" w:firstLineChars="200"/>
        <w:rPr>
          <w:rFonts w:hint="eastAsia" w:ascii="宋体" w:hAnsi="宋体" w:cs="宋体"/>
        </w:rPr>
      </w:pPr>
      <w:r>
        <w:rPr>
          <w:rFonts w:hint="eastAsia" w:ascii="宋体" w:hAnsi="宋体" w:cs="宋体"/>
        </w:rPr>
        <w:t>磋商小组根据本磋商文件第五部分的规定，对供应商进行审查，对响应文件进行评价和比较，按照磋商文件规定的排序原则推荐成交候选人。</w:t>
      </w:r>
    </w:p>
    <w:p w14:paraId="1D0D7B09">
      <w:pPr>
        <w:pStyle w:val="5"/>
        <w:tabs>
          <w:tab w:val="left" w:pos="1050"/>
          <w:tab w:val="clear" w:pos="992"/>
        </w:tabs>
        <w:ind w:left="0" w:firstLine="480" w:firstLineChars="200"/>
        <w:rPr>
          <w:rFonts w:hint="eastAsia" w:ascii="宋体" w:hAnsi="宋体" w:cs="宋体"/>
        </w:rPr>
      </w:pPr>
      <w:r>
        <w:rPr>
          <w:rFonts w:hint="eastAsia" w:ascii="宋体" w:hAnsi="宋体" w:cs="宋体"/>
        </w:rPr>
        <w:t>磋商小组有权按磋商文件的要求评定并推荐成交候选供应商，也有权拒绝任何或所有不符合磋商文件要求的供应商的响应文件。</w:t>
      </w:r>
    </w:p>
    <w:p w14:paraId="2935C975">
      <w:pPr>
        <w:pStyle w:val="5"/>
        <w:tabs>
          <w:tab w:val="left" w:pos="1050"/>
          <w:tab w:val="clear" w:pos="992"/>
        </w:tabs>
        <w:ind w:left="0" w:firstLine="480" w:firstLineChars="200"/>
        <w:rPr>
          <w:rFonts w:hint="eastAsia" w:ascii="宋体" w:hAnsi="宋体" w:cs="宋体"/>
        </w:rPr>
      </w:pPr>
      <w:r>
        <w:rPr>
          <w:rFonts w:hint="eastAsia" w:ascii="宋体" w:hAnsi="宋体" w:cs="宋体"/>
        </w:rPr>
        <w:t>采购人按照磋商小组推荐的成交候选供应商顺序确定成交供应商，磋商小组推荐成交候选人的人数见供应商须知前附表。</w:t>
      </w:r>
    </w:p>
    <w:p w14:paraId="0F7E6865">
      <w:pPr>
        <w:numPr>
          <w:ilvl w:val="0"/>
          <w:numId w:val="1"/>
        </w:numPr>
        <w:spacing w:line="360" w:lineRule="auto"/>
        <w:rPr>
          <w:rFonts w:hint="eastAsia" w:ascii="宋体" w:hAnsi="宋体" w:cs="宋体"/>
          <w:b/>
          <w:sz w:val="24"/>
        </w:rPr>
      </w:pPr>
      <w:r>
        <w:rPr>
          <w:rFonts w:hint="eastAsia" w:ascii="宋体" w:hAnsi="宋体" w:cs="宋体"/>
          <w:b/>
          <w:sz w:val="24"/>
        </w:rPr>
        <w:t>合同授予标准</w:t>
      </w:r>
    </w:p>
    <w:p w14:paraId="7F77AAD4">
      <w:pPr>
        <w:pStyle w:val="5"/>
        <w:tabs>
          <w:tab w:val="left" w:pos="1050"/>
          <w:tab w:val="clear" w:pos="992"/>
        </w:tabs>
        <w:ind w:left="0" w:firstLine="480" w:firstLineChars="200"/>
        <w:rPr>
          <w:rFonts w:hint="eastAsia" w:ascii="宋体" w:hAnsi="宋体" w:cs="宋体"/>
        </w:rPr>
      </w:pPr>
      <w:r>
        <w:rPr>
          <w:rFonts w:hint="eastAsia" w:ascii="宋体" w:hAnsi="宋体" w:cs="宋体"/>
        </w:rPr>
        <w:t>采购人应当把合同授予磋商小组推荐的第一顺序成交候选人。被授予合同的供应商必须具有实施本合同的能力和资源。</w:t>
      </w:r>
    </w:p>
    <w:p w14:paraId="2CE17370">
      <w:pPr>
        <w:numPr>
          <w:ilvl w:val="0"/>
          <w:numId w:val="1"/>
        </w:numPr>
        <w:spacing w:line="360" w:lineRule="auto"/>
        <w:rPr>
          <w:rFonts w:hint="eastAsia" w:ascii="宋体" w:hAnsi="宋体" w:cs="宋体"/>
          <w:b/>
          <w:sz w:val="24"/>
        </w:rPr>
      </w:pPr>
      <w:r>
        <w:rPr>
          <w:rFonts w:hint="eastAsia" w:ascii="宋体" w:hAnsi="宋体" w:cs="宋体"/>
          <w:b/>
          <w:sz w:val="24"/>
        </w:rPr>
        <w:t>成交通知</w:t>
      </w:r>
    </w:p>
    <w:p w14:paraId="6016633B">
      <w:pPr>
        <w:pStyle w:val="5"/>
        <w:tabs>
          <w:tab w:val="left" w:pos="1050"/>
          <w:tab w:val="clear" w:pos="992"/>
        </w:tabs>
        <w:ind w:left="0" w:firstLine="480" w:firstLineChars="200"/>
        <w:rPr>
          <w:rFonts w:hint="eastAsia" w:ascii="宋体" w:hAnsi="宋体" w:cs="宋体"/>
        </w:rPr>
      </w:pPr>
      <w:r>
        <w:rPr>
          <w:rFonts w:hint="eastAsia" w:ascii="宋体" w:hAnsi="宋体" w:cs="宋体"/>
        </w:rPr>
        <w:t>确定成交供应商后，采购代理机构在发布成交公告的同时，以书面形式向成交供应商发出成交通知书。</w:t>
      </w:r>
    </w:p>
    <w:p w14:paraId="55E9BC94">
      <w:pPr>
        <w:pStyle w:val="5"/>
        <w:tabs>
          <w:tab w:val="left" w:pos="1050"/>
          <w:tab w:val="clear" w:pos="992"/>
        </w:tabs>
        <w:ind w:left="0" w:firstLine="480" w:firstLineChars="200"/>
        <w:rPr>
          <w:rFonts w:hint="eastAsia" w:ascii="宋体" w:hAnsi="宋体" w:cs="宋体"/>
        </w:rPr>
      </w:pPr>
      <w:r>
        <w:rPr>
          <w:rFonts w:hint="eastAsia" w:ascii="宋体" w:hAnsi="宋体" w:cs="宋体"/>
        </w:rPr>
        <w:t>成交通知书是合同的组成部分。</w:t>
      </w:r>
    </w:p>
    <w:p w14:paraId="02F4540F">
      <w:pPr>
        <w:pStyle w:val="5"/>
        <w:tabs>
          <w:tab w:val="left" w:pos="1050"/>
          <w:tab w:val="clear" w:pos="992"/>
        </w:tabs>
        <w:ind w:left="0" w:firstLine="480" w:firstLineChars="200"/>
        <w:rPr>
          <w:rFonts w:hint="eastAsia" w:ascii="宋体" w:hAnsi="宋体" w:cs="宋体"/>
        </w:rPr>
      </w:pPr>
      <w:r>
        <w:rPr>
          <w:rFonts w:hint="eastAsia" w:ascii="宋体" w:hAnsi="宋体" w:cs="宋体"/>
        </w:rPr>
        <w:t>采购代理机构没有对未成交供应商解释未成交原因的义务。</w:t>
      </w:r>
    </w:p>
    <w:p w14:paraId="72497234">
      <w:pPr>
        <w:numPr>
          <w:ilvl w:val="0"/>
          <w:numId w:val="1"/>
        </w:numPr>
        <w:spacing w:line="360" w:lineRule="auto"/>
        <w:rPr>
          <w:rFonts w:hint="eastAsia" w:ascii="宋体" w:hAnsi="宋体" w:cs="宋体"/>
          <w:b/>
          <w:sz w:val="24"/>
        </w:rPr>
      </w:pPr>
      <w:r>
        <w:rPr>
          <w:rFonts w:hint="eastAsia" w:ascii="宋体" w:hAnsi="宋体" w:cs="宋体"/>
          <w:b/>
          <w:sz w:val="24"/>
        </w:rPr>
        <w:t>签订合同</w:t>
      </w:r>
    </w:p>
    <w:p w14:paraId="06AF1BEC">
      <w:pPr>
        <w:pStyle w:val="5"/>
        <w:tabs>
          <w:tab w:val="left" w:pos="1050"/>
          <w:tab w:val="clear" w:pos="992"/>
        </w:tabs>
        <w:ind w:left="0" w:firstLine="480" w:firstLineChars="200"/>
        <w:rPr>
          <w:rFonts w:hint="eastAsia" w:ascii="宋体" w:hAnsi="宋体" w:cs="宋体"/>
        </w:rPr>
      </w:pPr>
      <w:r>
        <w:rPr>
          <w:rFonts w:hint="eastAsia" w:ascii="宋体" w:hAnsi="宋体" w:cs="宋体"/>
        </w:rPr>
        <w:t>采购人和成交供应商应当按照成交通知书规定的期限与成交供应商签订合同。成交通知书规定的期限最长不得超过5个工作日。</w:t>
      </w:r>
    </w:p>
    <w:p w14:paraId="06CEEDDA">
      <w:pPr>
        <w:pStyle w:val="5"/>
        <w:tabs>
          <w:tab w:val="left" w:pos="1050"/>
          <w:tab w:val="clear" w:pos="992"/>
        </w:tabs>
        <w:ind w:left="0" w:firstLine="480" w:firstLineChars="200"/>
        <w:rPr>
          <w:rFonts w:hint="eastAsia" w:ascii="宋体" w:hAnsi="宋体" w:cs="宋体"/>
        </w:rPr>
      </w:pPr>
      <w:r>
        <w:rPr>
          <w:rFonts w:hint="eastAsia" w:ascii="宋体" w:hAnsi="宋体" w:cs="宋体"/>
        </w:rPr>
        <w:t>成交供应商拒签合同，或不能在规定的期限内与采购人签订合同，采购人有权取消其成交资格，其磋商保证金不予退还。</w:t>
      </w:r>
    </w:p>
    <w:p w14:paraId="4B8771C0">
      <w:pPr>
        <w:pStyle w:val="5"/>
        <w:tabs>
          <w:tab w:val="left" w:pos="1050"/>
          <w:tab w:val="clear" w:pos="992"/>
        </w:tabs>
        <w:ind w:left="0" w:firstLine="480" w:firstLineChars="200"/>
        <w:rPr>
          <w:rFonts w:hint="eastAsia" w:ascii="宋体" w:hAnsi="宋体" w:cs="宋体"/>
        </w:rPr>
      </w:pPr>
      <w:r>
        <w:rPr>
          <w:rFonts w:hint="eastAsia" w:ascii="宋体" w:hAnsi="宋体" w:cs="宋体"/>
        </w:rPr>
        <w:t>成交供应商放弃成交，其磋商保证金不予退还。</w:t>
      </w:r>
    </w:p>
    <w:p w14:paraId="2623BD60">
      <w:pPr>
        <w:pStyle w:val="5"/>
        <w:tabs>
          <w:tab w:val="left" w:pos="1050"/>
          <w:tab w:val="clear" w:pos="992"/>
        </w:tabs>
        <w:ind w:left="0" w:firstLine="480" w:firstLineChars="200"/>
        <w:rPr>
          <w:rFonts w:hint="eastAsia" w:ascii="宋体" w:hAnsi="宋体" w:cs="宋体"/>
        </w:rPr>
      </w:pPr>
      <w:r>
        <w:rPr>
          <w:rFonts w:hint="eastAsia" w:ascii="宋体" w:hAnsi="宋体" w:cs="宋体"/>
        </w:rPr>
        <w:t>成交供应商拒签合同或放弃成交是违约行为，应当依法赔偿违约行为给采购人造成的实际损失。</w:t>
      </w:r>
    </w:p>
    <w:p w14:paraId="4424D18F">
      <w:pPr>
        <w:pStyle w:val="5"/>
        <w:tabs>
          <w:tab w:val="left" w:pos="1050"/>
          <w:tab w:val="clear" w:pos="992"/>
        </w:tabs>
        <w:ind w:left="0" w:firstLine="480" w:firstLineChars="200"/>
        <w:rPr>
          <w:rFonts w:hint="eastAsia" w:ascii="宋体" w:hAnsi="宋体" w:cs="宋体"/>
        </w:rPr>
      </w:pPr>
      <w:r>
        <w:rPr>
          <w:rFonts w:hint="eastAsia" w:ascii="宋体" w:hAnsi="宋体" w:cs="宋体"/>
        </w:rPr>
        <w:t>前款所称“违约行为给采购人造成的实际损失”，是指顺延成交供应商的成交价格高于违约人成交价格的高出部分。</w:t>
      </w:r>
    </w:p>
    <w:p w14:paraId="538831F1">
      <w:pPr>
        <w:pStyle w:val="5"/>
        <w:tabs>
          <w:tab w:val="left" w:pos="1050"/>
          <w:tab w:val="clear" w:pos="992"/>
        </w:tabs>
        <w:ind w:left="0" w:firstLine="480" w:firstLineChars="200"/>
        <w:rPr>
          <w:rFonts w:hint="eastAsia" w:ascii="宋体" w:hAnsi="宋体" w:cs="宋体"/>
        </w:rPr>
      </w:pPr>
      <w:r>
        <w:rPr>
          <w:rFonts w:hint="eastAsia" w:ascii="宋体" w:hAnsi="宋体" w:cs="宋体"/>
        </w:rPr>
        <w:t>签订合同及合同条款应以磋商文件和成交供应商的响应文件为依据。</w:t>
      </w:r>
    </w:p>
    <w:p w14:paraId="2AF0BFF8">
      <w:pPr>
        <w:numPr>
          <w:ilvl w:val="0"/>
          <w:numId w:val="1"/>
        </w:numPr>
        <w:spacing w:line="360" w:lineRule="auto"/>
        <w:rPr>
          <w:rFonts w:hint="eastAsia" w:ascii="宋体" w:hAnsi="宋体" w:cs="宋体"/>
          <w:b/>
          <w:sz w:val="24"/>
        </w:rPr>
      </w:pPr>
      <w:r>
        <w:rPr>
          <w:rFonts w:hint="eastAsia" w:ascii="宋体" w:hAnsi="宋体" w:cs="宋体"/>
          <w:b/>
          <w:sz w:val="24"/>
        </w:rPr>
        <w:t>验收</w:t>
      </w:r>
    </w:p>
    <w:p w14:paraId="710169A1">
      <w:pPr>
        <w:pStyle w:val="5"/>
        <w:tabs>
          <w:tab w:val="left" w:pos="1050"/>
          <w:tab w:val="clear" w:pos="992"/>
        </w:tabs>
        <w:ind w:left="0" w:firstLine="480" w:firstLineChars="200"/>
        <w:rPr>
          <w:rFonts w:hint="eastAsia" w:ascii="宋体" w:hAnsi="宋体" w:cs="宋体"/>
        </w:rPr>
      </w:pPr>
      <w:r>
        <w:rPr>
          <w:rFonts w:hint="eastAsia" w:ascii="宋体" w:hAnsi="宋体" w:cs="宋体"/>
        </w:rPr>
        <w:t>成交供应商与采购人应严格按照磋商文件规定的标准和响应文件承诺的条件进行验收。</w:t>
      </w:r>
    </w:p>
    <w:p w14:paraId="5E3E2BD7">
      <w:pPr>
        <w:pStyle w:val="5"/>
        <w:tabs>
          <w:tab w:val="left" w:pos="1050"/>
          <w:tab w:val="clear" w:pos="992"/>
        </w:tabs>
        <w:ind w:left="0" w:firstLine="480" w:firstLineChars="200"/>
        <w:rPr>
          <w:rFonts w:hint="eastAsia" w:ascii="宋体" w:hAnsi="宋体" w:cs="宋体"/>
        </w:rPr>
      </w:pPr>
      <w:r>
        <w:rPr>
          <w:rFonts w:hint="eastAsia" w:ascii="宋体" w:hAnsi="宋体" w:cs="宋体"/>
        </w:rPr>
        <w:t>采购人可以独立邀请第三方参与验收。验收出现争议时，成交供应商可以与采购人协商共同邀请第三方参与验收。</w:t>
      </w:r>
    </w:p>
    <w:p w14:paraId="1224B5BE">
      <w:pPr>
        <w:numPr>
          <w:ilvl w:val="0"/>
          <w:numId w:val="1"/>
        </w:numPr>
        <w:spacing w:line="360" w:lineRule="auto"/>
        <w:rPr>
          <w:rFonts w:hint="eastAsia" w:ascii="宋体" w:hAnsi="宋体" w:cs="宋体"/>
          <w:b/>
          <w:sz w:val="24"/>
        </w:rPr>
      </w:pPr>
      <w:r>
        <w:rPr>
          <w:rFonts w:hint="eastAsia" w:ascii="宋体" w:hAnsi="宋体" w:cs="宋体"/>
          <w:b/>
          <w:sz w:val="24"/>
        </w:rPr>
        <w:t>招标代理服务费</w:t>
      </w:r>
    </w:p>
    <w:p w14:paraId="255CFD50">
      <w:pPr>
        <w:pStyle w:val="5"/>
        <w:tabs>
          <w:tab w:val="left" w:pos="1050"/>
          <w:tab w:val="clear" w:pos="992"/>
        </w:tabs>
        <w:ind w:left="0" w:firstLine="480" w:firstLineChars="200"/>
        <w:jc w:val="left"/>
        <w:rPr>
          <w:rFonts w:hint="eastAsia" w:ascii="宋体" w:hAnsi="宋体" w:cs="宋体"/>
          <w:color w:val="FF0000"/>
        </w:rPr>
      </w:pPr>
      <w:r>
        <w:rPr>
          <w:rFonts w:hint="eastAsia" w:ascii="宋体" w:hAnsi="宋体" w:cs="宋体"/>
          <w:szCs w:val="24"/>
        </w:rPr>
        <w:t>代理服务费参照《海南省物价局关于降低部分招标代理服务收费标准的通知》（琼价费管〔2011〕225 号）文件中相关规定向</w:t>
      </w:r>
      <w:r>
        <w:rPr>
          <w:rFonts w:hint="eastAsia" w:ascii="宋体" w:hAnsi="宋体" w:cs="宋体"/>
          <w:szCs w:val="24"/>
          <w:lang w:val="en-US" w:eastAsia="zh-CN"/>
        </w:rPr>
        <w:t>甲方</w:t>
      </w:r>
      <w:r>
        <w:rPr>
          <w:rFonts w:hint="eastAsia" w:ascii="宋体" w:hAnsi="宋体" w:cs="宋体"/>
          <w:szCs w:val="24"/>
        </w:rPr>
        <w:t>收取。</w:t>
      </w:r>
    </w:p>
    <w:p w14:paraId="7B6E9DE1"/>
    <w:p w14:paraId="5DABCD4D">
      <w:pPr>
        <w:pStyle w:val="3"/>
        <w:rPr>
          <w:rFonts w:hint="eastAsia"/>
        </w:rPr>
      </w:pPr>
      <w:bookmarkStart w:id="110" w:name="_Toc7538"/>
      <w:bookmarkStart w:id="111" w:name="_Toc15046"/>
      <w:bookmarkStart w:id="112" w:name="_Toc27177"/>
      <w:bookmarkStart w:id="113" w:name="_Toc317237780"/>
      <w:bookmarkStart w:id="114" w:name="_Toc317237605"/>
      <w:bookmarkStart w:id="115" w:name="_Toc21089"/>
      <w:bookmarkStart w:id="116" w:name="_Toc21496"/>
      <w:r>
        <w:rPr>
          <w:rFonts w:hint="eastAsia"/>
        </w:rPr>
        <w:t>G.询问、质疑和投诉</w:t>
      </w:r>
      <w:bookmarkEnd w:id="110"/>
      <w:bookmarkEnd w:id="111"/>
      <w:bookmarkEnd w:id="112"/>
      <w:bookmarkEnd w:id="113"/>
      <w:bookmarkEnd w:id="114"/>
      <w:bookmarkEnd w:id="115"/>
      <w:bookmarkEnd w:id="116"/>
    </w:p>
    <w:p w14:paraId="22EFF9E3">
      <w:pPr>
        <w:numPr>
          <w:ilvl w:val="0"/>
          <w:numId w:val="1"/>
        </w:numPr>
        <w:tabs>
          <w:tab w:val="center" w:pos="4507"/>
        </w:tabs>
        <w:spacing w:line="360" w:lineRule="auto"/>
        <w:rPr>
          <w:rFonts w:hint="eastAsia" w:ascii="宋体" w:hAnsi="宋体" w:cs="宋体"/>
          <w:b/>
          <w:sz w:val="24"/>
        </w:rPr>
      </w:pPr>
      <w:r>
        <w:rPr>
          <w:rFonts w:hint="eastAsia" w:ascii="宋体" w:hAnsi="宋体" w:cs="宋体"/>
          <w:b/>
          <w:sz w:val="24"/>
        </w:rPr>
        <w:t>询问</w:t>
      </w:r>
      <w:r>
        <w:rPr>
          <w:rFonts w:hint="eastAsia" w:ascii="宋体" w:hAnsi="宋体" w:cs="宋体"/>
          <w:b/>
          <w:sz w:val="24"/>
        </w:rPr>
        <w:tab/>
      </w:r>
    </w:p>
    <w:p w14:paraId="6B52370E">
      <w:pPr>
        <w:pStyle w:val="5"/>
        <w:tabs>
          <w:tab w:val="left" w:pos="1050"/>
          <w:tab w:val="clear" w:pos="992"/>
        </w:tabs>
        <w:ind w:left="0" w:firstLine="480" w:firstLineChars="200"/>
        <w:rPr>
          <w:rFonts w:hint="eastAsia" w:ascii="宋体" w:hAnsi="宋体" w:cs="宋体"/>
        </w:rPr>
      </w:pPr>
      <w:r>
        <w:rPr>
          <w:rFonts w:hint="eastAsia" w:ascii="宋体" w:hAnsi="宋体" w:cs="宋体"/>
        </w:rPr>
        <w:t>供应商对本采购活动事项有疑问的，应当以书面形式向采购人或采购代理机构提出询问。</w:t>
      </w:r>
    </w:p>
    <w:p w14:paraId="4C16F9C3">
      <w:pPr>
        <w:pStyle w:val="5"/>
        <w:tabs>
          <w:tab w:val="left" w:pos="1050"/>
          <w:tab w:val="clear" w:pos="992"/>
        </w:tabs>
        <w:ind w:left="0" w:firstLine="480" w:firstLineChars="200"/>
        <w:rPr>
          <w:rFonts w:hint="eastAsia" w:ascii="宋体" w:hAnsi="宋体" w:cs="宋体"/>
        </w:rPr>
      </w:pPr>
      <w:r>
        <w:rPr>
          <w:rFonts w:hint="eastAsia" w:ascii="宋体" w:hAnsi="宋体" w:cs="宋体"/>
        </w:rPr>
        <w:t>询问应当用传真、信函、电子邮件等方式提出。</w:t>
      </w:r>
    </w:p>
    <w:p w14:paraId="28789A6A">
      <w:pPr>
        <w:pStyle w:val="5"/>
        <w:tabs>
          <w:tab w:val="left" w:pos="1050"/>
          <w:tab w:val="clear" w:pos="992"/>
        </w:tabs>
        <w:ind w:left="0" w:firstLine="480" w:firstLineChars="200"/>
        <w:rPr>
          <w:rFonts w:hint="eastAsia" w:ascii="宋体" w:hAnsi="宋体" w:cs="宋体"/>
        </w:rPr>
      </w:pPr>
      <w:r>
        <w:rPr>
          <w:rFonts w:hint="eastAsia" w:ascii="宋体" w:hAnsi="宋体" w:cs="宋体"/>
        </w:rPr>
        <w:t>对询问的答复，将依据是否是重要的共性问题，决定是否同时告知其他供应商。</w:t>
      </w:r>
    </w:p>
    <w:p w14:paraId="35C88F8D">
      <w:pPr>
        <w:numPr>
          <w:ilvl w:val="0"/>
          <w:numId w:val="1"/>
        </w:numPr>
        <w:spacing w:line="360" w:lineRule="auto"/>
        <w:rPr>
          <w:rFonts w:hint="eastAsia" w:ascii="宋体" w:hAnsi="宋体" w:cs="宋体"/>
          <w:b/>
          <w:sz w:val="24"/>
        </w:rPr>
      </w:pPr>
      <w:r>
        <w:rPr>
          <w:rFonts w:hint="eastAsia" w:ascii="宋体" w:hAnsi="宋体" w:cs="宋体"/>
          <w:b/>
          <w:sz w:val="24"/>
        </w:rPr>
        <w:t>质疑</w:t>
      </w:r>
    </w:p>
    <w:p w14:paraId="6A37F328">
      <w:pPr>
        <w:pStyle w:val="5"/>
        <w:tabs>
          <w:tab w:val="left" w:pos="1050"/>
          <w:tab w:val="clear" w:pos="992"/>
        </w:tabs>
        <w:ind w:left="0" w:firstLine="480" w:firstLineChars="200"/>
        <w:rPr>
          <w:rFonts w:hint="eastAsia" w:ascii="宋体" w:hAnsi="宋体" w:cs="宋体"/>
        </w:rPr>
      </w:pPr>
      <w:r>
        <w:rPr>
          <w:rFonts w:hint="eastAsia" w:ascii="宋体" w:hAnsi="宋体" w:cs="宋体"/>
        </w:rPr>
        <w:t>供应商认为采购文件、采购过程和成交结果使自己的权益受到损害的，可以在知道或者应知其权益受到损害之日起七个工作日内，以书面形式向本代理机构或向采购人提出质疑。</w:t>
      </w:r>
    </w:p>
    <w:p w14:paraId="7F7824B0">
      <w:pPr>
        <w:pStyle w:val="5"/>
        <w:tabs>
          <w:tab w:val="left" w:pos="1050"/>
          <w:tab w:val="clear" w:pos="992"/>
        </w:tabs>
        <w:ind w:left="0" w:firstLine="480" w:firstLineChars="200"/>
        <w:rPr>
          <w:rFonts w:hint="eastAsia" w:ascii="宋体" w:hAnsi="宋体" w:cs="宋体"/>
        </w:rPr>
      </w:pPr>
      <w:r>
        <w:rPr>
          <w:rFonts w:hint="eastAsia" w:ascii="宋体" w:hAnsi="宋体" w:cs="宋体"/>
          <w:szCs w:val="24"/>
        </w:rPr>
        <w:t>质疑必须以书面形式提出。质疑函应当包括但不限于下列内容：供应商的名称、地址、邮编、联系人及联系电话；质疑项目的名称、编号；质疑事项；事实依据和证明材料；法律依据；提出质疑的日期。质疑函必须由提出质疑的供应商的法定代表人亲笔签署，并加盖企业法人公章。</w:t>
      </w:r>
    </w:p>
    <w:p w14:paraId="3F246800">
      <w:pPr>
        <w:pStyle w:val="5"/>
        <w:tabs>
          <w:tab w:val="left" w:pos="1050"/>
          <w:tab w:val="clear" w:pos="992"/>
        </w:tabs>
        <w:ind w:left="0" w:firstLine="480" w:firstLineChars="200"/>
        <w:rPr>
          <w:rFonts w:hint="eastAsia" w:ascii="宋体" w:hAnsi="宋体" w:cs="宋体"/>
        </w:rPr>
      </w:pPr>
      <w:r>
        <w:rPr>
          <w:rFonts w:hint="eastAsia" w:ascii="宋体" w:hAnsi="宋体" w:cs="宋体"/>
        </w:rPr>
        <w:t>不符合本章第32.1、32.2款规定的质疑是无效质疑，不予受理。</w:t>
      </w:r>
    </w:p>
    <w:p w14:paraId="72B6AFC6">
      <w:pPr>
        <w:pStyle w:val="5"/>
        <w:tabs>
          <w:tab w:val="left" w:pos="1050"/>
          <w:tab w:val="clear" w:pos="992"/>
        </w:tabs>
        <w:ind w:left="0" w:firstLine="480" w:firstLineChars="200"/>
        <w:rPr>
          <w:rFonts w:hint="eastAsia" w:ascii="宋体" w:hAnsi="宋体" w:cs="宋体"/>
        </w:rPr>
      </w:pPr>
      <w:r>
        <w:rPr>
          <w:rFonts w:hint="eastAsia" w:ascii="宋体" w:hAnsi="宋体" w:cs="宋体"/>
        </w:rPr>
        <w:t>对于供应商的有效质疑，我们将按照《中华人共和国政府采购法》、《政府采购货物和服务招标投标管理办法》和《海南省实施〈中华人民共和国政府采购法〉办法》的规定及时予以答复。</w:t>
      </w:r>
    </w:p>
    <w:p w14:paraId="65822EB9">
      <w:pPr>
        <w:pStyle w:val="5"/>
        <w:tabs>
          <w:tab w:val="left" w:pos="1050"/>
          <w:tab w:val="clear" w:pos="992"/>
        </w:tabs>
        <w:ind w:left="0" w:firstLine="480" w:firstLineChars="200"/>
        <w:rPr>
          <w:rFonts w:hint="eastAsia" w:ascii="宋体" w:hAnsi="宋体" w:cs="宋体"/>
        </w:rPr>
      </w:pPr>
      <w:r>
        <w:rPr>
          <w:rFonts w:hint="eastAsia" w:ascii="宋体" w:hAnsi="宋体" w:cs="宋体"/>
        </w:rPr>
        <w:t>供应商应当慎重使用质疑的权利。属于对政府采购活动事项产生一般疑问的，应当根据政府采购法第52条的规定提出询问，本代理机构有义务及时作出答复。</w:t>
      </w:r>
    </w:p>
    <w:p w14:paraId="4E474958">
      <w:pPr>
        <w:pStyle w:val="5"/>
        <w:ind w:left="0" w:firstLine="480" w:firstLineChars="200"/>
      </w:pPr>
      <w:r>
        <w:rPr>
          <w:rFonts w:hint="eastAsia"/>
        </w:rPr>
        <w:t>接收质疑函的方式：质疑书原件可采取当面递交或邮寄、快递的方式送达代理机构。以邮寄、快递方式递交的，质疑提起日期以邮寄件上的戳记日期、邮政快递件上的戳记日期或非邮政快递件上的签注之日计算，受理日期则以代理机构收到质疑函原件之日计算。</w:t>
      </w:r>
    </w:p>
    <w:p w14:paraId="1FD5A284">
      <w:pPr>
        <w:pStyle w:val="5"/>
        <w:numPr>
          <w:ilvl w:val="1"/>
          <w:numId w:val="0"/>
        </w:numPr>
        <w:ind w:left="420" w:leftChars="200"/>
      </w:pPr>
      <w:r>
        <w:rPr>
          <w:rFonts w:hint="eastAsia"/>
        </w:rPr>
        <w:t>以邮寄、快递方式递交质疑函的，质疑人可以在质疑有效期内以清晰扫描及时将质</w:t>
      </w:r>
    </w:p>
    <w:p w14:paraId="61C86ADB">
      <w:pPr>
        <w:pStyle w:val="5"/>
        <w:numPr>
          <w:ilvl w:val="1"/>
          <w:numId w:val="0"/>
        </w:numPr>
      </w:pPr>
      <w:r>
        <w:rPr>
          <w:rFonts w:hint="eastAsia"/>
        </w:rPr>
        <w:t>疑事项告知代理机构，并提供邮寄件、快递件的有效查询方式。</w:t>
      </w:r>
    </w:p>
    <w:p w14:paraId="60B849A5">
      <w:pPr>
        <w:pStyle w:val="5"/>
        <w:numPr>
          <w:ilvl w:val="1"/>
          <w:numId w:val="0"/>
        </w:numPr>
        <w:tabs>
          <w:tab w:val="left" w:pos="1050"/>
          <w:tab w:val="clear" w:pos="992"/>
        </w:tabs>
        <w:ind w:firstLine="480" w:firstLineChars="200"/>
        <w:rPr>
          <w:rFonts w:hint="eastAsia" w:ascii="宋体" w:hAnsi="宋体" w:cs="宋体"/>
        </w:rPr>
      </w:pPr>
      <w:r>
        <w:rPr>
          <w:rFonts w:hint="eastAsia" w:ascii="宋体" w:hAnsi="宋体" w:cs="宋体"/>
        </w:rPr>
        <w:t>联系部门：海南建云项目管理有限公司-招标部</w:t>
      </w:r>
    </w:p>
    <w:p w14:paraId="18EE22F9">
      <w:pPr>
        <w:pStyle w:val="5"/>
        <w:numPr>
          <w:ilvl w:val="1"/>
          <w:numId w:val="0"/>
        </w:numPr>
        <w:tabs>
          <w:tab w:val="left" w:pos="1050"/>
          <w:tab w:val="clear" w:pos="992"/>
        </w:tabs>
        <w:ind w:firstLine="480" w:firstLineChars="200"/>
        <w:rPr>
          <w:rFonts w:hint="eastAsia" w:ascii="宋体" w:hAnsi="宋体" w:cs="宋体"/>
        </w:rPr>
      </w:pPr>
      <w:r>
        <w:rPr>
          <w:rFonts w:hint="eastAsia" w:ascii="宋体" w:hAnsi="宋体" w:cs="宋体"/>
        </w:rPr>
        <w:t>联系电话：0898-65819810</w:t>
      </w:r>
    </w:p>
    <w:p w14:paraId="02C070BE">
      <w:pPr>
        <w:pStyle w:val="5"/>
        <w:numPr>
          <w:ilvl w:val="1"/>
          <w:numId w:val="0"/>
        </w:numPr>
        <w:tabs>
          <w:tab w:val="left" w:pos="1050"/>
          <w:tab w:val="clear" w:pos="992"/>
        </w:tabs>
        <w:ind w:firstLine="480" w:firstLineChars="200"/>
        <w:rPr>
          <w:rFonts w:hint="eastAsia" w:ascii="宋体" w:hAnsi="宋体" w:cs="宋体"/>
        </w:rPr>
      </w:pPr>
      <w:r>
        <w:rPr>
          <w:rFonts w:hint="eastAsia" w:ascii="宋体" w:hAnsi="宋体" w:cs="宋体"/>
        </w:rPr>
        <w:t>通讯地址：海口市美兰区大英山东一路8号国瑞城名仕苑4号楼2单元2层201房</w:t>
      </w:r>
    </w:p>
    <w:p w14:paraId="2BB1EB09">
      <w:pPr>
        <w:pStyle w:val="5"/>
        <w:numPr>
          <w:ilvl w:val="1"/>
          <w:numId w:val="0"/>
        </w:numPr>
        <w:ind w:left="420" w:leftChars="200"/>
      </w:pPr>
      <w:r>
        <w:rPr>
          <w:rFonts w:hint="eastAsia" w:ascii="仿宋" w:hAnsi="仿宋" w:eastAsia="仿宋" w:cs="仿宋"/>
        </w:rPr>
        <w:t>32.7</w:t>
      </w:r>
      <w:r>
        <w:rPr>
          <w:rFonts w:hint="eastAsia"/>
        </w:rPr>
        <w:t>有下列情形之一的，属于无效质疑，采购人或采购代理机构可不予受理：</w:t>
      </w:r>
    </w:p>
    <w:p w14:paraId="63929315">
      <w:pPr>
        <w:pStyle w:val="5"/>
        <w:numPr>
          <w:ilvl w:val="1"/>
          <w:numId w:val="0"/>
        </w:numPr>
        <w:ind w:left="420" w:leftChars="200"/>
      </w:pPr>
      <w:r>
        <w:rPr>
          <w:rFonts w:hint="eastAsia"/>
        </w:rPr>
        <w:t>（1）未在有效期限内提出质疑的；</w:t>
      </w:r>
    </w:p>
    <w:p w14:paraId="0921832B">
      <w:pPr>
        <w:pStyle w:val="5"/>
        <w:numPr>
          <w:ilvl w:val="1"/>
          <w:numId w:val="0"/>
        </w:numPr>
        <w:ind w:left="420" w:leftChars="200"/>
      </w:pPr>
      <w:r>
        <w:rPr>
          <w:rFonts w:hint="eastAsia"/>
        </w:rPr>
        <w:t>（2）质疑未以书面形式提出的；</w:t>
      </w:r>
    </w:p>
    <w:p w14:paraId="65B1C9BB">
      <w:pPr>
        <w:pStyle w:val="5"/>
        <w:numPr>
          <w:ilvl w:val="1"/>
          <w:numId w:val="0"/>
        </w:numPr>
        <w:ind w:left="420" w:leftChars="200"/>
      </w:pPr>
      <w:r>
        <w:rPr>
          <w:rFonts w:hint="eastAsia"/>
        </w:rPr>
        <w:t>（3）所提交材料未明示属于质疑材料的；</w:t>
      </w:r>
    </w:p>
    <w:p w14:paraId="70950537">
      <w:pPr>
        <w:pStyle w:val="5"/>
        <w:numPr>
          <w:ilvl w:val="1"/>
          <w:numId w:val="0"/>
        </w:numPr>
        <w:ind w:left="420" w:leftChars="200"/>
      </w:pPr>
      <w:r>
        <w:rPr>
          <w:rFonts w:hint="eastAsia"/>
        </w:rPr>
        <w:t>（4）质疑事项已经进入投诉或者诉讼程序的；</w:t>
      </w:r>
    </w:p>
    <w:p w14:paraId="1FF5F99B">
      <w:pPr>
        <w:pStyle w:val="5"/>
        <w:numPr>
          <w:ilvl w:val="1"/>
          <w:numId w:val="0"/>
        </w:numPr>
        <w:ind w:left="420" w:leftChars="200"/>
      </w:pPr>
      <w:r>
        <w:rPr>
          <w:rFonts w:hint="eastAsia"/>
        </w:rPr>
        <w:t>（5）其它不符合受理条件的情形。</w:t>
      </w:r>
    </w:p>
    <w:p w14:paraId="3A757511"/>
    <w:p w14:paraId="4718EB23">
      <w:pPr>
        <w:numPr>
          <w:ilvl w:val="0"/>
          <w:numId w:val="1"/>
        </w:numPr>
        <w:spacing w:line="360" w:lineRule="auto"/>
        <w:rPr>
          <w:rFonts w:hint="eastAsia" w:ascii="宋体" w:hAnsi="宋体" w:cs="宋体"/>
          <w:b/>
          <w:sz w:val="24"/>
        </w:rPr>
      </w:pPr>
      <w:r>
        <w:rPr>
          <w:rFonts w:hint="eastAsia" w:ascii="宋体" w:hAnsi="宋体" w:cs="宋体"/>
          <w:b/>
          <w:sz w:val="24"/>
        </w:rPr>
        <w:t>投诉</w:t>
      </w:r>
    </w:p>
    <w:p w14:paraId="22016F04">
      <w:pPr>
        <w:pStyle w:val="5"/>
        <w:tabs>
          <w:tab w:val="left" w:pos="1050"/>
          <w:tab w:val="clear" w:pos="992"/>
        </w:tabs>
        <w:ind w:left="0" w:firstLine="480" w:firstLineChars="200"/>
        <w:rPr>
          <w:rFonts w:hint="eastAsia" w:ascii="宋体" w:hAnsi="宋体" w:cs="宋体"/>
        </w:rPr>
      </w:pPr>
      <w:r>
        <w:rPr>
          <w:rFonts w:hint="eastAsia" w:ascii="宋体" w:hAnsi="宋体" w:cs="宋体"/>
        </w:rPr>
        <w:t>供应商对质疑事项的答复不满意，或者没有在法定期限内得到答复的，可以依法向政府采购监管部门进行投诉。</w:t>
      </w:r>
    </w:p>
    <w:p w14:paraId="2C0CA301">
      <w:pPr>
        <w:pStyle w:val="5"/>
        <w:tabs>
          <w:tab w:val="left" w:pos="1050"/>
          <w:tab w:val="clear" w:pos="992"/>
        </w:tabs>
        <w:ind w:left="0" w:firstLine="480" w:firstLineChars="200"/>
      </w:pPr>
      <w:r>
        <w:rPr>
          <w:rFonts w:hint="eastAsia" w:ascii="宋体" w:hAnsi="宋体" w:cs="宋体"/>
        </w:rPr>
        <w:t>供应商的投诉，应当符合《中华人共和国政府采购法》、《政府采购供应商投诉处理办法》、《财政部关于加强政府采购供应商投诉受理审查工作的通知》的相关规定。</w:t>
      </w:r>
    </w:p>
    <w:p w14:paraId="7BD619D4"/>
    <w:p w14:paraId="5FA9CA42">
      <w:pPr>
        <w:pStyle w:val="3"/>
        <w:spacing w:line="240" w:lineRule="auto"/>
        <w:rPr>
          <w:rFonts w:hint="eastAsia"/>
        </w:rPr>
      </w:pPr>
      <w:bookmarkStart w:id="117" w:name="_Toc4744"/>
      <w:bookmarkStart w:id="118" w:name="_Toc32747"/>
      <w:bookmarkStart w:id="119" w:name="_Toc17014"/>
      <w:bookmarkStart w:id="120" w:name="_Toc10790"/>
      <w:bookmarkStart w:id="121" w:name="_Toc32125"/>
      <w:bookmarkStart w:id="122" w:name="_Toc317237606"/>
      <w:bookmarkStart w:id="123" w:name="_Toc317237781"/>
      <w:r>
        <w:rPr>
          <w:rFonts w:hint="eastAsia"/>
        </w:rPr>
        <w:t>H.纪律和监督</w:t>
      </w:r>
      <w:bookmarkEnd w:id="117"/>
      <w:bookmarkEnd w:id="118"/>
      <w:bookmarkEnd w:id="119"/>
      <w:bookmarkEnd w:id="120"/>
      <w:bookmarkEnd w:id="121"/>
      <w:bookmarkEnd w:id="122"/>
      <w:bookmarkEnd w:id="123"/>
    </w:p>
    <w:p w14:paraId="0FC123B7">
      <w:pPr>
        <w:numPr>
          <w:ilvl w:val="0"/>
          <w:numId w:val="1"/>
        </w:numPr>
        <w:spacing w:line="360" w:lineRule="auto"/>
        <w:rPr>
          <w:rFonts w:hint="eastAsia" w:ascii="宋体" w:hAnsi="宋体" w:cs="宋体"/>
          <w:b/>
          <w:sz w:val="24"/>
        </w:rPr>
      </w:pPr>
      <w:r>
        <w:rPr>
          <w:rFonts w:hint="eastAsia" w:ascii="宋体" w:hAnsi="宋体" w:cs="宋体"/>
          <w:b/>
          <w:sz w:val="24"/>
        </w:rPr>
        <w:t>对采购人的纪律要求</w:t>
      </w:r>
    </w:p>
    <w:p w14:paraId="7F83DFDE">
      <w:pPr>
        <w:pStyle w:val="5"/>
        <w:numPr>
          <w:ilvl w:val="0"/>
          <w:numId w:val="0"/>
        </w:numPr>
        <w:tabs>
          <w:tab w:val="left" w:pos="1050"/>
        </w:tabs>
        <w:ind w:firstLine="480" w:firstLineChars="200"/>
        <w:rPr>
          <w:rFonts w:hint="eastAsia" w:ascii="宋体" w:hAnsi="宋体" w:cs="宋体"/>
        </w:rPr>
      </w:pPr>
      <w:r>
        <w:rPr>
          <w:rFonts w:hint="eastAsia" w:ascii="宋体" w:hAnsi="宋体" w:cs="宋体"/>
        </w:rPr>
        <w:t>采购人不得泄漏磋商采购活动中应当保密的情况和资料，不得与供应商串通损害国家利益、社会公共利益或他人的合法权益。</w:t>
      </w:r>
    </w:p>
    <w:p w14:paraId="0130574A">
      <w:pPr>
        <w:numPr>
          <w:ilvl w:val="0"/>
          <w:numId w:val="1"/>
        </w:numPr>
        <w:spacing w:line="360" w:lineRule="auto"/>
        <w:rPr>
          <w:rFonts w:hint="eastAsia" w:ascii="宋体" w:hAnsi="宋体" w:cs="宋体"/>
          <w:b/>
          <w:sz w:val="24"/>
        </w:rPr>
      </w:pPr>
      <w:r>
        <w:rPr>
          <w:rFonts w:hint="eastAsia" w:ascii="宋体" w:hAnsi="宋体" w:cs="宋体"/>
          <w:b/>
          <w:sz w:val="24"/>
        </w:rPr>
        <w:t>对供应商的纪律要求</w:t>
      </w:r>
    </w:p>
    <w:p w14:paraId="36916D4D">
      <w:pPr>
        <w:pStyle w:val="5"/>
        <w:numPr>
          <w:ilvl w:val="0"/>
          <w:numId w:val="0"/>
        </w:numPr>
        <w:tabs>
          <w:tab w:val="left" w:pos="1050"/>
        </w:tabs>
        <w:ind w:firstLine="480" w:firstLineChars="200"/>
        <w:rPr>
          <w:rFonts w:hint="eastAsia" w:ascii="宋体" w:hAnsi="宋体" w:cs="宋体"/>
        </w:rPr>
      </w:pPr>
      <w:r>
        <w:rPr>
          <w:rFonts w:hint="eastAsia" w:ascii="宋体" w:hAnsi="宋体" w:cs="宋体"/>
        </w:rPr>
        <w:t>不得提供虚假材料谋取成交；不得采取不正当手段诋毁、排挤其他供应商；不得与采购人、采购代理机构、其他供应商恶意串通；不得向采购人、采购代理机构、磋商小组成员行贿或者提供其他不正当利益；不得拒不遵守磋商纪律，故意扰乱磋商会场秩序或其他无理取闹行为；不得在采购过程中与采购人、采购代理机构进行协商磋商；不得拒绝有关部门的监督检查或者向监督检查部门提供虚假情况。有上述情形之一的供应商，属于不合格供应商，其成交资格将被取消。</w:t>
      </w:r>
    </w:p>
    <w:p w14:paraId="041AFE64">
      <w:pPr>
        <w:numPr>
          <w:ilvl w:val="0"/>
          <w:numId w:val="1"/>
        </w:numPr>
        <w:spacing w:line="360" w:lineRule="auto"/>
        <w:rPr>
          <w:rFonts w:hint="eastAsia" w:ascii="宋体" w:hAnsi="宋体" w:cs="宋体"/>
          <w:b/>
          <w:sz w:val="24"/>
        </w:rPr>
      </w:pPr>
      <w:r>
        <w:rPr>
          <w:rFonts w:hint="eastAsia" w:ascii="宋体" w:hAnsi="宋体" w:cs="宋体"/>
          <w:b/>
          <w:sz w:val="24"/>
        </w:rPr>
        <w:t>对磋商小组成员的纪律要求</w:t>
      </w:r>
    </w:p>
    <w:p w14:paraId="1A9DF1FC">
      <w:pPr>
        <w:pStyle w:val="5"/>
        <w:numPr>
          <w:ilvl w:val="0"/>
          <w:numId w:val="0"/>
        </w:numPr>
        <w:tabs>
          <w:tab w:val="left" w:pos="1050"/>
        </w:tabs>
        <w:ind w:firstLine="480" w:firstLineChars="200"/>
        <w:rPr>
          <w:rFonts w:hint="eastAsia" w:ascii="宋体" w:hAnsi="宋体" w:cs="宋体"/>
        </w:rPr>
      </w:pPr>
      <w:r>
        <w:rPr>
          <w:rFonts w:hint="eastAsia" w:ascii="宋体" w:hAnsi="宋体" w:cs="宋体"/>
        </w:rPr>
        <w:t>磋商小组成员不得收受他人的财物或者其他好处，不得向他人透漏对响应文件的评审和比较、成交候选人的推荐情况以及磋商有关的其他情况。在磋商活动中，磋商小组成员不得擅离职守，影响磋商程序正常进行，不得使用本磋商文件第五部分规定之外的评审因素和标准进行评标。</w:t>
      </w:r>
    </w:p>
    <w:p w14:paraId="3859181B">
      <w:pPr>
        <w:numPr>
          <w:ilvl w:val="0"/>
          <w:numId w:val="1"/>
        </w:numPr>
        <w:spacing w:line="360" w:lineRule="auto"/>
        <w:rPr>
          <w:rFonts w:hint="eastAsia" w:ascii="宋体" w:hAnsi="宋体" w:cs="宋体"/>
          <w:b/>
          <w:sz w:val="24"/>
        </w:rPr>
      </w:pPr>
      <w:r>
        <w:rPr>
          <w:rFonts w:hint="eastAsia" w:ascii="宋体" w:hAnsi="宋体" w:cs="宋体"/>
          <w:b/>
          <w:sz w:val="24"/>
        </w:rPr>
        <w:t>对与磋商活动有关的工作人员的纪律要求</w:t>
      </w:r>
    </w:p>
    <w:p w14:paraId="4CFE8931">
      <w:pPr>
        <w:pStyle w:val="5"/>
        <w:numPr>
          <w:ilvl w:val="0"/>
          <w:numId w:val="0"/>
        </w:numPr>
        <w:tabs>
          <w:tab w:val="left" w:pos="1050"/>
        </w:tabs>
        <w:ind w:firstLine="480" w:firstLineChars="200"/>
        <w:rPr>
          <w:rFonts w:hint="eastAsia" w:ascii="宋体" w:hAnsi="宋体" w:cs="宋体"/>
        </w:rPr>
      </w:pPr>
      <w:r>
        <w:rPr>
          <w:rFonts w:hint="eastAsia" w:ascii="宋体" w:hAnsi="宋体" w:cs="宋体"/>
        </w:rPr>
        <w:t>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14:paraId="5BE1FE48">
      <w:pPr>
        <w:pStyle w:val="2"/>
        <w:rPr>
          <w:rStyle w:val="29"/>
          <w:b w:val="0"/>
          <w:bCs/>
        </w:rPr>
      </w:pPr>
      <w:r>
        <w:rPr>
          <w:rFonts w:hint="eastAsia" w:ascii="宋体" w:hAnsi="宋体" w:cs="宋体"/>
        </w:rPr>
        <w:br w:type="page"/>
      </w:r>
      <w:bookmarkStart w:id="124" w:name="_Toc32433"/>
      <w:r>
        <w:rPr>
          <w:rFonts w:hint="eastAsia"/>
          <w:bCs/>
        </w:rPr>
        <w:t xml:space="preserve">第三部分 </w:t>
      </w:r>
      <w:bookmarkEnd w:id="124"/>
      <w:bookmarkStart w:id="125" w:name="_Toc2758"/>
      <w:r>
        <w:rPr>
          <w:rFonts w:hint="eastAsia" w:eastAsia="宋体" w:cs="Times New Roman"/>
          <w:bCs/>
          <w:lang w:val="en-US" w:eastAsia="zh-CN"/>
        </w:rPr>
        <w:t>用户需求</w:t>
      </w:r>
    </w:p>
    <w:bookmarkEnd w:id="125"/>
    <w:p w14:paraId="07E4F610">
      <w:pPr>
        <w:pStyle w:val="5"/>
        <w:numPr>
          <w:ilvl w:val="0"/>
          <w:numId w:val="0"/>
        </w:numPr>
        <w:tabs>
          <w:tab w:val="left" w:pos="1050"/>
        </w:tabs>
        <w:ind w:firstLine="480" w:firstLineChars="200"/>
        <w:rPr>
          <w:rFonts w:hint="eastAsia" w:ascii="宋体" w:hAnsi="宋体"/>
          <w:shd w:val="clear" w:color="auto" w:fill="FFFFFF"/>
        </w:rPr>
      </w:pPr>
      <w:bookmarkStart w:id="126" w:name="_Toc1576"/>
      <w:bookmarkStart w:id="127" w:name="_Toc14264"/>
      <w:bookmarkStart w:id="128" w:name="_Toc13208"/>
      <w:bookmarkStart w:id="129" w:name="_Toc11096"/>
      <w:bookmarkStart w:id="130" w:name="_Toc317237621"/>
    </w:p>
    <w:bookmarkEnd w:id="126"/>
    <w:bookmarkEnd w:id="127"/>
    <w:bookmarkEnd w:id="128"/>
    <w:bookmarkEnd w:id="129"/>
    <w:bookmarkEnd w:id="130"/>
    <w:p w14:paraId="206C8D29">
      <w:pPr>
        <w:numPr>
          <w:ilvl w:val="0"/>
          <w:numId w:val="0"/>
        </w:numPr>
        <w:spacing w:line="360" w:lineRule="auto"/>
        <w:jc w:val="center"/>
        <w:rPr>
          <w:rFonts w:hint="eastAsia" w:ascii="黑体" w:hAnsi="黑体" w:eastAsia="黑体" w:cs="黑体"/>
          <w:snapToGrid/>
          <w:color w:val="auto"/>
          <w:kern w:val="2"/>
          <w:sz w:val="44"/>
          <w:szCs w:val="44"/>
          <w:lang w:val="en-US" w:eastAsia="zh-CN" w:bidi="ar-SA"/>
        </w:rPr>
      </w:pPr>
      <w:bookmarkStart w:id="131" w:name="_Toc317237622"/>
      <w:bookmarkStart w:id="132" w:name="_Toc14214"/>
      <w:bookmarkStart w:id="133" w:name="_Toc1288"/>
      <w:bookmarkStart w:id="134" w:name="_Toc6071"/>
      <w:bookmarkStart w:id="135" w:name="_Toc21529"/>
    </w:p>
    <w:p w14:paraId="1DB9FE5D">
      <w:pP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lang w:val="en-US" w:eastAsia="zh-CN"/>
        </w:rPr>
        <w:t>一</w:t>
      </w:r>
      <w:r>
        <w:rPr>
          <w:rFonts w:hint="eastAsia" w:ascii="宋体" w:hAnsi="宋体" w:eastAsia="宋体" w:cs="宋体"/>
          <w:i w:val="0"/>
          <w:iCs w:val="0"/>
          <w:caps w:val="0"/>
          <w:color w:val="000000"/>
          <w:spacing w:val="0"/>
          <w:sz w:val="28"/>
          <w:szCs w:val="28"/>
          <w:shd w:val="clear" w:fill="FFFFFF"/>
        </w:rPr>
        <w:t>、医院基本情况（具体以合同为准）</w:t>
      </w:r>
    </w:p>
    <w:p w14:paraId="20EC2C25">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1.床位数：</w:t>
      </w:r>
      <w:r>
        <w:rPr>
          <w:rFonts w:hint="eastAsia" w:ascii="宋体" w:hAnsi="宋体" w:eastAsia="宋体" w:cs="宋体"/>
          <w:i w:val="0"/>
          <w:iCs w:val="0"/>
          <w:caps w:val="0"/>
          <w:color w:val="000000"/>
          <w:spacing w:val="0"/>
          <w:sz w:val="28"/>
          <w:szCs w:val="28"/>
          <w:shd w:val="clear" w:fill="FFFFFF"/>
          <w:lang w:val="en-US" w:eastAsia="zh-CN"/>
        </w:rPr>
        <w:t>287</w:t>
      </w:r>
      <w:r>
        <w:rPr>
          <w:rFonts w:hint="eastAsia" w:ascii="宋体" w:hAnsi="宋体" w:eastAsia="宋体" w:cs="宋体"/>
          <w:i w:val="0"/>
          <w:iCs w:val="0"/>
          <w:caps w:val="0"/>
          <w:color w:val="000000"/>
          <w:spacing w:val="0"/>
          <w:sz w:val="28"/>
          <w:szCs w:val="28"/>
          <w:shd w:val="clear" w:fill="FFFFFF"/>
        </w:rPr>
        <w:t>张；</w:t>
      </w:r>
    </w:p>
    <w:p w14:paraId="2D107FCF">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2.医生数：</w:t>
      </w:r>
      <w:r>
        <w:rPr>
          <w:rFonts w:hint="eastAsia" w:ascii="宋体" w:hAnsi="宋体" w:eastAsia="宋体" w:cs="宋体"/>
          <w:i w:val="0"/>
          <w:iCs w:val="0"/>
          <w:caps w:val="0"/>
          <w:color w:val="000000"/>
          <w:spacing w:val="0"/>
          <w:sz w:val="28"/>
          <w:szCs w:val="28"/>
          <w:shd w:val="clear" w:fill="FFFFFF"/>
          <w:lang w:val="en-US" w:eastAsia="zh-CN"/>
        </w:rPr>
        <w:t>89</w:t>
      </w:r>
      <w:r>
        <w:rPr>
          <w:rFonts w:hint="eastAsia" w:ascii="宋体" w:hAnsi="宋体" w:eastAsia="宋体" w:cs="宋体"/>
          <w:i w:val="0"/>
          <w:iCs w:val="0"/>
          <w:caps w:val="0"/>
          <w:color w:val="000000"/>
          <w:spacing w:val="0"/>
          <w:sz w:val="28"/>
          <w:szCs w:val="28"/>
          <w:shd w:val="clear" w:fill="FFFFFF"/>
        </w:rPr>
        <w:t>人；</w:t>
      </w:r>
    </w:p>
    <w:p w14:paraId="498CF9B9">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3.护技数：</w:t>
      </w:r>
      <w:r>
        <w:rPr>
          <w:rFonts w:hint="eastAsia" w:ascii="宋体" w:hAnsi="宋体" w:eastAsia="宋体" w:cs="宋体"/>
          <w:i w:val="0"/>
          <w:iCs w:val="0"/>
          <w:caps w:val="0"/>
          <w:color w:val="000000"/>
          <w:spacing w:val="0"/>
          <w:sz w:val="28"/>
          <w:szCs w:val="28"/>
          <w:shd w:val="clear" w:fill="FFFFFF"/>
          <w:lang w:val="en-US" w:eastAsia="zh-CN"/>
        </w:rPr>
        <w:t>167</w:t>
      </w:r>
      <w:r>
        <w:rPr>
          <w:rFonts w:hint="eastAsia" w:ascii="宋体" w:hAnsi="宋体" w:eastAsia="宋体" w:cs="宋体"/>
          <w:i w:val="0"/>
          <w:iCs w:val="0"/>
          <w:caps w:val="0"/>
          <w:color w:val="000000"/>
          <w:spacing w:val="0"/>
          <w:sz w:val="28"/>
          <w:szCs w:val="28"/>
          <w:shd w:val="clear" w:fill="FFFFFF"/>
        </w:rPr>
        <w:t>人；</w:t>
      </w:r>
    </w:p>
    <w:p w14:paraId="5A61A597">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4.上年度出院人数：</w:t>
      </w:r>
      <w:r>
        <w:rPr>
          <w:rFonts w:hint="eastAsia" w:ascii="宋体" w:hAnsi="宋体" w:eastAsia="宋体" w:cs="宋体"/>
          <w:i w:val="0"/>
          <w:iCs w:val="0"/>
          <w:caps w:val="0"/>
          <w:color w:val="000000"/>
          <w:spacing w:val="0"/>
          <w:sz w:val="28"/>
          <w:szCs w:val="28"/>
          <w:shd w:val="clear" w:fill="FFFFFF"/>
          <w:lang w:val="en-US" w:eastAsia="zh-CN"/>
        </w:rPr>
        <w:t>5789</w:t>
      </w:r>
      <w:r>
        <w:rPr>
          <w:rFonts w:hint="eastAsia" w:ascii="宋体" w:hAnsi="宋体" w:eastAsia="宋体" w:cs="宋体"/>
          <w:i w:val="0"/>
          <w:iCs w:val="0"/>
          <w:caps w:val="0"/>
          <w:color w:val="000000"/>
          <w:spacing w:val="0"/>
          <w:sz w:val="28"/>
          <w:szCs w:val="28"/>
          <w:shd w:val="clear" w:fill="FFFFFF"/>
        </w:rPr>
        <w:t>人；</w:t>
      </w:r>
    </w:p>
    <w:p w14:paraId="3083C3BB">
      <w:pPr>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rPr>
        <w:t>5.上年度门诊人数：</w:t>
      </w:r>
      <w:r>
        <w:rPr>
          <w:rFonts w:hint="eastAsia" w:ascii="宋体" w:hAnsi="宋体" w:eastAsia="宋体" w:cs="宋体"/>
          <w:i w:val="0"/>
          <w:iCs w:val="0"/>
          <w:caps w:val="0"/>
          <w:color w:val="000000"/>
          <w:spacing w:val="0"/>
          <w:sz w:val="28"/>
          <w:szCs w:val="28"/>
          <w:shd w:val="clear" w:fill="FFFFFF"/>
          <w:lang w:val="en-US" w:eastAsia="zh-CN"/>
        </w:rPr>
        <w:t>91268</w:t>
      </w:r>
      <w:r>
        <w:rPr>
          <w:rFonts w:hint="eastAsia" w:ascii="宋体" w:hAnsi="宋体" w:eastAsia="宋体" w:cs="宋体"/>
          <w:i w:val="0"/>
          <w:iCs w:val="0"/>
          <w:caps w:val="0"/>
          <w:color w:val="000000"/>
          <w:spacing w:val="0"/>
          <w:sz w:val="28"/>
          <w:szCs w:val="28"/>
          <w:shd w:val="clear" w:fill="FFFFFF"/>
        </w:rPr>
        <w:t>人</w:t>
      </w:r>
      <w:r>
        <w:rPr>
          <w:rFonts w:hint="eastAsia" w:ascii="宋体" w:hAnsi="宋体" w:eastAsia="宋体" w:cs="宋体"/>
          <w:i w:val="0"/>
          <w:iCs w:val="0"/>
          <w:caps w:val="0"/>
          <w:color w:val="000000"/>
          <w:spacing w:val="0"/>
          <w:sz w:val="28"/>
          <w:szCs w:val="28"/>
          <w:shd w:val="clear" w:fill="FFFFFF"/>
          <w:lang w:eastAsia="zh-CN"/>
        </w:rPr>
        <w:t>；</w:t>
      </w:r>
    </w:p>
    <w:p w14:paraId="4EDFD33B">
      <w:pP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lang w:val="en-US" w:eastAsia="zh-CN"/>
        </w:rPr>
        <w:t>二</w:t>
      </w:r>
      <w:r>
        <w:rPr>
          <w:rFonts w:hint="eastAsia" w:ascii="宋体" w:hAnsi="宋体" w:eastAsia="宋体" w:cs="宋体"/>
          <w:i w:val="0"/>
          <w:iCs w:val="0"/>
          <w:caps w:val="0"/>
          <w:color w:val="000000"/>
          <w:spacing w:val="0"/>
          <w:sz w:val="28"/>
          <w:szCs w:val="28"/>
          <w:shd w:val="clear" w:fill="FFFFFF"/>
        </w:rPr>
        <w:t>、基本要求</w:t>
      </w:r>
    </w:p>
    <w:p w14:paraId="3ACAD286">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1.全年累计赔偿限额：不低于RMB  </w:t>
      </w:r>
      <w:r>
        <w:rPr>
          <w:rFonts w:hint="eastAsia" w:ascii="宋体" w:hAnsi="宋体" w:eastAsia="宋体" w:cs="宋体"/>
          <w:i w:val="0"/>
          <w:iCs w:val="0"/>
          <w:caps w:val="0"/>
          <w:color w:val="000000"/>
          <w:spacing w:val="0"/>
          <w:sz w:val="28"/>
          <w:szCs w:val="28"/>
          <w:shd w:val="clear" w:fill="FFFFFF"/>
          <w:lang w:val="en-US" w:eastAsia="zh-CN"/>
        </w:rPr>
        <w:t>4</w:t>
      </w:r>
      <w:r>
        <w:rPr>
          <w:rFonts w:hint="eastAsia" w:ascii="宋体" w:hAnsi="宋体" w:eastAsia="宋体" w:cs="宋体"/>
          <w:i w:val="0"/>
          <w:iCs w:val="0"/>
          <w:caps w:val="0"/>
          <w:color w:val="000000"/>
          <w:spacing w:val="0"/>
          <w:sz w:val="28"/>
          <w:szCs w:val="28"/>
          <w:shd w:val="clear" w:fill="FFFFFF"/>
        </w:rPr>
        <w:t>00万元；</w:t>
      </w:r>
    </w:p>
    <w:p w14:paraId="49E4C7AC">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2.每次事故赔偿限额：不低于RMB  </w:t>
      </w:r>
      <w:r>
        <w:rPr>
          <w:rFonts w:hint="eastAsia" w:ascii="宋体" w:hAnsi="宋体" w:eastAsia="宋体" w:cs="宋体"/>
          <w:i w:val="0"/>
          <w:iCs w:val="0"/>
          <w:caps w:val="0"/>
          <w:color w:val="000000"/>
          <w:spacing w:val="0"/>
          <w:sz w:val="28"/>
          <w:szCs w:val="28"/>
          <w:shd w:val="clear" w:fill="FFFFFF"/>
          <w:lang w:val="en-US" w:eastAsia="zh-CN"/>
        </w:rPr>
        <w:t>8</w:t>
      </w:r>
      <w:r>
        <w:rPr>
          <w:rFonts w:hint="eastAsia" w:ascii="宋体" w:hAnsi="宋体" w:eastAsia="宋体" w:cs="宋体"/>
          <w:i w:val="0"/>
          <w:iCs w:val="0"/>
          <w:caps w:val="0"/>
          <w:color w:val="000000"/>
          <w:spacing w:val="0"/>
          <w:sz w:val="28"/>
          <w:szCs w:val="28"/>
          <w:shd w:val="clear" w:fill="FFFFFF"/>
        </w:rPr>
        <w:t>0万元；</w:t>
      </w:r>
    </w:p>
    <w:p w14:paraId="7F1CA8A6">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3.每次事故每位患者赔偿限额：不低于RMB  60万元；</w:t>
      </w:r>
    </w:p>
    <w:p w14:paraId="4D0A8969">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4.每位患者外请会诊医师费用赔偿限额：不低于RMB  2万元；</w:t>
      </w:r>
    </w:p>
    <w:p w14:paraId="7C3FAD18">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5.仲裁或诉讼费用全年累计赔偿限额为：不低于RMB  </w:t>
      </w:r>
      <w:r>
        <w:rPr>
          <w:rFonts w:hint="eastAsia" w:ascii="宋体" w:hAnsi="宋体" w:eastAsia="宋体" w:cs="宋体"/>
          <w:i w:val="0"/>
          <w:iCs w:val="0"/>
          <w:caps w:val="0"/>
          <w:color w:val="000000"/>
          <w:spacing w:val="0"/>
          <w:sz w:val="28"/>
          <w:szCs w:val="28"/>
          <w:shd w:val="clear" w:fill="FFFFFF"/>
          <w:lang w:val="en-US" w:eastAsia="zh-CN"/>
        </w:rPr>
        <w:t>50</w:t>
      </w:r>
      <w:r>
        <w:rPr>
          <w:rFonts w:hint="eastAsia" w:ascii="宋体" w:hAnsi="宋体" w:eastAsia="宋体" w:cs="宋体"/>
          <w:i w:val="0"/>
          <w:iCs w:val="0"/>
          <w:caps w:val="0"/>
          <w:color w:val="000000"/>
          <w:spacing w:val="0"/>
          <w:sz w:val="28"/>
          <w:szCs w:val="28"/>
          <w:shd w:val="clear" w:fill="FFFFFF"/>
        </w:rPr>
        <w:t>万元；</w:t>
      </w:r>
    </w:p>
    <w:p w14:paraId="41E605FB">
      <w:pPr>
        <w:rPr>
          <w:rFonts w:hint="eastAsia" w:ascii="宋体" w:hAnsi="宋体" w:eastAsia="宋体" w:cs="宋体"/>
          <w:i w:val="0"/>
          <w:iCs w:val="0"/>
          <w:caps w:val="0"/>
          <w:color w:val="000000"/>
          <w:spacing w:val="0"/>
          <w:sz w:val="28"/>
          <w:szCs w:val="28"/>
          <w:shd w:val="clear" w:fill="FFFFFF"/>
        </w:rPr>
      </w:pPr>
      <w:r>
        <w:rPr>
          <w:rFonts w:hint="eastAsia" w:ascii="宋体" w:hAnsi="宋体"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服务期限：合同签订生效之日起一年</w:t>
      </w:r>
      <w:r>
        <w:rPr>
          <w:rFonts w:hint="eastAsia" w:ascii="宋体" w:hAnsi="宋体" w:eastAsia="宋体" w:cs="宋体"/>
          <w:i w:val="0"/>
          <w:iCs w:val="0"/>
          <w:caps w:val="0"/>
          <w:color w:val="000000"/>
          <w:spacing w:val="0"/>
          <w:sz w:val="28"/>
          <w:szCs w:val="28"/>
          <w:shd w:val="clear" w:fill="FFFFFF"/>
        </w:rPr>
        <w:t>。</w:t>
      </w:r>
    </w:p>
    <w:p w14:paraId="7D3345BE">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三、</w:t>
      </w:r>
      <w:r>
        <w:rPr>
          <w:rFonts w:hint="eastAsia" w:ascii="宋体" w:hAnsi="宋体" w:eastAsia="宋体" w:cs="宋体"/>
          <w:i w:val="0"/>
          <w:iCs w:val="0"/>
          <w:caps w:val="0"/>
          <w:color w:val="000000"/>
          <w:spacing w:val="0"/>
          <w:sz w:val="28"/>
          <w:szCs w:val="28"/>
          <w:shd w:val="clear" w:fill="FFFFFF"/>
        </w:rPr>
        <w:t>服务要求</w:t>
      </w:r>
    </w:p>
    <w:p w14:paraId="3107F1A5">
      <w:pPr>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rPr>
        <w:t>1、投保险种：医疗责任保险</w:t>
      </w:r>
    </w:p>
    <w:p w14:paraId="7B156159">
      <w:pPr>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rPr>
        <w:t>2、保险金额：</w:t>
      </w:r>
      <w:r>
        <w:rPr>
          <w:rFonts w:hint="eastAsia" w:ascii="宋体" w:hAnsi="宋体" w:eastAsia="宋体" w:cs="宋体"/>
          <w:i w:val="0"/>
          <w:iCs w:val="0"/>
          <w:caps w:val="0"/>
          <w:color w:val="000000"/>
          <w:spacing w:val="0"/>
          <w:sz w:val="28"/>
          <w:szCs w:val="28"/>
          <w:shd w:val="clear" w:fill="FFFFFF"/>
          <w:lang w:val="en-US" w:eastAsia="zh-CN"/>
        </w:rPr>
        <w:t>400</w:t>
      </w:r>
      <w:r>
        <w:rPr>
          <w:rFonts w:hint="eastAsia" w:ascii="宋体" w:hAnsi="宋体" w:eastAsia="宋体" w:cs="宋体"/>
          <w:i w:val="0"/>
          <w:iCs w:val="0"/>
          <w:caps w:val="0"/>
          <w:color w:val="000000"/>
          <w:spacing w:val="0"/>
          <w:sz w:val="28"/>
          <w:szCs w:val="28"/>
          <w:shd w:val="clear" w:fill="FFFFFF"/>
        </w:rPr>
        <w:t>万元</w:t>
      </w:r>
    </w:p>
    <w:p w14:paraId="5F0BA71F">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保险责任：在保险单中列明的保险期限或追溯期内，被保险人及其医务人员在从事与其资格相符的诊疗活动中，发生下列情形，患者或其近亲属或其代理人在保险期限内首次向被保险人提出人身损害赔偿请求，依照中华人民共和国法律（不包括港澳台地区法律）应由被保险人承担的经济赔偿责任，保险人按照保险合同约定负责赔偿：</w:t>
      </w:r>
    </w:p>
    <w:p w14:paraId="73FF4F2A">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3.1 医疗机构及医务人员在从事病情的检验、诊断、治疗方法的选择，治疗措施的执行，病情发展过程的追踪，以及术后照护等诊疗活动中，发生不符合当时既存的医疗专业知识或技术水准或诊疗技术规范的过错行为，造成患者人身损害的；</w:t>
      </w:r>
    </w:p>
    <w:p w14:paraId="36CB0DBF">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3.2 医务人员有下列情形，造成患者人身损害的：</w:t>
      </w:r>
    </w:p>
    <w:p w14:paraId="051981A9">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3.2.1 医务人员在诊疗活动中未向患者或其近亲属充分说明病情和医疗措施的；</w:t>
      </w:r>
    </w:p>
    <w:p w14:paraId="7D35E8DC">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3.2.2 需要实施手术、特殊检查、特殊治疗，医务人员未及时向患者或其近亲属具体说明医疗风险、替代医疗方案等情况并取得其明确同意的；</w:t>
      </w:r>
    </w:p>
    <w:p w14:paraId="36BB743F">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3.2.3 不宜向患者说明的，未向患者的近亲属说明并取得其明确同意的；</w:t>
      </w:r>
    </w:p>
    <w:p w14:paraId="55611E5E">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3.2.4 因药品（不含一类疫苗）、消毒药品、医疗器械的缺陷，造成患者人身损害的；</w:t>
      </w:r>
    </w:p>
    <w:p w14:paraId="5EA06301">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3.2.5 在医务人员指导下，医学生、试用期医学毕业生进行诊疗活动，造成患者人身损害的。</w:t>
      </w:r>
    </w:p>
    <w:p w14:paraId="6DA787E0">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3.2.6 患者在接受以治疗和功能恢复为目的的医疗美容整形诊疗活动中，遭受人身损害，医疗机构及医务人员有过错的。</w:t>
      </w:r>
    </w:p>
    <w:p w14:paraId="09979AFB">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3.2.7 发生保险合同项下的保险事故后，产生的合理、必要的外请会诊医师费用，保险人依照本保险合同约定负责赔偿。</w:t>
      </w:r>
    </w:p>
    <w:p w14:paraId="5DE8ECF5">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3.2.8 发生可能引起保险合同项下赔偿的情形时，被保险人被提起诉讼或仲裁，事先经保险人书面同意支付的合理的、必要的诉讼费、鉴定费、评估费、公证费、律师费、仲裁费及其相关费用等（以下简称法律费用），保险人依照本保险合同约定负责赔偿。</w:t>
      </w:r>
    </w:p>
    <w:p w14:paraId="210038F2">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4、保单追溯期：</w:t>
      </w:r>
    </w:p>
    <w:p w14:paraId="4F361D35">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首次投保追溯期设定：首次投保的医疗机构无追溯期，为首次合同生效日； 连续投保追溯期设定； </w:t>
      </w:r>
    </w:p>
    <w:p w14:paraId="62E5942E">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连续投保，本保险追溯期从首次投保合同生效之日起算，最长不超过三年。</w:t>
      </w:r>
    </w:p>
    <w:p w14:paraId="0EB4655B">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5、售后服务</w:t>
      </w:r>
    </w:p>
    <w:p w14:paraId="32FB574F">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5.1风险管理服务：中标保险公司应组织专业的项目服务小组加强对承保项目的风险管理，提供项目服务小组成员名单、职务及联系方式，其中专职理赔服务人员不少于2人，协助处理医疗责任纠纷，提供专业法律服务意见，共同提高风险管理水平，尽可能防患于未然，最大限度地减少风险损失。在被保险人允许的范围内，不定期地进行面商沟通，就承保项目运营提出服务意见。</w:t>
      </w:r>
    </w:p>
    <w:p w14:paraId="4FC05E76">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5.2责任认定：</w:t>
      </w:r>
    </w:p>
    <w:p w14:paraId="457C7261">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5.2.1</w:t>
      </w:r>
      <w:r>
        <w:rPr>
          <w:rFonts w:hint="eastAsia" w:ascii="宋体" w:hAnsi="宋体" w:eastAsia="宋体" w:cs="宋体"/>
          <w:i w:val="0"/>
          <w:iCs w:val="0"/>
          <w:caps w:val="0"/>
          <w:color w:val="000000"/>
          <w:spacing w:val="0"/>
          <w:sz w:val="28"/>
          <w:szCs w:val="28"/>
          <w:shd w:val="clear" w:fill="FFFFFF"/>
          <w:lang w:val="en-US" w:eastAsia="zh-CN"/>
        </w:rPr>
        <w:t>发生</w:t>
      </w:r>
      <w:r>
        <w:rPr>
          <w:rFonts w:hint="eastAsia" w:ascii="宋体" w:hAnsi="宋体" w:eastAsia="宋体" w:cs="宋体"/>
          <w:i w:val="0"/>
          <w:iCs w:val="0"/>
          <w:caps w:val="0"/>
          <w:color w:val="000000"/>
          <w:spacing w:val="0"/>
          <w:sz w:val="28"/>
          <w:szCs w:val="28"/>
          <w:shd w:val="clear" w:fill="FFFFFF"/>
        </w:rPr>
        <w:t>医疗损害责任保险事故，在被保险人参与下由医疗纠纷人民调解委员会或人民法院调解（判决）为依据履行赔付义务。医疗纠纷可以通过以下途径进行处理：按自行协商、第三方调解、司法诉讼、行政调解、其他法律法规允许的方式。</w:t>
      </w:r>
    </w:p>
    <w:p w14:paraId="6E241D99">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5.3理赔时限 </w:t>
      </w:r>
    </w:p>
    <w:p w14:paraId="420CBEAA">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5.3.1中标保险公司收到赔偿或者给付保险金的请求及理赔所需相关资料后，对属于保险责任的赔偿金额在2万元以下（含）的，应在与被保险人达成给付金额后5个工作日内履行赔付义务；赔偿金额在2万元以上的，10个工作日内支付。 </w:t>
      </w:r>
    </w:p>
    <w:p w14:paraId="1A4CB6E3">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5.3.2中标保险公司收到赔偿或者给付保险金的请求及理赔所需相关资料后，对不属于保险责任的，应当在5个工作日内向被保险人发出书面回复。被保险人可根据具体情况与中标保险公司协商或申请复议。</w:t>
      </w:r>
    </w:p>
    <w:p w14:paraId="53A0C150">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5.3.3赔案预付 </w:t>
      </w:r>
    </w:p>
    <w:p w14:paraId="3505C528">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中标保险公司自收到赔偿或者给付保险金的请求及理赔所需相关资料之日起10个工作日内，对属于保险责任但赔偿或者给付保险金的数额不能确定的，应当根据已有证明和资料可以确定的最低数额先予支付：最终确定赔偿或者给付保险金的数额后，应当支付相应的差额。中标保险公司未及时履行前款规定义务的，除支付保险金或相应差额外，还应当赔偿被保险人或者受益人因此受到的损失。</w:t>
      </w:r>
    </w:p>
    <w:p w14:paraId="31C1FFCF">
      <w:pPr>
        <w:rPr>
          <w:rFonts w:hint="default" w:ascii="宋体" w:hAnsi="宋体" w:eastAsia="宋体" w:cs="宋体"/>
          <w:snapToGrid/>
          <w:color w:val="auto"/>
          <w:kern w:val="0"/>
          <w:sz w:val="24"/>
          <w:szCs w:val="24"/>
          <w:lang w:val="en-US" w:eastAsia="zh-CN" w:bidi="ar-SA"/>
        </w:rPr>
      </w:pPr>
      <w:r>
        <w:rPr>
          <w:rFonts w:hint="eastAsia" w:ascii="宋体" w:hAnsi="宋体" w:eastAsia="宋体" w:cs="宋体"/>
          <w:i w:val="0"/>
          <w:iCs w:val="0"/>
          <w:caps w:val="0"/>
          <w:color w:val="000000"/>
          <w:spacing w:val="0"/>
          <w:sz w:val="28"/>
          <w:szCs w:val="28"/>
          <w:shd w:val="clear" w:fill="FFFFFF"/>
        </w:rPr>
        <w:t>5.4保密要求：针对我院相关承保、理赔情况予以保密，未经我院同意不得向第三方披露，但法律、法规另有规定、监管部门要求披露的除外。</w:t>
      </w:r>
    </w:p>
    <w:p w14:paraId="5C4F7420">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四、</w:t>
      </w:r>
      <w:r>
        <w:rPr>
          <w:rFonts w:hint="eastAsia" w:ascii="宋体" w:hAnsi="宋体" w:eastAsia="宋体" w:cs="宋体"/>
          <w:i w:val="0"/>
          <w:iCs w:val="0"/>
          <w:caps w:val="0"/>
          <w:color w:val="000000"/>
          <w:spacing w:val="0"/>
          <w:sz w:val="28"/>
          <w:szCs w:val="28"/>
          <w:shd w:val="clear" w:fill="FFFFFF"/>
        </w:rPr>
        <w:t>商务要求：</w:t>
      </w:r>
    </w:p>
    <w:p w14:paraId="6E137EA9">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1、付款方式：签订合同后医院在收到保险公司开具的发票日起</w:t>
      </w:r>
      <w:r>
        <w:rPr>
          <w:rFonts w:hint="eastAsia" w:ascii="宋体" w:hAnsi="宋体" w:eastAsia="宋体" w:cs="宋体"/>
          <w:i w:val="0"/>
          <w:iCs w:val="0"/>
          <w:caps w:val="0"/>
          <w:color w:val="000000"/>
          <w:spacing w:val="0"/>
          <w:sz w:val="28"/>
          <w:szCs w:val="28"/>
          <w:shd w:val="clear" w:fill="FFFFFF"/>
          <w:lang w:val="en-US" w:eastAsia="zh-CN"/>
        </w:rPr>
        <w:t>10个工作日</w:t>
      </w:r>
      <w:r>
        <w:rPr>
          <w:rFonts w:hint="eastAsia" w:ascii="宋体" w:hAnsi="宋体" w:eastAsia="宋体" w:cs="宋体"/>
          <w:i w:val="0"/>
          <w:iCs w:val="0"/>
          <w:caps w:val="0"/>
          <w:color w:val="000000"/>
          <w:spacing w:val="0"/>
          <w:sz w:val="28"/>
          <w:szCs w:val="28"/>
          <w:shd w:val="clear" w:fill="FFFFFF"/>
        </w:rPr>
        <w:t>内一次性付清。</w:t>
      </w:r>
    </w:p>
    <w:p w14:paraId="05664280">
      <w:pPr>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2、服务期限及地点：签订合同后1年，地点为</w:t>
      </w:r>
      <w:r>
        <w:rPr>
          <w:rFonts w:hint="eastAsia" w:ascii="宋体" w:hAnsi="宋体" w:eastAsia="宋体" w:cs="宋体"/>
          <w:i w:val="0"/>
          <w:iCs w:val="0"/>
          <w:caps w:val="0"/>
          <w:color w:val="000000"/>
          <w:spacing w:val="0"/>
          <w:sz w:val="28"/>
          <w:szCs w:val="28"/>
          <w:shd w:val="clear" w:fill="FFFFFF"/>
          <w:lang w:val="en-US" w:eastAsia="zh-CN"/>
        </w:rPr>
        <w:t>乐东黎族自治县第二人民医院</w:t>
      </w:r>
      <w:r>
        <w:rPr>
          <w:rFonts w:hint="eastAsia" w:ascii="宋体" w:hAnsi="宋体" w:eastAsia="宋体" w:cs="宋体"/>
          <w:i w:val="0"/>
          <w:iCs w:val="0"/>
          <w:caps w:val="0"/>
          <w:color w:val="000000"/>
          <w:spacing w:val="0"/>
          <w:sz w:val="28"/>
          <w:szCs w:val="28"/>
          <w:shd w:val="clear" w:fill="FFFFFF"/>
        </w:rPr>
        <w:t>指定地点。</w:t>
      </w:r>
    </w:p>
    <w:p w14:paraId="155981C2">
      <w:pPr>
        <w:rPr>
          <w:rFonts w:hint="default" w:ascii="宋体" w:hAnsi="宋体" w:eastAsia="宋体" w:cs="宋体"/>
          <w:snapToGrid/>
          <w:color w:val="auto"/>
          <w:kern w:val="0"/>
          <w:sz w:val="24"/>
          <w:szCs w:val="24"/>
          <w:lang w:val="en-US" w:eastAsia="zh-CN" w:bidi="ar-SA"/>
        </w:rPr>
      </w:pPr>
      <w:r>
        <w:rPr>
          <w:rFonts w:hint="eastAsia" w:ascii="宋体" w:hAnsi="宋体" w:eastAsia="宋体" w:cs="宋体"/>
          <w:i w:val="0"/>
          <w:iCs w:val="0"/>
          <w:caps w:val="0"/>
          <w:color w:val="000000"/>
          <w:spacing w:val="0"/>
          <w:sz w:val="28"/>
          <w:szCs w:val="28"/>
          <w:shd w:val="clear" w:fill="FFFFFF"/>
        </w:rPr>
        <w:t>3、验收方式：自行验收。</w:t>
      </w:r>
    </w:p>
    <w:p w14:paraId="6B5B37EA">
      <w:r>
        <w:rPr>
          <w:rFonts w:hint="eastAsia"/>
        </w:rPr>
        <w:br w:type="page"/>
      </w:r>
    </w:p>
    <w:p w14:paraId="257CF668">
      <w:pPr>
        <w:pStyle w:val="2"/>
      </w:pPr>
      <w:r>
        <w:rPr>
          <w:rFonts w:hint="eastAsia"/>
        </w:rPr>
        <w:t>第四部分 采购合同</w:t>
      </w:r>
    </w:p>
    <w:p w14:paraId="4605CAEC">
      <w:pPr>
        <w:tabs>
          <w:tab w:val="left" w:pos="720"/>
        </w:tabs>
        <w:spacing w:line="360" w:lineRule="auto"/>
        <w:jc w:val="center"/>
        <w:rPr>
          <w:rFonts w:hint="eastAsia" w:ascii="宋体" w:hAnsi="宋体"/>
          <w:b/>
          <w:bCs/>
          <w:kern w:val="44"/>
          <w:sz w:val="52"/>
          <w:szCs w:val="52"/>
        </w:rPr>
      </w:pPr>
    </w:p>
    <w:p w14:paraId="6746A316">
      <w:pPr>
        <w:spacing w:line="276" w:lineRule="auto"/>
        <w:jc w:val="center"/>
        <w:rPr>
          <w:rFonts w:hint="eastAsia" w:ascii="宋体" w:hAnsi="宋体"/>
          <w:b/>
          <w:sz w:val="24"/>
        </w:rPr>
      </w:pPr>
      <w:r>
        <w:rPr>
          <w:rFonts w:hint="eastAsia" w:ascii="宋体" w:hAnsi="Times New Roman"/>
          <w:b/>
          <w:sz w:val="24"/>
        </w:rPr>
        <w:t>（具体内容以双方在合同中签订的为准）</w:t>
      </w:r>
    </w:p>
    <w:p w14:paraId="1BEB7DA7">
      <w:pPr>
        <w:snapToGrid w:val="0"/>
        <w:spacing w:before="19" w:line="276" w:lineRule="auto"/>
        <w:rPr>
          <w:rFonts w:hint="eastAsia" w:ascii="宋体" w:hAnsi="宋体"/>
          <w:sz w:val="24"/>
        </w:rPr>
      </w:pPr>
    </w:p>
    <w:p w14:paraId="649B4105">
      <w:pPr>
        <w:widowControl w:val="0"/>
        <w:kinsoku/>
        <w:autoSpaceDE/>
        <w:autoSpaceDN/>
        <w:adjustRightInd/>
        <w:snapToGrid/>
        <w:spacing w:line="360" w:lineRule="auto"/>
        <w:jc w:val="center"/>
        <w:textAlignment w:val="auto"/>
        <w:rPr>
          <w:rFonts w:ascii="宋体" w:hAnsi="宋体" w:eastAsia="宋体" w:cs="宋体"/>
          <w:b/>
          <w:snapToGrid/>
          <w:color w:val="auto"/>
          <w:kern w:val="2"/>
          <w:sz w:val="32"/>
          <w:szCs w:val="32"/>
          <w:lang w:val="en-US" w:eastAsia="zh-CN" w:bidi="ar-SA"/>
        </w:rPr>
      </w:pPr>
      <w:r>
        <w:rPr>
          <w:rFonts w:hint="eastAsia" w:ascii="宋体" w:hAnsi="宋体" w:eastAsia="宋体" w:cs="宋体"/>
          <w:b/>
          <w:snapToGrid/>
          <w:color w:val="auto"/>
          <w:kern w:val="2"/>
          <w:sz w:val="32"/>
          <w:szCs w:val="32"/>
          <w:lang w:val="en-US" w:eastAsia="zh-CN" w:bidi="ar-SA"/>
        </w:rPr>
        <w:t>采购合同（仅供参考）</w:t>
      </w:r>
    </w:p>
    <w:p w14:paraId="54934A3B">
      <w:pPr>
        <w:widowControl w:val="0"/>
        <w:kinsoku/>
        <w:autoSpaceDE/>
        <w:autoSpaceDN/>
        <w:adjustRightInd/>
        <w:snapToGrid/>
        <w:spacing w:line="360" w:lineRule="auto"/>
        <w:jc w:val="center"/>
        <w:textAlignment w:val="auto"/>
        <w:rPr>
          <w:rFonts w:ascii="宋体" w:hAnsi="宋体" w:eastAsia="宋体" w:cs="宋体"/>
          <w:b/>
          <w:bCs/>
          <w:snapToGrid/>
          <w:color w:val="auto"/>
          <w:kern w:val="2"/>
          <w:sz w:val="28"/>
          <w:szCs w:val="28"/>
          <w:lang w:val="en-US" w:eastAsia="zh-CN" w:bidi="ar-SA"/>
        </w:rPr>
      </w:pPr>
    </w:p>
    <w:p w14:paraId="7ED82276">
      <w:pPr>
        <w:keepNext/>
        <w:keepLines/>
        <w:widowControl w:val="0"/>
        <w:spacing w:line="413" w:lineRule="auto"/>
        <w:jc w:val="both"/>
        <w:outlineLvl w:val="1"/>
        <w:rPr>
          <w:rFonts w:ascii="Arial" w:hAnsi="Arial" w:eastAsia="黑体" w:cs="Times New Roman"/>
          <w:b/>
          <w:bCs/>
          <w:color w:val="auto"/>
          <w:kern w:val="2"/>
          <w:sz w:val="32"/>
          <w:szCs w:val="32"/>
          <w:lang w:val="en-US" w:eastAsia="zh-CN" w:bidi="ar-SA"/>
        </w:rPr>
      </w:pPr>
    </w:p>
    <w:p w14:paraId="41A5A36F">
      <w:pPr>
        <w:widowControl w:val="0"/>
        <w:kinsoku/>
        <w:autoSpaceDE/>
        <w:autoSpaceDN/>
        <w:adjustRightInd/>
        <w:snapToGrid/>
        <w:spacing w:line="360" w:lineRule="auto"/>
        <w:jc w:val="center"/>
        <w:textAlignment w:val="auto"/>
        <w:rPr>
          <w:rFonts w:ascii="宋体" w:hAnsi="宋体" w:eastAsia="宋体" w:cs="宋体"/>
          <w:b/>
          <w:bCs/>
          <w:snapToGrid/>
          <w:color w:val="auto"/>
          <w:kern w:val="2"/>
          <w:sz w:val="28"/>
          <w:szCs w:val="28"/>
          <w:lang w:val="en-US" w:eastAsia="zh-CN" w:bidi="ar-SA"/>
        </w:rPr>
      </w:pPr>
    </w:p>
    <w:p w14:paraId="66B0EF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宋体"/>
          <w:b/>
          <w:bCs/>
          <w:snapToGrid/>
          <w:color w:val="auto"/>
          <w:kern w:val="2"/>
          <w:sz w:val="28"/>
          <w:szCs w:val="28"/>
          <w:lang w:val="en-US" w:eastAsia="zh-CN" w:bidi="ar-SA"/>
        </w:rPr>
      </w:pPr>
    </w:p>
    <w:p w14:paraId="7FBD0F8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hAnsi="宋体" w:eastAsia="宋体" w:cs="宋体"/>
          <w:b/>
          <w:snapToGrid/>
          <w:color w:val="auto"/>
          <w:kern w:val="2"/>
          <w:sz w:val="28"/>
          <w:szCs w:val="28"/>
          <w:lang w:val="en-US" w:eastAsia="zh-CN" w:bidi="ar-SA"/>
        </w:rPr>
      </w:pPr>
      <w:r>
        <w:rPr>
          <w:rFonts w:hint="eastAsia" w:ascii="宋体" w:hAnsi="宋体" w:eastAsia="宋体" w:cs="宋体"/>
          <w:b/>
          <w:bCs/>
          <w:snapToGrid/>
          <w:color w:val="auto"/>
          <w:kern w:val="2"/>
          <w:sz w:val="28"/>
          <w:szCs w:val="28"/>
          <w:lang w:val="en-US" w:eastAsia="zh-CN" w:bidi="ar-SA"/>
        </w:rPr>
        <w:t xml:space="preserve">      项目编号：</w:t>
      </w:r>
      <w:r>
        <w:rPr>
          <w:rFonts w:hint="eastAsia" w:ascii="宋体" w:hAnsi="宋体" w:eastAsia="宋体" w:cs="宋体"/>
          <w:b/>
          <w:bCs/>
          <w:snapToGrid/>
          <w:color w:val="auto"/>
          <w:kern w:val="2"/>
          <w:sz w:val="28"/>
          <w:szCs w:val="28"/>
          <w:u w:val="single"/>
          <w:lang w:val="en-US" w:eastAsia="zh-CN" w:bidi="ar-SA"/>
        </w:rPr>
        <w:t xml:space="preserve">                 </w:t>
      </w:r>
    </w:p>
    <w:p w14:paraId="764A7B8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b/>
          <w:bCs/>
          <w:snapToGrid/>
          <w:color w:val="auto"/>
          <w:kern w:val="2"/>
          <w:sz w:val="28"/>
          <w:szCs w:val="28"/>
          <w:u w:val="single"/>
          <w:lang w:val="en-US" w:eastAsia="zh-CN" w:bidi="ar-SA"/>
        </w:rPr>
      </w:pPr>
      <w:r>
        <w:rPr>
          <w:rFonts w:hint="eastAsia" w:ascii="宋体" w:hAnsi="宋体" w:eastAsia="宋体" w:cs="宋体"/>
          <w:b/>
          <w:bCs/>
          <w:snapToGrid/>
          <w:color w:val="auto"/>
          <w:kern w:val="2"/>
          <w:sz w:val="28"/>
          <w:szCs w:val="28"/>
          <w:lang w:val="en-US" w:eastAsia="zh-CN" w:bidi="ar-SA"/>
        </w:rPr>
        <w:t xml:space="preserve">      项目名称：</w:t>
      </w:r>
      <w:r>
        <w:rPr>
          <w:rFonts w:hint="eastAsia" w:ascii="宋体" w:hAnsi="宋体" w:eastAsia="宋体" w:cs="宋体"/>
          <w:b/>
          <w:bCs/>
          <w:i/>
          <w:iCs/>
          <w:snapToGrid/>
          <w:color w:val="auto"/>
          <w:kern w:val="2"/>
          <w:sz w:val="28"/>
          <w:szCs w:val="28"/>
          <w:u w:val="single"/>
          <w:lang w:val="en-US" w:eastAsia="zh-CN" w:bidi="ar-SA"/>
        </w:rPr>
        <w:t xml:space="preserve"> </w:t>
      </w:r>
      <w:r>
        <w:rPr>
          <w:rFonts w:hint="eastAsia" w:ascii="宋体" w:hAnsi="宋体" w:cs="宋体"/>
          <w:b/>
          <w:bCs/>
          <w:snapToGrid/>
          <w:color w:val="auto"/>
          <w:kern w:val="2"/>
          <w:sz w:val="28"/>
          <w:szCs w:val="28"/>
          <w:u w:val="single"/>
          <w:lang w:val="en-US" w:eastAsia="zh-CN" w:bidi="ar-SA"/>
        </w:rPr>
        <w:t>2024年医疗机构责任保险服务项目</w:t>
      </w:r>
    </w:p>
    <w:p w14:paraId="3FBA964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b/>
          <w:bCs/>
          <w:snapToGrid/>
          <w:color w:val="auto"/>
          <w:kern w:val="2"/>
          <w:sz w:val="28"/>
          <w:szCs w:val="28"/>
          <w:u w:val="single"/>
          <w:lang w:val="en-US" w:eastAsia="zh-CN" w:bidi="ar-SA"/>
        </w:rPr>
      </w:pPr>
      <w:r>
        <w:rPr>
          <w:rFonts w:hint="eastAsia" w:ascii="宋体" w:hAnsi="宋体" w:eastAsia="宋体" w:cs="宋体"/>
          <w:b/>
          <w:bCs/>
          <w:snapToGrid/>
          <w:color w:val="auto"/>
          <w:kern w:val="2"/>
          <w:sz w:val="28"/>
          <w:szCs w:val="28"/>
          <w:lang w:val="en-US" w:eastAsia="zh-CN" w:bidi="ar-SA"/>
        </w:rPr>
        <w:t xml:space="preserve">      合同编号</w:t>
      </w:r>
      <w:r>
        <w:rPr>
          <w:rFonts w:hint="eastAsia" w:ascii="宋体" w:hAnsi="宋体" w:eastAsia="宋体" w:cs="宋体"/>
          <w:snapToGrid/>
          <w:color w:val="auto"/>
          <w:kern w:val="2"/>
          <w:sz w:val="28"/>
          <w:szCs w:val="28"/>
          <w:lang w:val="en-US" w:eastAsia="zh-CN" w:bidi="ar-SA"/>
        </w:rPr>
        <w:t>：</w:t>
      </w:r>
      <w:r>
        <w:rPr>
          <w:rFonts w:hint="eastAsia" w:ascii="宋体" w:hAnsi="宋体" w:eastAsia="宋体" w:cs="宋体"/>
          <w:b/>
          <w:bCs/>
          <w:snapToGrid/>
          <w:color w:val="auto"/>
          <w:kern w:val="2"/>
          <w:sz w:val="28"/>
          <w:szCs w:val="28"/>
          <w:u w:val="single"/>
          <w:lang w:val="en-US" w:eastAsia="zh-CN" w:bidi="ar-SA"/>
        </w:rPr>
        <w:t xml:space="preserve">                            </w:t>
      </w:r>
    </w:p>
    <w:p w14:paraId="53064644">
      <w:pPr>
        <w:keepNext w:val="0"/>
        <w:keepLines w:val="0"/>
        <w:pageBreakBefore w:val="0"/>
        <w:widowControl w:val="0"/>
        <w:kinsoku/>
        <w:wordWrap/>
        <w:overflowPunct/>
        <w:topLinePunct w:val="0"/>
        <w:autoSpaceDE/>
        <w:autoSpaceDN/>
        <w:bidi w:val="0"/>
        <w:adjustRightInd/>
        <w:snapToGrid/>
        <w:spacing w:line="360" w:lineRule="auto"/>
        <w:ind w:right="57"/>
        <w:jc w:val="center"/>
        <w:textAlignment w:val="auto"/>
        <w:outlineLvl w:val="9"/>
        <w:rPr>
          <w:rFonts w:ascii="宋体" w:hAnsi="宋体" w:eastAsia="宋体" w:cs="宋体"/>
          <w:b/>
          <w:bCs/>
          <w:snapToGrid/>
          <w:color w:val="auto"/>
          <w:kern w:val="2"/>
          <w:sz w:val="28"/>
          <w:szCs w:val="28"/>
          <w:u w:val="single"/>
          <w:lang w:val="en-US" w:eastAsia="zh-CN" w:bidi="ar-SA"/>
        </w:rPr>
      </w:pPr>
    </w:p>
    <w:p w14:paraId="16383BC4">
      <w:pPr>
        <w:keepNext w:val="0"/>
        <w:keepLines w:val="0"/>
        <w:pageBreakBefore w:val="0"/>
        <w:widowControl w:val="0"/>
        <w:kinsoku/>
        <w:wordWrap/>
        <w:overflowPunct/>
        <w:topLinePunct w:val="0"/>
        <w:autoSpaceDE/>
        <w:autoSpaceDN/>
        <w:bidi w:val="0"/>
        <w:adjustRightInd/>
        <w:snapToGrid/>
        <w:spacing w:line="360" w:lineRule="auto"/>
        <w:ind w:right="57"/>
        <w:jc w:val="center"/>
        <w:textAlignment w:val="auto"/>
        <w:outlineLvl w:val="9"/>
        <w:rPr>
          <w:rFonts w:ascii="宋体" w:hAnsi="宋体" w:eastAsia="宋体" w:cs="宋体"/>
          <w:b/>
          <w:bCs/>
          <w:snapToGrid/>
          <w:color w:val="auto"/>
          <w:kern w:val="2"/>
          <w:sz w:val="20"/>
          <w:szCs w:val="20"/>
          <w:u w:val="single"/>
          <w:lang w:val="en-US" w:eastAsia="zh-CN" w:bidi="ar-SA"/>
        </w:rPr>
      </w:pPr>
    </w:p>
    <w:p w14:paraId="20C61FD2">
      <w:pPr>
        <w:keepNext/>
        <w:keepLines/>
        <w:widowControl w:val="0"/>
        <w:spacing w:line="413" w:lineRule="auto"/>
        <w:jc w:val="both"/>
        <w:outlineLvl w:val="1"/>
        <w:rPr>
          <w:rFonts w:ascii="Arial" w:hAnsi="Arial" w:eastAsia="黑体" w:cs="Times New Roman"/>
          <w:b/>
          <w:bCs/>
          <w:color w:val="auto"/>
          <w:kern w:val="2"/>
          <w:sz w:val="32"/>
          <w:szCs w:val="32"/>
          <w:lang w:val="en-US" w:eastAsia="zh-CN" w:bidi="ar-SA"/>
        </w:rPr>
      </w:pPr>
    </w:p>
    <w:p w14:paraId="22122FCB">
      <w:pPr>
        <w:keepNext w:val="0"/>
        <w:keepLines w:val="0"/>
        <w:pageBreakBefore w:val="0"/>
        <w:widowControl w:val="0"/>
        <w:kinsoku/>
        <w:wordWrap/>
        <w:overflowPunct/>
        <w:topLinePunct w:val="0"/>
        <w:autoSpaceDE/>
        <w:autoSpaceDN/>
        <w:bidi w:val="0"/>
        <w:adjustRightInd/>
        <w:snapToGrid/>
        <w:spacing w:line="360" w:lineRule="auto"/>
        <w:ind w:firstLine="1653" w:firstLineChars="588"/>
        <w:jc w:val="both"/>
        <w:textAlignment w:val="auto"/>
        <w:outlineLvl w:val="9"/>
        <w:rPr>
          <w:rFonts w:hint="default" w:ascii="宋体" w:hAnsi="宋体" w:eastAsia="宋体" w:cs="宋体"/>
          <w:b/>
          <w:bCs/>
          <w:snapToGrid/>
          <w:color w:val="auto"/>
          <w:kern w:val="2"/>
          <w:sz w:val="28"/>
          <w:szCs w:val="28"/>
          <w:u w:val="single"/>
          <w:lang w:val="en-US" w:eastAsia="zh-CN" w:bidi="ar-SA"/>
        </w:rPr>
      </w:pPr>
      <w:r>
        <w:rPr>
          <w:rFonts w:hint="eastAsia" w:ascii="宋体" w:hAnsi="宋体" w:eastAsia="宋体" w:cs="宋体"/>
          <w:b/>
          <w:bCs/>
          <w:snapToGrid/>
          <w:color w:val="auto"/>
          <w:kern w:val="2"/>
          <w:sz w:val="28"/>
          <w:szCs w:val="28"/>
          <w:lang w:val="en-US" w:eastAsia="zh-CN" w:bidi="ar-SA"/>
        </w:rPr>
        <w:t>甲方：</w:t>
      </w:r>
      <w:r>
        <w:rPr>
          <w:rFonts w:hint="eastAsia" w:ascii="宋体" w:hAnsi="宋体" w:eastAsia="宋体" w:cs="宋体"/>
          <w:b/>
          <w:snapToGrid/>
          <w:color w:val="auto"/>
          <w:kern w:val="2"/>
          <w:sz w:val="28"/>
          <w:szCs w:val="28"/>
          <w:u w:val="single"/>
          <w:lang w:val="en-US" w:eastAsia="zh-CN" w:bidi="ar-SA"/>
        </w:rPr>
        <w:t xml:space="preserve">                                 </w:t>
      </w:r>
    </w:p>
    <w:p w14:paraId="08A99A07">
      <w:pPr>
        <w:keepNext w:val="0"/>
        <w:keepLines w:val="0"/>
        <w:pageBreakBefore w:val="0"/>
        <w:widowControl w:val="0"/>
        <w:kinsoku/>
        <w:wordWrap/>
        <w:overflowPunct/>
        <w:topLinePunct w:val="0"/>
        <w:autoSpaceDE/>
        <w:autoSpaceDN/>
        <w:bidi w:val="0"/>
        <w:adjustRightInd/>
        <w:snapToGrid/>
        <w:spacing w:line="360" w:lineRule="auto"/>
        <w:ind w:firstLine="1653" w:firstLineChars="588"/>
        <w:jc w:val="both"/>
        <w:textAlignment w:val="auto"/>
        <w:outlineLvl w:val="9"/>
        <w:rPr>
          <w:rFonts w:ascii="宋体" w:hAnsi="宋体" w:eastAsia="宋体" w:cs="宋体"/>
          <w:b/>
          <w:bCs/>
          <w:snapToGrid/>
          <w:color w:val="auto"/>
          <w:kern w:val="2"/>
          <w:sz w:val="28"/>
          <w:szCs w:val="28"/>
          <w:u w:val="single"/>
          <w:lang w:val="en-US" w:eastAsia="zh-CN" w:bidi="ar-SA"/>
        </w:rPr>
      </w:pPr>
      <w:r>
        <w:rPr>
          <w:rFonts w:hint="eastAsia" w:ascii="宋体" w:hAnsi="宋体" w:eastAsia="宋体" w:cs="宋体"/>
          <w:b/>
          <w:bCs/>
          <w:snapToGrid/>
          <w:color w:val="auto"/>
          <w:kern w:val="2"/>
          <w:sz w:val="28"/>
          <w:szCs w:val="28"/>
          <w:lang w:val="en-US" w:eastAsia="zh-CN" w:bidi="ar-SA"/>
        </w:rPr>
        <w:t>乙方：</w:t>
      </w:r>
      <w:r>
        <w:rPr>
          <w:rFonts w:hint="eastAsia" w:ascii="宋体" w:hAnsi="宋体" w:eastAsia="宋体" w:cs="宋体"/>
          <w:b/>
          <w:bCs/>
          <w:snapToGrid/>
          <w:color w:val="auto"/>
          <w:kern w:val="2"/>
          <w:sz w:val="28"/>
          <w:szCs w:val="28"/>
          <w:u w:val="single"/>
          <w:lang w:val="en-US" w:eastAsia="zh-CN" w:bidi="ar-SA"/>
        </w:rPr>
        <w:t xml:space="preserve">            成交供应商            </w:t>
      </w:r>
    </w:p>
    <w:p w14:paraId="655CB57A">
      <w:pPr>
        <w:keepNext w:val="0"/>
        <w:keepLines w:val="0"/>
        <w:pageBreakBefore w:val="0"/>
        <w:widowControl w:val="0"/>
        <w:kinsoku/>
        <w:wordWrap/>
        <w:overflowPunct/>
        <w:topLinePunct w:val="0"/>
        <w:autoSpaceDE/>
        <w:autoSpaceDN/>
        <w:bidi w:val="0"/>
        <w:adjustRightInd/>
        <w:snapToGrid/>
        <w:spacing w:line="360" w:lineRule="auto"/>
        <w:ind w:firstLine="1653" w:firstLineChars="588"/>
        <w:jc w:val="both"/>
        <w:textAlignment w:val="auto"/>
        <w:outlineLvl w:val="9"/>
        <w:rPr>
          <w:rFonts w:hint="eastAsia" w:ascii="宋体" w:hAnsi="宋体" w:eastAsia="宋体" w:cs="宋体"/>
          <w:b/>
          <w:snapToGrid/>
          <w:color w:val="auto"/>
          <w:kern w:val="2"/>
          <w:sz w:val="28"/>
          <w:szCs w:val="28"/>
          <w:lang w:val="en-US" w:eastAsia="zh-CN" w:bidi="ar-SA"/>
        </w:rPr>
      </w:pPr>
    </w:p>
    <w:p w14:paraId="3BC8335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签订日期：</w:t>
      </w:r>
      <w:r>
        <w:rPr>
          <w:rFonts w:hint="eastAsia" w:ascii="宋体" w:hAnsi="宋体" w:eastAsia="宋体" w:cs="宋体"/>
          <w:b/>
          <w:snapToGrid/>
          <w:color w:val="auto"/>
          <w:kern w:val="2"/>
          <w:sz w:val="28"/>
          <w:szCs w:val="28"/>
          <w:u w:val="single"/>
          <w:lang w:val="en-US" w:eastAsia="zh-CN" w:bidi="ar-SA"/>
        </w:rPr>
        <w:t xml:space="preserve">      </w:t>
      </w:r>
      <w:r>
        <w:rPr>
          <w:rFonts w:hint="eastAsia" w:ascii="宋体" w:hAnsi="宋体" w:eastAsia="宋体" w:cs="宋体"/>
          <w:b/>
          <w:snapToGrid/>
          <w:color w:val="auto"/>
          <w:kern w:val="2"/>
          <w:sz w:val="28"/>
          <w:szCs w:val="28"/>
          <w:lang w:val="en-US" w:eastAsia="zh-CN" w:bidi="ar-SA"/>
        </w:rPr>
        <w:t>年</w:t>
      </w:r>
      <w:r>
        <w:rPr>
          <w:rFonts w:hint="eastAsia" w:ascii="宋体" w:hAnsi="宋体" w:eastAsia="宋体" w:cs="宋体"/>
          <w:b/>
          <w:snapToGrid/>
          <w:color w:val="auto"/>
          <w:kern w:val="2"/>
          <w:sz w:val="28"/>
          <w:szCs w:val="28"/>
          <w:u w:val="single"/>
          <w:lang w:val="en-US" w:eastAsia="zh-CN" w:bidi="ar-SA"/>
        </w:rPr>
        <w:t xml:space="preserve">    </w:t>
      </w:r>
      <w:r>
        <w:rPr>
          <w:rFonts w:hint="eastAsia" w:ascii="宋体" w:hAnsi="宋体" w:eastAsia="宋体" w:cs="宋体"/>
          <w:b/>
          <w:snapToGrid/>
          <w:color w:val="auto"/>
          <w:kern w:val="2"/>
          <w:sz w:val="28"/>
          <w:szCs w:val="28"/>
          <w:lang w:val="en-US" w:eastAsia="zh-CN" w:bidi="ar-SA"/>
        </w:rPr>
        <w:t>月</w:t>
      </w:r>
      <w:r>
        <w:rPr>
          <w:rFonts w:hint="eastAsia" w:ascii="宋体" w:hAnsi="宋体" w:eastAsia="宋体" w:cs="宋体"/>
          <w:b/>
          <w:snapToGrid/>
          <w:color w:val="auto"/>
          <w:kern w:val="2"/>
          <w:sz w:val="28"/>
          <w:szCs w:val="28"/>
          <w:u w:val="single"/>
          <w:lang w:val="en-US" w:eastAsia="zh-CN" w:bidi="ar-SA"/>
        </w:rPr>
        <w:t xml:space="preserve">    </w:t>
      </w:r>
      <w:r>
        <w:rPr>
          <w:rFonts w:hint="eastAsia" w:ascii="宋体" w:hAnsi="宋体" w:eastAsia="宋体" w:cs="宋体"/>
          <w:b/>
          <w:snapToGrid/>
          <w:color w:val="auto"/>
          <w:kern w:val="2"/>
          <w:sz w:val="28"/>
          <w:szCs w:val="28"/>
          <w:lang w:val="en-US" w:eastAsia="zh-CN" w:bidi="ar-SA"/>
        </w:rPr>
        <w:t>日</w:t>
      </w:r>
    </w:p>
    <w:p w14:paraId="3C1B2B0C">
      <w:pPr>
        <w:keepNext w:val="0"/>
        <w:keepLines w:val="0"/>
        <w:pageBreakBefore w:val="0"/>
        <w:widowControl w:val="0"/>
        <w:kinsoku/>
        <w:wordWrap/>
        <w:overflowPunct/>
        <w:topLinePunct w:val="0"/>
        <w:autoSpaceDE/>
        <w:autoSpaceDN/>
        <w:bidi w:val="0"/>
        <w:adjustRightInd/>
        <w:snapToGrid w:val="0"/>
        <w:spacing w:line="480" w:lineRule="auto"/>
        <w:jc w:val="both"/>
        <w:textAlignment w:val="auto"/>
        <w:outlineLvl w:val="9"/>
        <w:rPr>
          <w:rFonts w:ascii="宋体" w:hAnsi="宋体" w:eastAsia="宋体" w:cs="宋体"/>
          <w:snapToGrid/>
          <w:color w:val="auto"/>
          <w:kern w:val="2"/>
          <w:sz w:val="24"/>
          <w:szCs w:val="24"/>
          <w:lang w:val="en-US" w:eastAsia="zh-CN" w:bidi="ar-SA"/>
        </w:rPr>
      </w:pPr>
    </w:p>
    <w:p w14:paraId="145D471F">
      <w:pPr>
        <w:keepNext w:val="0"/>
        <w:keepLines w:val="0"/>
        <w:pageBreakBefore w:val="0"/>
        <w:widowControl w:val="0"/>
        <w:kinsoku/>
        <w:wordWrap/>
        <w:overflowPunct/>
        <w:topLinePunct w:val="0"/>
        <w:autoSpaceDE/>
        <w:autoSpaceDN/>
        <w:bidi w:val="0"/>
        <w:adjustRightInd/>
        <w:snapToGrid w:val="0"/>
        <w:spacing w:line="480" w:lineRule="auto"/>
        <w:jc w:val="both"/>
        <w:textAlignment w:val="auto"/>
        <w:outlineLvl w:val="9"/>
        <w:rPr>
          <w:rFonts w:ascii="宋体" w:hAnsi="宋体" w:eastAsia="宋体" w:cs="宋体"/>
          <w:snapToGrid/>
          <w:color w:val="auto"/>
          <w:kern w:val="2"/>
          <w:sz w:val="24"/>
          <w:szCs w:val="24"/>
          <w:lang w:val="en-US" w:eastAsia="zh-CN" w:bidi="ar-SA"/>
        </w:rPr>
      </w:pPr>
    </w:p>
    <w:p w14:paraId="23A44411">
      <w:pPr>
        <w:keepNext/>
        <w:keepLines/>
        <w:widowControl w:val="0"/>
        <w:adjustRightInd w:val="0"/>
        <w:snapToGrid w:val="0"/>
        <w:spacing w:line="360" w:lineRule="auto"/>
        <w:jc w:val="center"/>
        <w:outlineLvl w:val="1"/>
        <w:rPr>
          <w:rFonts w:hint="eastAsia" w:ascii="黑体" w:hAnsi="华文中宋" w:eastAsia="黑体" w:cs="Times New Roman"/>
          <w:b/>
          <w:bCs/>
          <w:color w:val="auto"/>
          <w:kern w:val="2"/>
          <w:sz w:val="28"/>
          <w:szCs w:val="28"/>
          <w:lang w:val="en-US" w:eastAsia="zh-CN" w:bidi="ar-SA"/>
        </w:rPr>
      </w:pPr>
      <w:bookmarkStart w:id="136" w:name="_Toc86762163"/>
      <w:bookmarkStart w:id="137" w:name="_Toc256000049"/>
      <w:bookmarkStart w:id="138" w:name="_Toc72155446"/>
      <w:bookmarkStart w:id="139" w:name="_Toc98860381"/>
      <w:bookmarkStart w:id="140" w:name="_Toc83374896"/>
      <w:bookmarkStart w:id="141" w:name="_Toc90472919"/>
    </w:p>
    <w:p w14:paraId="201F679A">
      <w:pPr>
        <w:keepNext/>
        <w:keepLines/>
        <w:widowControl w:val="0"/>
        <w:adjustRightInd w:val="0"/>
        <w:snapToGrid w:val="0"/>
        <w:spacing w:line="360" w:lineRule="auto"/>
        <w:jc w:val="center"/>
        <w:outlineLvl w:val="1"/>
        <w:rPr>
          <w:rFonts w:hint="eastAsia" w:ascii="黑体" w:hAnsi="华文中宋" w:eastAsia="黑体" w:cs="Times New Roman"/>
          <w:b/>
          <w:bCs/>
          <w:color w:val="auto"/>
          <w:kern w:val="2"/>
          <w:sz w:val="28"/>
          <w:szCs w:val="28"/>
          <w:lang w:val="en-US" w:eastAsia="zh-CN" w:bidi="ar-SA"/>
        </w:rPr>
      </w:pPr>
      <w:r>
        <w:rPr>
          <w:rFonts w:hint="eastAsia" w:ascii="黑体" w:hAnsi="华文中宋" w:eastAsia="黑体" w:cs="Times New Roman"/>
          <w:b/>
          <w:bCs/>
          <w:color w:val="auto"/>
          <w:kern w:val="2"/>
          <w:sz w:val="28"/>
          <w:szCs w:val="28"/>
          <w:lang w:val="en-US" w:eastAsia="zh-CN" w:bidi="ar-SA"/>
        </w:rPr>
        <w:t>第一节 政府采购合同协议书</w:t>
      </w:r>
      <w:bookmarkEnd w:id="136"/>
      <w:bookmarkEnd w:id="137"/>
      <w:bookmarkEnd w:id="138"/>
      <w:bookmarkEnd w:id="139"/>
      <w:bookmarkEnd w:id="140"/>
      <w:bookmarkEnd w:id="141"/>
    </w:p>
    <w:p w14:paraId="1E597E63">
      <w:pPr>
        <w:keepNext/>
        <w:keepLines/>
        <w:widowControl w:val="0"/>
        <w:adjustRightInd w:val="0"/>
        <w:snapToGrid w:val="0"/>
        <w:spacing w:line="360" w:lineRule="auto"/>
        <w:jc w:val="center"/>
        <w:outlineLvl w:val="1"/>
        <w:rPr>
          <w:rFonts w:ascii="黑体" w:hAnsi="华文中宋" w:eastAsia="黑体" w:cs="Times New Roman"/>
          <w:b/>
          <w:bCs/>
          <w:color w:val="auto"/>
          <w:kern w:val="2"/>
          <w:sz w:val="28"/>
          <w:szCs w:val="28"/>
          <w:lang w:val="en-US" w:eastAsia="zh-CN" w:bidi="ar-SA"/>
        </w:rPr>
      </w:pPr>
      <w:r>
        <w:rPr>
          <w:rFonts w:hint="eastAsia" w:ascii="黑体" w:hAnsi="华文中宋" w:eastAsia="黑体" w:cs="Times New Roman"/>
          <w:b/>
          <w:bCs/>
          <w:color w:val="auto"/>
          <w:kern w:val="2"/>
          <w:sz w:val="28"/>
          <w:szCs w:val="28"/>
          <w:lang w:val="en-US" w:eastAsia="zh-CN" w:bidi="ar-SA"/>
        </w:rPr>
        <w:t>（本节内容仅供参考，具体合同内容以双方实际签订的合同为准）</w:t>
      </w:r>
    </w:p>
    <w:p w14:paraId="4C158B16">
      <w:pPr>
        <w:widowControl w:val="0"/>
        <w:adjustRightInd w:val="0"/>
        <w:snapToGrid w:val="0"/>
        <w:spacing w:before="156" w:beforeLines="50" w:line="360" w:lineRule="auto"/>
        <w:ind w:firstLine="6240" w:firstLineChars="2600"/>
        <w:jc w:val="both"/>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采购合同编号：</w:t>
      </w:r>
      <w:r>
        <w:rPr>
          <w:rFonts w:hint="eastAsia" w:ascii="宋体" w:hAnsi="宋体" w:eastAsia="宋体" w:cs="Times New Roman"/>
          <w:color w:val="auto"/>
          <w:kern w:val="2"/>
          <w:sz w:val="24"/>
          <w:szCs w:val="24"/>
          <w:u w:val="single"/>
          <w:lang w:val="en-US" w:eastAsia="zh-CN" w:bidi="ar-SA"/>
        </w:rPr>
        <w:t xml:space="preserve">                 </w:t>
      </w:r>
    </w:p>
    <w:p w14:paraId="5AC9C7F0">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采购人（全称）：</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（甲方）</w:t>
      </w:r>
    </w:p>
    <w:p w14:paraId="69AF5E82">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供应商（全称）：</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（乙方）</w:t>
      </w:r>
    </w:p>
    <w:p w14:paraId="1572DA67">
      <w:pPr>
        <w:widowControl w:val="0"/>
        <w:adjustRightInd w:val="0"/>
        <w:snapToGrid w:val="0"/>
        <w:spacing w:before="156" w:beforeLines="50" w:after="0" w:line="360" w:lineRule="auto"/>
        <w:ind w:left="0" w:leftChars="0"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为了保护甲、乙双方合法权益，根据《中华人民共和国民法典》、《中华人民共和国政府采购法》及其他有关法律、法规、规章，双方签订本合同协议书。</w:t>
      </w:r>
    </w:p>
    <w:p w14:paraId="303CF54C">
      <w:pPr>
        <w:widowControl w:val="0"/>
        <w:adjustRightInd w:val="0"/>
        <w:snapToGrid w:val="0"/>
        <w:spacing w:before="156" w:beforeLines="50" w:line="360" w:lineRule="auto"/>
        <w:ind w:firstLine="482" w:firstLineChars="200"/>
        <w:jc w:val="both"/>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1.项目信息</w:t>
      </w:r>
    </w:p>
    <w:p w14:paraId="1ACBD231">
      <w:pPr>
        <w:widowControl w:val="0"/>
        <w:adjustRightInd w:val="0"/>
        <w:snapToGrid w:val="0"/>
        <w:spacing w:before="156" w:beforeLines="50" w:after="0" w:line="360" w:lineRule="auto"/>
        <w:ind w:left="420" w:left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（1）采购项目名称：</w:t>
      </w:r>
      <w:r>
        <w:rPr>
          <w:rFonts w:hint="eastAsia" w:ascii="宋体" w:hAnsi="宋体" w:eastAsia="宋体" w:cs="Times New Roman"/>
          <w:color w:val="auto"/>
          <w:kern w:val="2"/>
          <w:sz w:val="24"/>
          <w:szCs w:val="24"/>
          <w:u w:val="single"/>
          <w:lang w:val="en-US" w:eastAsia="zh-CN" w:bidi="ar-SA"/>
        </w:rPr>
        <w:t xml:space="preserve">                                          </w:t>
      </w:r>
    </w:p>
    <w:p w14:paraId="30CBBFDB">
      <w:pPr>
        <w:widowControl w:val="0"/>
        <w:adjustRightInd w:val="0"/>
        <w:snapToGrid w:val="0"/>
        <w:spacing w:before="156" w:beforeLines="50" w:after="0" w:line="360" w:lineRule="auto"/>
        <w:ind w:left="420" w:left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（2）采购计划编号：</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 xml:space="preserve"> </w:t>
      </w:r>
    </w:p>
    <w:p w14:paraId="7595A116">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（3）项目内容：</w:t>
      </w:r>
      <w:r>
        <w:rPr>
          <w:rFonts w:hint="eastAsia" w:ascii="宋体" w:hAnsi="宋体" w:eastAsia="宋体" w:cs="Times New Roman"/>
          <w:color w:val="auto"/>
          <w:kern w:val="2"/>
          <w:sz w:val="24"/>
          <w:szCs w:val="24"/>
          <w:u w:val="single"/>
          <w:lang w:val="en-US" w:eastAsia="zh-CN" w:bidi="ar-SA"/>
        </w:rPr>
        <w:t xml:space="preserve">                             </w:t>
      </w:r>
    </w:p>
    <w:p w14:paraId="61A92E05">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（4）项目负责人：</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 xml:space="preserve"> 。</w:t>
      </w:r>
    </w:p>
    <w:p w14:paraId="1DADE8AA">
      <w:pPr>
        <w:widowControl w:val="0"/>
        <w:adjustRightInd w:val="0"/>
        <w:snapToGrid w:val="0"/>
        <w:spacing w:before="156" w:beforeLines="50" w:line="360" w:lineRule="auto"/>
        <w:ind w:firstLine="472" w:firstLineChars="196"/>
        <w:jc w:val="both"/>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2.合同金额</w:t>
      </w:r>
    </w:p>
    <w:p w14:paraId="5EDC3EEC">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（1）合同金额小写：</w:t>
      </w:r>
      <w:r>
        <w:rPr>
          <w:rFonts w:hint="eastAsia" w:ascii="宋体" w:hAnsi="宋体" w:eastAsia="宋体" w:cs="Times New Roman"/>
          <w:color w:val="auto"/>
          <w:kern w:val="2"/>
          <w:sz w:val="24"/>
          <w:szCs w:val="24"/>
          <w:u w:val="single"/>
          <w:lang w:val="en-US" w:eastAsia="zh-CN" w:bidi="ar-SA"/>
        </w:rPr>
        <w:t xml:space="preserve">                      </w:t>
      </w:r>
    </w:p>
    <w:p w14:paraId="1E95094F">
      <w:pPr>
        <w:widowControl w:val="0"/>
        <w:adjustRightInd w:val="0"/>
        <w:snapToGrid w:val="0"/>
        <w:spacing w:before="156" w:beforeLines="50" w:line="360" w:lineRule="auto"/>
        <w:ind w:firstLine="1440" w:firstLineChars="600"/>
        <w:jc w:val="both"/>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大写：</w:t>
      </w:r>
      <w:r>
        <w:rPr>
          <w:rFonts w:hint="eastAsia" w:ascii="宋体" w:hAnsi="宋体" w:eastAsia="宋体" w:cs="Times New Roman"/>
          <w:color w:val="auto"/>
          <w:kern w:val="2"/>
          <w:sz w:val="24"/>
          <w:szCs w:val="24"/>
          <w:u w:val="single"/>
          <w:lang w:val="en-US" w:eastAsia="zh-CN" w:bidi="ar-SA"/>
        </w:rPr>
        <w:t xml:space="preserve">                      </w:t>
      </w:r>
    </w:p>
    <w:p w14:paraId="4D1AEB5C">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（2）具体标的见附件。</w:t>
      </w:r>
    </w:p>
    <w:p w14:paraId="74541B6D">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（3）合同价格形式：</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 xml:space="preserve"> 。</w:t>
      </w:r>
    </w:p>
    <w:p w14:paraId="21B852F7">
      <w:pPr>
        <w:widowControl w:val="0"/>
        <w:adjustRightInd w:val="0"/>
        <w:snapToGrid w:val="0"/>
        <w:spacing w:before="156" w:beforeLines="50" w:line="360" w:lineRule="auto"/>
        <w:ind w:firstLine="482" w:firstLineChars="200"/>
        <w:jc w:val="both"/>
        <w:rPr>
          <w:rFonts w:hint="eastAsia" w:ascii="宋体" w:hAnsi="宋体" w:eastAsia="宋体" w:cs="Times New Roman"/>
          <w:color w:val="auto"/>
          <w:kern w:val="2"/>
          <w:sz w:val="24"/>
          <w:szCs w:val="24"/>
          <w:u w:val="single"/>
          <w:lang w:val="en-US" w:eastAsia="zh-CN" w:bidi="ar-SA"/>
        </w:rPr>
      </w:pPr>
      <w:r>
        <w:rPr>
          <w:rFonts w:hint="eastAsia" w:ascii="宋体" w:hAnsi="宋体" w:eastAsia="宋体" w:cs="Times New Roman"/>
          <w:b/>
          <w:color w:val="auto"/>
          <w:kern w:val="2"/>
          <w:sz w:val="24"/>
          <w:szCs w:val="24"/>
          <w:lang w:val="en-US" w:eastAsia="zh-CN" w:bidi="ar-SA"/>
        </w:rPr>
        <w:t>3.履行合同的时间、地点及方式</w:t>
      </w:r>
      <w:r>
        <w:rPr>
          <w:rFonts w:hint="eastAsia" w:ascii="宋体" w:hAnsi="宋体" w:eastAsia="宋体" w:cs="Times New Roman"/>
          <w:color w:val="auto"/>
          <w:kern w:val="2"/>
          <w:sz w:val="24"/>
          <w:szCs w:val="24"/>
          <w:u w:val="single"/>
          <w:lang w:val="en-US" w:eastAsia="zh-CN" w:bidi="ar-SA"/>
        </w:rPr>
        <w:t xml:space="preserve"> </w:t>
      </w:r>
    </w:p>
    <w:p w14:paraId="3E5AAC16">
      <w:pPr>
        <w:widowControl w:val="0"/>
        <w:adjustRightInd w:val="0"/>
        <w:snapToGrid w:val="0"/>
        <w:spacing w:before="156" w:beforeLines="50" w:line="360" w:lineRule="auto"/>
        <w:ind w:firstLine="720" w:firstLineChars="3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起始日期：</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年</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月</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日，完成日期：</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年</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月</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日。总日历天数：</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天。</w:t>
      </w:r>
    </w:p>
    <w:p w14:paraId="381011A8">
      <w:pPr>
        <w:widowControl w:val="0"/>
        <w:adjustRightInd w:val="0"/>
        <w:snapToGrid w:val="0"/>
        <w:spacing w:before="156" w:beforeLines="50" w:line="360" w:lineRule="auto"/>
        <w:ind w:firstLine="720" w:firstLineChars="300"/>
        <w:jc w:val="both"/>
        <w:rPr>
          <w:rFonts w:hint="eastAsia" w:ascii="宋体" w:hAnsi="宋体" w:eastAsia="宋体" w:cs="Times New Roman"/>
          <w:color w:val="auto"/>
          <w:kern w:val="2"/>
          <w:sz w:val="24"/>
          <w:szCs w:val="24"/>
          <w:u w:val="single"/>
          <w:lang w:val="en-US" w:eastAsia="zh-CN" w:bidi="ar-SA"/>
        </w:rPr>
      </w:pPr>
      <w:r>
        <w:rPr>
          <w:rFonts w:hint="eastAsia" w:ascii="宋体" w:hAnsi="宋体" w:eastAsia="宋体" w:cs="Times New Roman"/>
          <w:color w:val="auto"/>
          <w:kern w:val="2"/>
          <w:sz w:val="24"/>
          <w:szCs w:val="24"/>
          <w:lang w:val="en-US" w:eastAsia="zh-CN" w:bidi="ar-SA"/>
        </w:rPr>
        <w:t>地点</w:t>
      </w:r>
      <w:r>
        <w:rPr>
          <w:rFonts w:hint="eastAsia" w:ascii="宋体" w:hAnsi="宋体" w:eastAsia="宋体" w:cs="Times New Roman"/>
          <w:b/>
          <w:color w:val="auto"/>
          <w:kern w:val="2"/>
          <w:sz w:val="24"/>
          <w:szCs w:val="24"/>
          <w:lang w:val="en-US" w:eastAsia="zh-CN" w:bidi="ar-SA"/>
        </w:rPr>
        <w:t>：</w:t>
      </w:r>
      <w:r>
        <w:rPr>
          <w:rFonts w:hint="eastAsia" w:ascii="宋体" w:hAnsi="宋体" w:eastAsia="宋体" w:cs="Times New Roman"/>
          <w:color w:val="auto"/>
          <w:kern w:val="2"/>
          <w:sz w:val="24"/>
          <w:szCs w:val="24"/>
          <w:u w:val="single"/>
          <w:lang w:val="en-US" w:eastAsia="zh-CN" w:bidi="ar-SA"/>
        </w:rPr>
        <w:t xml:space="preserve">                             </w:t>
      </w:r>
    </w:p>
    <w:p w14:paraId="7A4AECF9">
      <w:pPr>
        <w:widowControl w:val="0"/>
        <w:adjustRightInd w:val="0"/>
        <w:snapToGrid w:val="0"/>
        <w:spacing w:before="156" w:beforeLines="50" w:line="360" w:lineRule="auto"/>
        <w:ind w:firstLine="720" w:firstLineChars="3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方式：</w:t>
      </w:r>
      <w:r>
        <w:rPr>
          <w:rFonts w:hint="eastAsia" w:ascii="宋体" w:hAnsi="宋体" w:eastAsia="宋体" w:cs="Times New Roman"/>
          <w:color w:val="auto"/>
          <w:kern w:val="2"/>
          <w:sz w:val="24"/>
          <w:szCs w:val="24"/>
          <w:u w:val="single"/>
          <w:lang w:val="en-US" w:eastAsia="zh-CN" w:bidi="ar-SA"/>
        </w:rPr>
        <w:t xml:space="preserve">                             </w:t>
      </w:r>
    </w:p>
    <w:p w14:paraId="5F9D7DEF">
      <w:pPr>
        <w:widowControl w:val="0"/>
        <w:adjustRightInd w:val="0"/>
        <w:snapToGrid w:val="0"/>
        <w:spacing w:before="156" w:beforeLines="50" w:line="360" w:lineRule="auto"/>
        <w:ind w:firstLine="482" w:firstLineChars="200"/>
        <w:jc w:val="both"/>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4.付款：</w:t>
      </w:r>
    </w:p>
    <w:p w14:paraId="26AEF565">
      <w:pPr>
        <w:widowControl w:val="0"/>
        <w:adjustRightInd w:val="0"/>
        <w:snapToGrid w:val="0"/>
        <w:spacing w:before="156" w:beforeLines="50" w:line="360" w:lineRule="auto"/>
        <w:ind w:firstLine="720" w:firstLineChars="300"/>
        <w:jc w:val="both"/>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 xml:space="preserve">。  </w:t>
      </w:r>
    </w:p>
    <w:p w14:paraId="08305E3E">
      <w:pPr>
        <w:widowControl w:val="0"/>
        <w:adjustRightInd w:val="0"/>
        <w:snapToGrid w:val="0"/>
        <w:spacing w:before="156" w:beforeLines="50" w:line="360" w:lineRule="auto"/>
        <w:ind w:firstLine="720" w:firstLineChars="3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2、预付款根据采购文件的约定，在合同签订前提交不超过合同金额10%的履约担保。</w:t>
      </w:r>
    </w:p>
    <w:p w14:paraId="0CF43661">
      <w:pPr>
        <w:widowControl w:val="0"/>
        <w:adjustRightInd w:val="0"/>
        <w:snapToGrid w:val="0"/>
        <w:spacing w:before="156" w:beforeLines="50" w:line="360" w:lineRule="auto"/>
        <w:ind w:firstLine="482" w:firstLineChars="200"/>
        <w:jc w:val="both"/>
        <w:rPr>
          <w:rFonts w:hint="eastAsia" w:ascii="宋体" w:hAnsi="宋体" w:eastAsia="宋体" w:cs="Times New Roman"/>
          <w:b/>
          <w:color w:val="auto"/>
          <w:kern w:val="2"/>
          <w:sz w:val="24"/>
          <w:szCs w:val="24"/>
          <w:lang w:val="en-US" w:eastAsia="zh-CN" w:bidi="ar-SA"/>
        </w:rPr>
      </w:pPr>
    </w:p>
    <w:p w14:paraId="52E41BAE">
      <w:pPr>
        <w:widowControl w:val="0"/>
        <w:adjustRightInd w:val="0"/>
        <w:snapToGrid w:val="0"/>
        <w:spacing w:before="156" w:beforeLines="50" w:line="360" w:lineRule="auto"/>
        <w:ind w:firstLine="482" w:firstLineChars="200"/>
        <w:jc w:val="both"/>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5.解决合同纠纷方式</w:t>
      </w:r>
    </w:p>
    <w:p w14:paraId="79BA11B7">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首先通过双方协商解决，协商解决不成，则通过以下途径之一解决纠纷：</w:t>
      </w:r>
    </w:p>
    <w:p w14:paraId="7037E185">
      <w:pPr>
        <w:widowControl w:val="0"/>
        <w:adjustRightInd w:val="0"/>
        <w:snapToGrid w:val="0"/>
        <w:spacing w:before="156" w:beforeLines="50" w:line="360" w:lineRule="auto"/>
        <w:ind w:firstLine="960" w:firstLineChars="4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 提请仲裁       </w:t>
      </w:r>
      <w:r>
        <w:rPr>
          <w:rFonts w:hint="eastAsia" w:ascii="Wingdings 2" w:hAnsi="Wingdings 2" w:eastAsia="宋体" w:cs="Times New Roman"/>
          <w:color w:val="auto"/>
          <w:kern w:val="2"/>
          <w:sz w:val="24"/>
          <w:szCs w:val="24"/>
          <w:lang w:val="en-US" w:eastAsia="zh-CN" w:bidi="ar-SA"/>
        </w:rPr>
        <w:sym w:font="Wingdings" w:char="00FE"/>
      </w:r>
      <w:r>
        <w:rPr>
          <w:rFonts w:hint="eastAsia" w:ascii="宋体" w:hAnsi="宋体" w:eastAsia="宋体" w:cs="Times New Roman"/>
          <w:color w:val="auto"/>
          <w:kern w:val="2"/>
          <w:sz w:val="24"/>
          <w:szCs w:val="24"/>
          <w:lang w:val="en-US" w:eastAsia="zh-CN" w:bidi="ar-SA"/>
        </w:rPr>
        <w:t xml:space="preserve"> 向人民法院提起诉讼</w:t>
      </w:r>
    </w:p>
    <w:p w14:paraId="2B35AFD7">
      <w:pPr>
        <w:widowControl w:val="0"/>
        <w:adjustRightInd w:val="0"/>
        <w:snapToGrid w:val="0"/>
        <w:spacing w:before="156" w:beforeLines="50" w:line="360" w:lineRule="auto"/>
        <w:ind w:firstLine="482" w:firstLineChars="200"/>
        <w:jc w:val="both"/>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6.组成合同的文件</w:t>
      </w:r>
    </w:p>
    <w:p w14:paraId="1CAEC227">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本协议书与下列文件一起构成合同文件，如下述文件之间有任何抵触、矛盾或歧义，应按以下顺序解释：</w:t>
      </w:r>
    </w:p>
    <w:p w14:paraId="3EE78A4C">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（1）在采购或合同履行过程中乙方作出的承诺以及双方协商达成的变更或补充协议</w:t>
      </w:r>
    </w:p>
    <w:p w14:paraId="57A62089">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（2）本合同协议书</w:t>
      </w:r>
    </w:p>
    <w:p w14:paraId="30B2672F">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（3）中标通知书</w:t>
      </w:r>
    </w:p>
    <w:p w14:paraId="5F2C8912">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（4）投标文件</w:t>
      </w:r>
    </w:p>
    <w:p w14:paraId="105522E7">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（5）政府采购合同专用条款</w:t>
      </w:r>
    </w:p>
    <w:p w14:paraId="1F67CB16">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（6）政府采购合同通用条款</w:t>
      </w:r>
    </w:p>
    <w:p w14:paraId="4D752124">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（7）标准、规范及有关技术文件，图纸。</w:t>
      </w:r>
    </w:p>
    <w:p w14:paraId="3D097643">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（8）其他合同文件。</w:t>
      </w:r>
    </w:p>
    <w:p w14:paraId="5A9CABAF">
      <w:pPr>
        <w:widowControl w:val="0"/>
        <w:adjustRightInd w:val="0"/>
        <w:snapToGrid w:val="0"/>
        <w:spacing w:before="156" w:beforeLines="50" w:line="360" w:lineRule="auto"/>
        <w:ind w:firstLine="354" w:firstLineChars="147"/>
        <w:jc w:val="both"/>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7.合同生效</w:t>
      </w:r>
    </w:p>
    <w:p w14:paraId="7327F20A">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本合同自</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生效。</w:t>
      </w:r>
    </w:p>
    <w:p w14:paraId="0F94CC15">
      <w:pPr>
        <w:widowControl w:val="0"/>
        <w:adjustRightInd w:val="0"/>
        <w:snapToGrid w:val="0"/>
        <w:spacing w:before="156" w:beforeLines="50" w:line="360" w:lineRule="auto"/>
        <w:ind w:firstLine="354" w:firstLineChars="147"/>
        <w:jc w:val="both"/>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8.合同份数</w:t>
      </w:r>
    </w:p>
    <w:p w14:paraId="6A073670">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本合同一式</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份，采购人执</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份，供应商执</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份，均具有同等法律效力。</w:t>
      </w:r>
    </w:p>
    <w:p w14:paraId="4FEF9B21">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p>
    <w:p w14:paraId="585271C2">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合同订立时间：</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年</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月</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日</w:t>
      </w:r>
    </w:p>
    <w:p w14:paraId="3C73E749">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合同订立地点：</w:t>
      </w:r>
      <w:r>
        <w:rPr>
          <w:rFonts w:hint="eastAsia" w:ascii="宋体" w:hAnsi="宋体" w:eastAsia="宋体" w:cs="Times New Roman"/>
          <w:color w:val="auto"/>
          <w:kern w:val="2"/>
          <w:sz w:val="24"/>
          <w:szCs w:val="24"/>
          <w:u w:val="single"/>
          <w:lang w:val="en-US" w:eastAsia="zh-CN" w:bidi="ar-SA"/>
        </w:rPr>
        <w:t xml:space="preserve">                           </w:t>
      </w:r>
    </w:p>
    <w:p w14:paraId="4FF6721E">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p>
    <w:p w14:paraId="68D04196">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p>
    <w:p w14:paraId="54608840">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p>
    <w:p w14:paraId="34551E89">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    </w:t>
      </w:r>
    </w:p>
    <w:p w14:paraId="154D0080">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甲      方：（公章）                     乙      方：（公章）</w:t>
      </w:r>
    </w:p>
    <w:p w14:paraId="799334F6">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法定代表人：</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 xml:space="preserve">         法定代表人：</w:t>
      </w:r>
      <w:r>
        <w:rPr>
          <w:rFonts w:hint="eastAsia" w:ascii="宋体" w:hAnsi="宋体" w:eastAsia="宋体" w:cs="Times New Roman"/>
          <w:color w:val="auto"/>
          <w:kern w:val="2"/>
          <w:sz w:val="24"/>
          <w:szCs w:val="24"/>
          <w:u w:val="single"/>
          <w:lang w:val="en-US" w:eastAsia="zh-CN" w:bidi="ar-SA"/>
        </w:rPr>
        <w:t xml:space="preserve">                   </w:t>
      </w:r>
    </w:p>
    <w:p w14:paraId="58AC11D1">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委托代理人：</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 xml:space="preserve">         委托代理人：</w:t>
      </w:r>
      <w:r>
        <w:rPr>
          <w:rFonts w:hint="eastAsia" w:ascii="宋体" w:hAnsi="宋体" w:eastAsia="宋体" w:cs="Times New Roman"/>
          <w:color w:val="auto"/>
          <w:kern w:val="2"/>
          <w:sz w:val="24"/>
          <w:szCs w:val="24"/>
          <w:u w:val="single"/>
          <w:lang w:val="en-US" w:eastAsia="zh-CN" w:bidi="ar-SA"/>
        </w:rPr>
        <w:t xml:space="preserve">                   </w:t>
      </w:r>
    </w:p>
    <w:p w14:paraId="669A1897">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电      话：</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 xml:space="preserve">         电      话：</w:t>
      </w:r>
      <w:r>
        <w:rPr>
          <w:rFonts w:hint="eastAsia" w:ascii="宋体" w:hAnsi="宋体" w:eastAsia="宋体" w:cs="Times New Roman"/>
          <w:color w:val="auto"/>
          <w:kern w:val="2"/>
          <w:sz w:val="24"/>
          <w:szCs w:val="24"/>
          <w:u w:val="single"/>
          <w:lang w:val="en-US" w:eastAsia="zh-CN" w:bidi="ar-SA"/>
        </w:rPr>
        <w:t xml:space="preserve">                   </w:t>
      </w:r>
    </w:p>
    <w:p w14:paraId="1C76CEC6">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传      真：</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 xml:space="preserve">         传      真：</w:t>
      </w:r>
      <w:r>
        <w:rPr>
          <w:rFonts w:hint="eastAsia" w:ascii="宋体" w:hAnsi="宋体" w:eastAsia="宋体" w:cs="Times New Roman"/>
          <w:color w:val="auto"/>
          <w:kern w:val="2"/>
          <w:sz w:val="24"/>
          <w:szCs w:val="24"/>
          <w:u w:val="single"/>
          <w:lang w:val="en-US" w:eastAsia="zh-CN" w:bidi="ar-SA"/>
        </w:rPr>
        <w:t xml:space="preserve">                   </w:t>
      </w:r>
    </w:p>
    <w:p w14:paraId="18D3C702">
      <w:pPr>
        <w:widowControl w:val="0"/>
        <w:adjustRightInd w:val="0"/>
        <w:snapToGrid w:val="0"/>
        <w:spacing w:before="156" w:beforeLines="50"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                                    开 户 银 行：</w:t>
      </w:r>
      <w:r>
        <w:rPr>
          <w:rFonts w:hint="eastAsia" w:ascii="宋体" w:hAnsi="宋体" w:eastAsia="宋体" w:cs="Times New Roman"/>
          <w:color w:val="auto"/>
          <w:kern w:val="2"/>
          <w:sz w:val="24"/>
          <w:szCs w:val="24"/>
          <w:u w:val="single"/>
          <w:lang w:val="en-US" w:eastAsia="zh-CN" w:bidi="ar-SA"/>
        </w:rPr>
        <w:t xml:space="preserve">                   </w:t>
      </w:r>
    </w:p>
    <w:p w14:paraId="30367DFC">
      <w:pPr>
        <w:widowControl w:val="0"/>
        <w:adjustRightInd w:val="0"/>
        <w:snapToGrid w:val="0"/>
        <w:spacing w:before="156" w:beforeLines="50" w:line="360" w:lineRule="auto"/>
        <w:jc w:val="center"/>
        <w:rPr>
          <w:rFonts w:hint="eastAsia" w:ascii="宋体" w:hAnsi="宋体" w:eastAsia="宋体" w:cs="Times New Roman"/>
          <w:b/>
          <w:color w:val="auto"/>
          <w:kern w:val="2"/>
          <w:sz w:val="24"/>
          <w:szCs w:val="24"/>
          <w:lang w:val="en-US" w:eastAsia="zh-CN" w:bidi="ar-SA"/>
        </w:rPr>
      </w:pPr>
      <w:r>
        <w:rPr>
          <w:rFonts w:hint="eastAsia" w:ascii="宋体" w:hAnsi="宋体" w:cs="Times New Roman"/>
          <w:color w:val="auto"/>
          <w:kern w:val="2"/>
          <w:sz w:val="24"/>
          <w:szCs w:val="24"/>
          <w:lang w:val="en-US" w:eastAsia="zh-CN" w:bidi="ar-SA"/>
        </w:rPr>
        <w:t xml:space="preserve">                 </w:t>
      </w:r>
      <w:r>
        <w:rPr>
          <w:rFonts w:hint="eastAsia" w:ascii="宋体" w:hAnsi="宋体" w:eastAsia="宋体" w:cs="Times New Roman"/>
          <w:color w:val="auto"/>
          <w:kern w:val="2"/>
          <w:sz w:val="24"/>
          <w:szCs w:val="24"/>
          <w:lang w:val="en-US" w:eastAsia="zh-CN" w:bidi="ar-SA"/>
        </w:rPr>
        <w:t>帐       号：</w:t>
      </w:r>
    </w:p>
    <w:p w14:paraId="4E2FB9D5">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p>
    <w:p w14:paraId="55F30A82">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采购代理机构声明：本合同标的经海南建云项目管理有限公司依法定程序采购，合同主要条款内容与响应文件的内容一致。</w:t>
      </w:r>
    </w:p>
    <w:p w14:paraId="51B818D7">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采购代理机构：</w:t>
      </w:r>
    </w:p>
    <w:p w14:paraId="5CD96818">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地址：</w:t>
      </w:r>
    </w:p>
    <w:p w14:paraId="06E6FDAF">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法定（授权）代表人：（签章）</w:t>
      </w:r>
    </w:p>
    <w:p w14:paraId="64291770">
      <w:pPr>
        <w:widowControl w:val="0"/>
        <w:adjustRightInd w:val="0"/>
        <w:snapToGrid w:val="0"/>
        <w:spacing w:before="156" w:beforeLines="50" w:line="360" w:lineRule="auto"/>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签订日期：   年   月   日</w:t>
      </w:r>
    </w:p>
    <w:p w14:paraId="02A4AE28">
      <w:pPr>
        <w:widowControl/>
        <w:jc w:val="left"/>
        <w:rPr>
          <w:rFonts w:hint="eastAsia" w:ascii="黑体" w:hAnsi="黑体" w:eastAsia="黑体" w:cs="黑体"/>
          <w:b/>
          <w:color w:val="auto"/>
          <w:sz w:val="44"/>
          <w:szCs w:val="44"/>
        </w:rPr>
      </w:pPr>
    </w:p>
    <w:p w14:paraId="25252842">
      <w:pPr>
        <w:keepNext/>
        <w:keepLines/>
        <w:widowControl w:val="0"/>
        <w:adjustRightInd w:val="0"/>
        <w:snapToGrid w:val="0"/>
        <w:spacing w:line="360" w:lineRule="auto"/>
        <w:jc w:val="center"/>
        <w:outlineLvl w:val="1"/>
        <w:rPr>
          <w:rFonts w:hint="eastAsia" w:ascii="黑体" w:hAnsi="华文中宋" w:eastAsia="黑体" w:cs="Times New Roman"/>
          <w:b/>
          <w:bCs/>
          <w:color w:val="auto"/>
          <w:kern w:val="2"/>
          <w:sz w:val="24"/>
          <w:szCs w:val="24"/>
          <w:lang w:val="en-US" w:eastAsia="zh-CN" w:bidi="ar-SA"/>
        </w:rPr>
      </w:pPr>
      <w:bookmarkStart w:id="142" w:name="_Toc90472920"/>
      <w:bookmarkStart w:id="143" w:name="_Toc256000050"/>
      <w:bookmarkStart w:id="144" w:name="_Toc83374897"/>
      <w:bookmarkStart w:id="145" w:name="_Toc98860382"/>
      <w:bookmarkStart w:id="146" w:name="_Toc86762164"/>
      <w:bookmarkStart w:id="147" w:name="_Toc72155447"/>
    </w:p>
    <w:p w14:paraId="4CE88E85">
      <w:pPr>
        <w:rPr>
          <w:rFonts w:hint="eastAsia" w:ascii="黑体" w:hAnsi="华文中宋" w:eastAsia="黑体" w:cs="Times New Roman"/>
          <w:b/>
          <w:bCs/>
          <w:color w:val="auto"/>
          <w:kern w:val="2"/>
          <w:sz w:val="24"/>
          <w:szCs w:val="24"/>
          <w:lang w:val="en-US" w:eastAsia="zh-CN" w:bidi="ar-SA"/>
        </w:rPr>
      </w:pPr>
      <w:r>
        <w:rPr>
          <w:rFonts w:hint="eastAsia" w:ascii="黑体" w:hAnsi="华文中宋" w:eastAsia="黑体" w:cs="Times New Roman"/>
          <w:b/>
          <w:bCs/>
          <w:color w:val="auto"/>
          <w:kern w:val="2"/>
          <w:sz w:val="24"/>
          <w:szCs w:val="24"/>
          <w:lang w:val="en-US" w:eastAsia="zh-CN" w:bidi="ar-SA"/>
        </w:rPr>
        <w:br w:type="page"/>
      </w:r>
    </w:p>
    <w:p w14:paraId="4EC9C3DA">
      <w:pPr>
        <w:keepNext/>
        <w:keepLines/>
        <w:widowControl w:val="0"/>
        <w:adjustRightInd w:val="0"/>
        <w:snapToGrid w:val="0"/>
        <w:spacing w:line="360" w:lineRule="auto"/>
        <w:jc w:val="center"/>
        <w:outlineLvl w:val="1"/>
        <w:rPr>
          <w:rFonts w:hint="eastAsia" w:ascii="黑体" w:hAnsi="华文中宋" w:eastAsia="黑体" w:cs="Times New Roman"/>
          <w:b/>
          <w:bCs/>
          <w:color w:val="auto"/>
          <w:kern w:val="2"/>
          <w:sz w:val="28"/>
          <w:szCs w:val="28"/>
          <w:lang w:val="en-US" w:eastAsia="zh-CN" w:bidi="ar-SA"/>
        </w:rPr>
      </w:pPr>
      <w:r>
        <w:rPr>
          <w:rFonts w:hint="eastAsia" w:ascii="黑体" w:hAnsi="华文中宋" w:eastAsia="黑体" w:cs="Times New Roman"/>
          <w:b/>
          <w:bCs/>
          <w:color w:val="auto"/>
          <w:kern w:val="2"/>
          <w:sz w:val="28"/>
          <w:szCs w:val="28"/>
          <w:lang w:val="en-US" w:eastAsia="zh-CN" w:bidi="ar-SA"/>
        </w:rPr>
        <w:t>第二节 政府采购合同通用条款</w:t>
      </w:r>
      <w:bookmarkEnd w:id="142"/>
      <w:bookmarkEnd w:id="143"/>
      <w:bookmarkEnd w:id="144"/>
      <w:bookmarkEnd w:id="145"/>
      <w:bookmarkEnd w:id="146"/>
      <w:bookmarkEnd w:id="147"/>
    </w:p>
    <w:p w14:paraId="18C62357">
      <w:pPr>
        <w:widowControl w:val="0"/>
        <w:jc w:val="center"/>
        <w:rPr>
          <w:rFonts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（本节内容与本章第一节有冲突时，以本章第一节的内容为准）</w:t>
      </w:r>
    </w:p>
    <w:p w14:paraId="7DA670C1">
      <w:pPr>
        <w:widowControl w:val="0"/>
        <w:tabs>
          <w:tab w:val="left" w:pos="8820"/>
          <w:tab w:val="left" w:pos="9345"/>
          <w:tab w:val="left" w:pos="9765"/>
        </w:tabs>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1.</w:t>
      </w:r>
      <w:r>
        <w:rPr>
          <w:rFonts w:hint="eastAsia" w:ascii="宋体" w:hAnsi="宋体" w:eastAsia="宋体" w:cs="Times New Roman"/>
          <w:b/>
          <w:bCs/>
          <w:color w:val="auto"/>
          <w:kern w:val="2"/>
          <w:sz w:val="24"/>
          <w:szCs w:val="24"/>
          <w:lang w:val="en-US" w:eastAsia="zh-CN" w:bidi="ar-SA"/>
        </w:rPr>
        <w:t>定义</w:t>
      </w:r>
    </w:p>
    <w:p w14:paraId="4509EC86">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1.1合同当事人</w:t>
      </w:r>
    </w:p>
    <w:p w14:paraId="336650C7">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（1）采购人（以下称甲方）是指使用财政性资金，通过政府采购程序向供应商购买货物、服务的国家机关、事业单位、团体组织。本次采购的甲方名称、地址见</w:t>
      </w:r>
      <w:r>
        <w:rPr>
          <w:rFonts w:hint="eastAsia" w:ascii="宋体" w:hAnsi="宋体" w:eastAsia="宋体" w:cs="Times New Roman"/>
          <w:b/>
          <w:color w:val="auto"/>
          <w:kern w:val="2"/>
          <w:sz w:val="24"/>
          <w:szCs w:val="24"/>
          <w:lang w:val="en-US" w:eastAsia="zh-CN" w:bidi="ar-SA"/>
        </w:rPr>
        <w:t>【政府采购合同专用条款】。</w:t>
      </w:r>
    </w:p>
    <w:p w14:paraId="5526D38B">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（2）供应商（以下称乙方）是指参加政府采购活动而取得中标结果，并向采购人提供货物、服务的法人、其他组织或者自然人。</w:t>
      </w:r>
    </w:p>
    <w:p w14:paraId="1F4C1DBD">
      <w:pPr>
        <w:widowControl w:val="0"/>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1.2本合同下列术语应解释为：</w:t>
      </w:r>
    </w:p>
    <w:p w14:paraId="4EE69DB9">
      <w:pPr>
        <w:widowControl w:val="0"/>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（1）“合同”系指甲乙双方签署的、政府采购合同协议书中载明的甲乙双方所达成的协议，包括所有的附件、附录和上述文件所提到的构成合同的所有文件。</w:t>
      </w:r>
    </w:p>
    <w:p w14:paraId="0E93CC6D">
      <w:pPr>
        <w:widowControl w:val="0"/>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（2）“合同价”系指根据本合同规定乙方在正确地完全履行合同义务后甲方应支付给乙方的价款。</w:t>
      </w:r>
    </w:p>
    <w:p w14:paraId="31CA41D3">
      <w:pPr>
        <w:widowControl w:val="0"/>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（3）“货物”系指乙方根据本合同规定须向甲方提供的各种形态和种类的物品，包括原材料、设备、产品（包括软件）及相关的其备品备件、工具、手册及其它技术资料和材料。</w:t>
      </w:r>
    </w:p>
    <w:p w14:paraId="6E7AD05F">
      <w:pPr>
        <w:widowControl w:val="0"/>
        <w:tabs>
          <w:tab w:val="left" w:pos="570"/>
          <w:tab w:val="left" w:pos="8880"/>
          <w:tab w:val="left" w:pos="9555"/>
        </w:tabs>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服务”系指根据合同规定，乙方应提供的技术、管理和其它服务，包括但不限于：管理和质量保证、运输、保险、检验、现场准备、安装、集成、调试、培训、维修、技术支持等以及合同中规定乙方应承担的其它义务。</w:t>
      </w:r>
    </w:p>
    <w:p w14:paraId="2D0C3151">
      <w:pPr>
        <w:widowControl w:val="0"/>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（5）“合同条款”系指本合同条款。</w:t>
      </w:r>
    </w:p>
    <w:p w14:paraId="0F9397EB">
      <w:pPr>
        <w:widowControl w:val="0"/>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（6）“项目现场”系指本合同项下货物安装、运行的现场，其名称见</w:t>
      </w:r>
      <w:r>
        <w:rPr>
          <w:rFonts w:hint="eastAsia" w:ascii="宋体" w:hAnsi="宋体" w:eastAsia="宋体" w:cs="Times New Roman"/>
          <w:b/>
          <w:color w:val="auto"/>
          <w:kern w:val="2"/>
          <w:sz w:val="24"/>
          <w:szCs w:val="24"/>
          <w:lang w:val="en-US" w:eastAsia="zh-CN" w:bidi="ar-SA"/>
        </w:rPr>
        <w:t>【政府采购合同专用条款】</w:t>
      </w:r>
      <w:r>
        <w:rPr>
          <w:rFonts w:hint="eastAsia" w:ascii="宋体" w:hAnsi="宋体" w:eastAsia="宋体" w:cs="Times New Roman"/>
          <w:color w:val="auto"/>
          <w:kern w:val="2"/>
          <w:sz w:val="24"/>
          <w:szCs w:val="24"/>
          <w:lang w:val="en-US" w:eastAsia="zh-CN" w:bidi="ar-SA"/>
        </w:rPr>
        <w:t>。</w:t>
      </w:r>
    </w:p>
    <w:p w14:paraId="02687C90">
      <w:pPr>
        <w:widowControl w:val="0"/>
        <w:autoSpaceDE w:val="0"/>
        <w:autoSpaceDN w:val="0"/>
        <w:adjustRightInd w:val="0"/>
        <w:snapToGrid w:val="0"/>
        <w:spacing w:before="50" w:line="360" w:lineRule="auto"/>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2.合同的适用范围</w:t>
      </w:r>
    </w:p>
    <w:p w14:paraId="5C2D7EE0">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2.1 本合同条款适用于没有被本合同其他部分的条款所取代的范围。</w:t>
      </w:r>
    </w:p>
    <w:p w14:paraId="6EDA2402">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2.2 合同内容根据招标文件、投标文件而确定。</w:t>
      </w:r>
    </w:p>
    <w:p w14:paraId="5F21117B">
      <w:pPr>
        <w:widowControl w:val="0"/>
        <w:autoSpaceDE w:val="0"/>
        <w:autoSpaceDN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hint="eastAsia" w:ascii="宋体" w:hAnsi="宋体" w:eastAsia="宋体" w:cs="Times New Roman"/>
          <w:b/>
          <w:color w:val="auto"/>
          <w:kern w:val="2"/>
          <w:sz w:val="24"/>
          <w:szCs w:val="24"/>
          <w:lang w:val="en-US" w:eastAsia="zh-CN" w:bidi="ar-SA"/>
        </w:rPr>
        <w:t>合同标的及金额</w:t>
      </w:r>
    </w:p>
    <w:p w14:paraId="7139514B">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3.1 合同标的及金额应与中标结果一致。</w:t>
      </w:r>
    </w:p>
    <w:p w14:paraId="6B1A9673">
      <w:pPr>
        <w:widowControl w:val="0"/>
        <w:autoSpaceDE w:val="0"/>
        <w:autoSpaceDN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4.</w:t>
      </w:r>
      <w:r>
        <w:rPr>
          <w:rFonts w:hint="eastAsia" w:ascii="宋体" w:hAnsi="宋体" w:eastAsia="宋体" w:cs="Times New Roman"/>
          <w:b/>
          <w:color w:val="auto"/>
          <w:kern w:val="2"/>
          <w:sz w:val="24"/>
          <w:szCs w:val="24"/>
          <w:lang w:val="en-US" w:eastAsia="zh-CN" w:bidi="ar-SA"/>
        </w:rPr>
        <w:t>合同价款</w:t>
      </w:r>
    </w:p>
    <w:p w14:paraId="38D8F87C">
      <w:pPr>
        <w:widowControl w:val="0"/>
        <w:adjustRightInd w:val="0"/>
        <w:snapToGrid w:val="0"/>
        <w:spacing w:before="50" w:line="360" w:lineRule="auto"/>
        <w:ind w:firstLine="480" w:firstLineChars="200"/>
        <w:jc w:val="left"/>
        <w:rPr>
          <w:rFonts w:hint="eastAsia" w:ascii="宋体" w:hAnsi="宋体" w:eastAsia="宋体" w:cs="Times New Roman"/>
          <w:b/>
          <w:bCs/>
          <w:i/>
          <w:iCs/>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4.1具体合同价款见本合同第3.1条。乙方为履行本合同而发生的所有费用均应包含在合同价款中，甲方不再另行支付其它任何费用。</w:t>
      </w:r>
    </w:p>
    <w:p w14:paraId="72B152D4">
      <w:pPr>
        <w:widowControl w:val="0"/>
        <w:adjustRightInd w:val="0"/>
        <w:snapToGrid w:val="0"/>
        <w:spacing w:before="50" w:line="360" w:lineRule="auto"/>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5.履行合同的时间、地点和方式</w:t>
      </w:r>
    </w:p>
    <w:p w14:paraId="042C3F19">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5.1 乙方应当在甲方确定的时间、指定的地点履行合同，具体的交货时间、地点和方式见</w:t>
      </w:r>
      <w:r>
        <w:rPr>
          <w:rFonts w:hint="eastAsia" w:ascii="宋体" w:hAnsi="宋体" w:eastAsia="宋体" w:cs="Times New Roman"/>
          <w:b/>
          <w:color w:val="auto"/>
          <w:kern w:val="2"/>
          <w:sz w:val="24"/>
          <w:szCs w:val="24"/>
          <w:lang w:val="en-US" w:eastAsia="zh-CN" w:bidi="ar-SA"/>
        </w:rPr>
        <w:t>【政府采购合同专用条款】</w:t>
      </w:r>
      <w:r>
        <w:rPr>
          <w:rFonts w:hint="eastAsia" w:ascii="宋体" w:hAnsi="宋体" w:eastAsia="宋体" w:cs="Times New Roman"/>
          <w:color w:val="auto"/>
          <w:kern w:val="2"/>
          <w:sz w:val="24"/>
          <w:szCs w:val="24"/>
          <w:lang w:val="en-US" w:eastAsia="zh-CN" w:bidi="ar-SA"/>
        </w:rPr>
        <w:t>。</w:t>
      </w:r>
    </w:p>
    <w:p w14:paraId="2C9E9CB1">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5.2 乙方提供服务的应当在甲方指定的地点完成服务项目。</w:t>
      </w:r>
    </w:p>
    <w:p w14:paraId="1DCC8C7D">
      <w:pPr>
        <w:widowControl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6.</w:t>
      </w:r>
      <w:r>
        <w:rPr>
          <w:rFonts w:hint="eastAsia" w:ascii="宋体" w:hAnsi="宋体" w:eastAsia="宋体" w:cs="Times New Roman"/>
          <w:b/>
          <w:color w:val="auto"/>
          <w:kern w:val="2"/>
          <w:sz w:val="24"/>
          <w:szCs w:val="24"/>
          <w:lang w:val="en-US" w:eastAsia="zh-CN" w:bidi="ar-SA"/>
        </w:rPr>
        <w:t>货物的验收</w:t>
      </w:r>
    </w:p>
    <w:p w14:paraId="007B0FE5">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6.1 甲方在收到乙方交付的货物后应当及时组织验收。</w:t>
      </w:r>
    </w:p>
    <w:p w14:paraId="710B9F8D">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6.2 货物的表面瑕疵，甲方应在验收时当面提出；对质量问题有异议的应在安装调试后十个工作日内提出。</w:t>
      </w:r>
    </w:p>
    <w:p w14:paraId="33BDC546">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6.3 在验收过程中发现数量不足或有质量、技术等问题，乙方应负责按照甲方的要求采取补足、更换或退货等处理措施，并承担由此发生的一切费用和损失。</w:t>
      </w:r>
    </w:p>
    <w:p w14:paraId="62E6373D">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6.4 甲方在乙方按合同规定交货或安装、调试后，无正当理由而拖延接收、验收或拒绝接收、验收的，应承担因此给乙方造成的直接损失。</w:t>
      </w:r>
    </w:p>
    <w:p w14:paraId="3A960540">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6.5 甲方对货物进行检查验收合格后，应当收取发票并在《交货验收单》上签署验收意见及加盖单位印章。</w:t>
      </w:r>
    </w:p>
    <w:p w14:paraId="0BA529C6">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6.6 大型或者复杂的货物采购项目，甲方可以邀请国家认可的质量检测机构参加验收工作，并由其出具验收报告单。</w:t>
      </w:r>
    </w:p>
    <w:p w14:paraId="4A771D34">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6.7 乙方提供的进口产品，乙方应出示中华人民共和国进出口商品检验部门出具的检验证书（招标文件第五章采购需求另有约定的除外）。</w:t>
      </w:r>
    </w:p>
    <w:p w14:paraId="58F3DD2B">
      <w:pPr>
        <w:widowControl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7.货物包装要求</w:t>
      </w:r>
    </w:p>
    <w:p w14:paraId="292990AB">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4DB3CF88">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7.2 每一个包装箱内应附一份详细装箱单、质量证书和保修保养证书。</w:t>
      </w:r>
    </w:p>
    <w:p w14:paraId="613D86CC">
      <w:pPr>
        <w:widowControl w:val="0"/>
        <w:adjustRightInd w:val="0"/>
        <w:snapToGrid w:val="0"/>
        <w:spacing w:before="50" w:line="360" w:lineRule="auto"/>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8.运输和保险</w:t>
      </w:r>
    </w:p>
    <w:p w14:paraId="0809F9D6">
      <w:pPr>
        <w:widowControl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8.1乙方负责办理将货物运抵本合同第5.1条规定的交货地点的一切运输事项，相关费用应包括在合同总价中。</w:t>
      </w:r>
    </w:p>
    <w:p w14:paraId="275992DE">
      <w:pPr>
        <w:widowControl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8.2乙方应向保险公司投保以甲方为受益人的发运合同货物发票金额的110％运输一切险。</w:t>
      </w:r>
    </w:p>
    <w:p w14:paraId="4AA076B0">
      <w:pPr>
        <w:widowControl w:val="0"/>
        <w:adjustRightInd w:val="0"/>
        <w:snapToGrid w:val="0"/>
        <w:spacing w:before="50" w:line="360" w:lineRule="auto"/>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9.质量标准和保证</w:t>
      </w:r>
    </w:p>
    <w:p w14:paraId="79C3857C">
      <w:pPr>
        <w:widowControl w:val="0"/>
        <w:adjustRightInd w:val="0"/>
        <w:snapToGrid w:val="0"/>
        <w:spacing w:before="50" w:line="360" w:lineRule="auto"/>
        <w:ind w:firstLine="480" w:firstLineChars="200"/>
        <w:jc w:val="left"/>
        <w:rPr>
          <w:rFonts w:hint="eastAsia" w:ascii="宋体" w:hAnsi="宋体" w:eastAsia="宋体" w:cs="Courier New"/>
          <w:b/>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9.1 质量标准</w:t>
      </w:r>
    </w:p>
    <w:p w14:paraId="5535BC7C">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（1）本合同下交付的货物应符合招标文件第四章“技术规格、参数与要求”所述的标准。如果没有提及适用标准，则应符合中华人民共和国有关机构发布的最新版本的标准。</w:t>
      </w:r>
    </w:p>
    <w:p w14:paraId="3E9DEB64">
      <w:pPr>
        <w:widowControl w:val="0"/>
        <w:adjustRightInd w:val="0"/>
        <w:snapToGrid w:val="0"/>
        <w:spacing w:before="50" w:line="360" w:lineRule="auto"/>
        <w:ind w:firstLine="480" w:firstLineChars="200"/>
        <w:jc w:val="left"/>
        <w:rPr>
          <w:rFonts w:hint="eastAsia" w:ascii="宋体" w:hAnsi="宋体" w:eastAsia="宋体" w:cs="Courier New"/>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（2）采用中华人民共和国法定计量单位。</w:t>
      </w:r>
    </w:p>
    <w:p w14:paraId="1C945C2F">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（3）乙方所出售的货物还应符合国家有关安全、环保、卫生之规定。</w:t>
      </w:r>
    </w:p>
    <w:p w14:paraId="3EBE94DA">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9.2 保证</w:t>
      </w:r>
    </w:p>
    <w:p w14:paraId="71EBE5B0">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eastAsia="宋体" w:cs="Times New Roman"/>
          <w:b/>
          <w:color w:val="auto"/>
          <w:kern w:val="2"/>
          <w:sz w:val="24"/>
          <w:szCs w:val="24"/>
          <w:lang w:val="en-US" w:eastAsia="zh-CN" w:bidi="ar-SA"/>
        </w:rPr>
        <w:t>【政府采购合同专用条款】</w:t>
      </w:r>
      <w:r>
        <w:rPr>
          <w:rFonts w:hint="eastAsia" w:ascii="宋体" w:hAnsi="宋体" w:eastAsia="宋体" w:cs="Times New Roman"/>
          <w:color w:val="auto"/>
          <w:kern w:val="2"/>
          <w:sz w:val="24"/>
          <w:szCs w:val="24"/>
          <w:lang w:val="en-US" w:eastAsia="zh-CN" w:bidi="ar-SA"/>
        </w:rPr>
        <w:t>规定或乙方承诺（两者以较长的为准）的质量保证期内，本保证保持有效。</w:t>
      </w:r>
    </w:p>
    <w:p w14:paraId="7AEEC05B">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（2）在质量保证期内所发现的缺陷，甲方应尽快以书面形式通知乙方。</w:t>
      </w:r>
    </w:p>
    <w:p w14:paraId="66087AF2">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（3）乙方收到通知后应在</w:t>
      </w:r>
      <w:r>
        <w:rPr>
          <w:rFonts w:hint="eastAsia" w:ascii="宋体" w:hAnsi="宋体" w:eastAsia="宋体" w:cs="Times New Roman"/>
          <w:b/>
          <w:color w:val="auto"/>
          <w:kern w:val="2"/>
          <w:sz w:val="24"/>
          <w:szCs w:val="24"/>
          <w:lang w:val="en-US" w:eastAsia="zh-CN" w:bidi="ar-SA"/>
        </w:rPr>
        <w:t>【政府采购合同专用条款】</w:t>
      </w:r>
      <w:r>
        <w:rPr>
          <w:rFonts w:hint="eastAsia" w:ascii="宋体" w:hAnsi="宋体" w:eastAsia="宋体" w:cs="Times New Roman"/>
          <w:color w:val="auto"/>
          <w:kern w:val="2"/>
          <w:sz w:val="24"/>
          <w:szCs w:val="24"/>
          <w:lang w:val="en-US" w:eastAsia="zh-CN" w:bidi="ar-SA"/>
        </w:rPr>
        <w:t>规定的响应时间内以合理的速度免费维修或更换有缺陷的货物或部件。</w:t>
      </w:r>
    </w:p>
    <w:p w14:paraId="12DEF94C">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（4）在质量保证期内，如果货物的质量或规格与合同不符，或证实货物是有缺陷的，包括潜在的缺陷或使用不符合要求的材料等，甲方可以根据本合同第15.1条规定以书面形式向乙方提出补救措施或索赔。</w:t>
      </w:r>
    </w:p>
    <w:p w14:paraId="6DBD5698">
      <w:pPr>
        <w:widowControl w:val="0"/>
        <w:adjustRightInd w:val="0"/>
        <w:snapToGrid w:val="0"/>
        <w:spacing w:before="50" w:line="360" w:lineRule="auto"/>
        <w:ind w:firstLine="480" w:firstLineChars="200"/>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（5）乙方在约定的时间内未能弥补缺陷，甲方可采取必要的补救措施，但其风险和费用将由乙方承担，甲方根据合同规定对乙方行使的其他权利不受影响。</w:t>
      </w:r>
    </w:p>
    <w:p w14:paraId="6F4E050C">
      <w:pPr>
        <w:widowControl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10.权利瑕疵担保</w:t>
      </w:r>
    </w:p>
    <w:p w14:paraId="16F65DC9">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10.1 乙方保证对其出售的货物享有合法的权利。</w:t>
      </w:r>
    </w:p>
    <w:p w14:paraId="52A4EE09">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10.2 乙方保证在其出售的货物上不存在任何未曾向甲方透露的担保物权，如抵押权、质押权、留置权等。</w:t>
      </w:r>
    </w:p>
    <w:p w14:paraId="26F5CA8B">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10.3 如甲方使用该货物构成上述侵权的，则由乙方承担全部责任。</w:t>
      </w:r>
    </w:p>
    <w:p w14:paraId="68C07108">
      <w:pPr>
        <w:widowControl w:val="0"/>
        <w:autoSpaceDE w:val="0"/>
        <w:autoSpaceDN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11.知识产权保护</w:t>
      </w:r>
    </w:p>
    <w:p w14:paraId="3031A863">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11.1 乙方对其所销售的货物应当享有知识产权或经权利人合法授权，保证没有侵犯任何第三人的知识产权和商业秘密等权利。</w:t>
      </w:r>
    </w:p>
    <w:p w14:paraId="4A8FE7D6">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11.2 甲方使用乙方提供的货物对第三人构成侵权的，应当由乙方承担全部法律责任，给甲方造成损害的，乙方应当承担赔偿责任。</w:t>
      </w:r>
    </w:p>
    <w:p w14:paraId="2B0648E4">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11.3 甲方委托乙方开发的产品，甲方享有知识产权，未经甲方许可不得转让任何第三人。</w:t>
      </w:r>
    </w:p>
    <w:p w14:paraId="3E35273F">
      <w:pPr>
        <w:widowControl w:val="0"/>
        <w:autoSpaceDE w:val="0"/>
        <w:autoSpaceDN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12.保密义务</w:t>
      </w:r>
    </w:p>
    <w:p w14:paraId="4A098845">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12.1 甲、乙双方在采购和履行合同过程中所获悉的对方属于保密的内容，双方均有保密义务。</w:t>
      </w:r>
    </w:p>
    <w:p w14:paraId="3BCC4F48">
      <w:pPr>
        <w:widowControl w:val="0"/>
        <w:autoSpaceDE w:val="0"/>
        <w:autoSpaceDN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13.合同价款支付</w:t>
      </w:r>
    </w:p>
    <w:p w14:paraId="3DDC04E8">
      <w:pPr>
        <w:widowControl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13.1验收合格后，乙方出具正规发票给甲方，凭甲方开具的《政府采购合同验收报告单》办理合同价</w:t>
      </w:r>
      <w:r>
        <w:rPr>
          <w:rFonts w:hint="eastAsia" w:ascii="宋体" w:hAnsi="宋体" w:eastAsia="宋体" w:cs="Times New Roman"/>
          <w:bCs/>
          <w:color w:val="auto"/>
          <w:kern w:val="2"/>
          <w:sz w:val="24"/>
          <w:szCs w:val="24"/>
          <w:lang w:val="en-US" w:eastAsia="zh-CN" w:bidi="ar-SA"/>
        </w:rPr>
        <w:t>款</w:t>
      </w:r>
      <w:r>
        <w:rPr>
          <w:rFonts w:hint="eastAsia" w:ascii="宋体" w:hAnsi="宋体" w:eastAsia="宋体" w:cs="Times New Roman"/>
          <w:color w:val="auto"/>
          <w:kern w:val="2"/>
          <w:sz w:val="24"/>
          <w:szCs w:val="24"/>
          <w:lang w:val="en-US" w:eastAsia="zh-CN" w:bidi="ar-SA"/>
        </w:rPr>
        <w:t>结算手续。</w:t>
      </w:r>
    </w:p>
    <w:p w14:paraId="702E8DD9">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13.2 合同价款构成中应当由财政支付的部分，甲方应当在货物验收合格后的十五个工作日内向国库管理部门申请支付，经国库管理部门审核后直接支付给乙方。</w:t>
      </w:r>
    </w:p>
    <w:p w14:paraId="6A09D09D">
      <w:pPr>
        <w:widowControl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13.3 合同价款构成中应当由甲方自行支付的部分，甲方应当在货物验收合格后十五个工作内支付。</w:t>
      </w:r>
    </w:p>
    <w:p w14:paraId="6984B202">
      <w:pPr>
        <w:widowControl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13.4支付合同价</w:t>
      </w:r>
      <w:r>
        <w:rPr>
          <w:rFonts w:hint="eastAsia" w:ascii="宋体" w:hAnsi="宋体" w:eastAsia="宋体" w:cs="Times New Roman"/>
          <w:bCs/>
          <w:color w:val="auto"/>
          <w:kern w:val="2"/>
          <w:sz w:val="24"/>
          <w:szCs w:val="24"/>
          <w:lang w:val="en-US" w:eastAsia="zh-CN" w:bidi="ar-SA"/>
        </w:rPr>
        <w:t>款</w:t>
      </w:r>
      <w:r>
        <w:rPr>
          <w:rFonts w:hint="eastAsia" w:ascii="宋体" w:hAnsi="宋体" w:eastAsia="宋体" w:cs="Times New Roman"/>
          <w:color w:val="auto"/>
          <w:kern w:val="2"/>
          <w:sz w:val="24"/>
          <w:szCs w:val="24"/>
          <w:lang w:val="en-US" w:eastAsia="zh-CN" w:bidi="ar-SA"/>
        </w:rPr>
        <w:t>时，一律不向乙方以外的任何第三方办理付款手续。开户行和账号以签订的政府采购合同为准，如果乙方要求变更，则乙方必须提供加盖了财务专用章、法定代表人签字的证明文件，报经甲方审查同意。</w:t>
      </w:r>
    </w:p>
    <w:p w14:paraId="3D52B6EB">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13.5 合同价款支付方式</w:t>
      </w:r>
      <w:r>
        <w:rPr>
          <w:rFonts w:hint="eastAsia" w:ascii="宋体" w:hAnsi="宋体" w:eastAsia="宋体" w:cs="Times New Roman"/>
          <w:bCs/>
          <w:color w:val="auto"/>
          <w:kern w:val="2"/>
          <w:sz w:val="24"/>
          <w:szCs w:val="24"/>
          <w:lang w:val="en-US" w:eastAsia="zh-CN" w:bidi="ar-SA"/>
        </w:rPr>
        <w:t>和条件在</w:t>
      </w:r>
      <w:r>
        <w:rPr>
          <w:rFonts w:hint="eastAsia" w:ascii="宋体" w:hAnsi="宋体" w:eastAsia="宋体" w:cs="Times New Roman"/>
          <w:b/>
          <w:color w:val="auto"/>
          <w:kern w:val="2"/>
          <w:sz w:val="24"/>
          <w:szCs w:val="24"/>
          <w:lang w:val="en-US" w:eastAsia="zh-CN" w:bidi="ar-SA"/>
        </w:rPr>
        <w:t>【政府采购合同专用条款】</w:t>
      </w:r>
      <w:r>
        <w:rPr>
          <w:rFonts w:hint="eastAsia" w:ascii="宋体" w:hAnsi="宋体" w:eastAsia="宋体" w:cs="Times New Roman"/>
          <w:color w:val="auto"/>
          <w:kern w:val="2"/>
          <w:sz w:val="24"/>
          <w:szCs w:val="24"/>
          <w:lang w:val="en-US" w:eastAsia="zh-CN" w:bidi="ar-SA"/>
        </w:rPr>
        <w:t>中另有规定。</w:t>
      </w:r>
    </w:p>
    <w:p w14:paraId="4EE12009">
      <w:pPr>
        <w:widowControl w:val="0"/>
        <w:autoSpaceDE w:val="0"/>
        <w:autoSpaceDN w:val="0"/>
        <w:adjustRightInd w:val="0"/>
        <w:snapToGrid w:val="0"/>
        <w:spacing w:before="50" w:line="360" w:lineRule="auto"/>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14.</w:t>
      </w:r>
      <w:r>
        <w:rPr>
          <w:rFonts w:hint="eastAsia" w:ascii="Times New Roman" w:hAnsi="Times New Roman" w:eastAsia="宋体" w:cs="Times New Roman"/>
          <w:b/>
          <w:color w:val="auto"/>
          <w:kern w:val="2"/>
          <w:sz w:val="24"/>
          <w:szCs w:val="24"/>
          <w:lang w:val="en-US" w:eastAsia="zh-CN" w:bidi="ar-SA"/>
        </w:rPr>
        <w:t>乙方应提供的</w:t>
      </w:r>
      <w:r>
        <w:rPr>
          <w:rFonts w:hint="eastAsia" w:ascii="宋体" w:hAnsi="宋体" w:eastAsia="宋体" w:cs="Times New Roman"/>
          <w:b/>
          <w:color w:val="auto"/>
          <w:kern w:val="2"/>
          <w:sz w:val="24"/>
          <w:szCs w:val="24"/>
          <w:lang w:val="en-US" w:eastAsia="zh-CN" w:bidi="ar-SA"/>
        </w:rPr>
        <w:t>服务</w:t>
      </w:r>
    </w:p>
    <w:p w14:paraId="626BF0F5">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14.1 乙方应向甲方提交所提供货物的技术文件，包括相应的中文技术文件，如：产品目录、图纸、操作手册、使用说明、维护手册或服务指南。这些文件应包装好随同货物一起发运。</w:t>
      </w:r>
    </w:p>
    <w:p w14:paraId="3B6F3D31">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14.2 乙方还应提供下列服务：</w:t>
      </w:r>
    </w:p>
    <w:p w14:paraId="5F0D7173">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（1）货物的现场移动、安装、调试、启动监督及技术支持；</w:t>
      </w:r>
    </w:p>
    <w:p w14:paraId="1C7CEABA">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（2）提供货物组装和维修所需的专用工具和辅助材料；</w:t>
      </w:r>
    </w:p>
    <w:p w14:paraId="48BFF494">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（3）在合同各方商定的一定期限内对所有的货物实施运行监督、维修，但前提条件是该服务并不能免除乙方在质量保证期内所承担的义务；</w:t>
      </w:r>
    </w:p>
    <w:p w14:paraId="6056E9C5">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（4）在制造商或项目现场就货物的安装、启动、运营、维护对甲方操作人员进行培训；</w:t>
      </w:r>
    </w:p>
    <w:p w14:paraId="2C23CA40">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w:t>
      </w:r>
      <w:r>
        <w:rPr>
          <w:rFonts w:hint="eastAsia" w:ascii="宋体" w:hAnsi="宋体" w:eastAsia="宋体" w:cs="Times New Roman"/>
          <w:b/>
          <w:color w:val="auto"/>
          <w:kern w:val="2"/>
          <w:sz w:val="24"/>
          <w:szCs w:val="24"/>
          <w:lang w:val="en-US" w:eastAsia="zh-CN" w:bidi="ar-SA"/>
        </w:rPr>
        <w:t>【政府采购合同专用条款】</w:t>
      </w:r>
      <w:r>
        <w:rPr>
          <w:rFonts w:hint="eastAsia" w:ascii="宋体" w:hAnsi="宋体" w:eastAsia="宋体" w:cs="Times New Roman"/>
          <w:color w:val="auto"/>
          <w:kern w:val="2"/>
          <w:sz w:val="24"/>
          <w:szCs w:val="24"/>
          <w:lang w:val="en-US" w:eastAsia="zh-CN" w:bidi="ar-SA"/>
        </w:rPr>
        <w:t>规定由乙方提供的其他服务。</w:t>
      </w:r>
    </w:p>
    <w:p w14:paraId="647E5B20">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14.3 乙方提供的服务的费用应包含在合同价款中，甲方不再另行支付。</w:t>
      </w:r>
    </w:p>
    <w:p w14:paraId="3D020426">
      <w:pPr>
        <w:widowControl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15.违约责任</w:t>
      </w:r>
    </w:p>
    <w:p w14:paraId="55F64406">
      <w:pPr>
        <w:widowControl w:val="0"/>
        <w:adjustRightInd w:val="0"/>
        <w:snapToGrid w:val="0"/>
        <w:spacing w:before="50" w:line="360" w:lineRule="auto"/>
        <w:ind w:firstLine="480" w:firstLineChars="200"/>
        <w:jc w:val="left"/>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15.1质量瑕疵的补救措施和索赔</w:t>
      </w:r>
    </w:p>
    <w:p w14:paraId="43808E2D">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266643CB">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①乙方同意退货并将货款退还给甲方，由此发生的一切费用和损失由乙方承担。</w:t>
      </w:r>
    </w:p>
    <w:p w14:paraId="5D6541FE">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②根据货物的质量状况以及甲方所遭受的损失，经过甲乙双方商定降低货物的价格。</w:t>
      </w:r>
    </w:p>
    <w:p w14:paraId="1D034A07">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7541C917">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19436C86">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15.2 迟延交货的违约责任</w:t>
      </w:r>
    </w:p>
    <w:p w14:paraId="45E34907">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12302D9C">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（2）除本合同</w:t>
      </w:r>
      <w:r>
        <w:rPr>
          <w:rFonts w:hint="eastAsia" w:ascii="宋体" w:hAnsi="宋体" w:eastAsia="宋体" w:cs="Times New Roman"/>
          <w:bCs/>
          <w:color w:val="auto"/>
          <w:kern w:val="2"/>
          <w:sz w:val="24"/>
          <w:szCs w:val="24"/>
          <w:lang w:val="en-US" w:eastAsia="zh-CN" w:bidi="ar-SA"/>
        </w:rPr>
        <w:t>第20条</w:t>
      </w:r>
      <w:r>
        <w:rPr>
          <w:rFonts w:hint="eastAsia" w:ascii="宋体" w:hAnsi="宋体" w:eastAsia="宋体" w:cs="Times New Roman"/>
          <w:color w:val="auto"/>
          <w:kern w:val="2"/>
          <w:sz w:val="24"/>
          <w:szCs w:val="24"/>
          <w:lang w:val="en-US" w:eastAsia="zh-CN" w:bidi="ar-SA"/>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006851EA">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2A60CE7D">
      <w:pPr>
        <w:widowControl w:val="0"/>
        <w:autoSpaceDE w:val="0"/>
        <w:autoSpaceDN w:val="0"/>
        <w:adjustRightInd w:val="0"/>
        <w:snapToGrid w:val="0"/>
        <w:spacing w:before="50" w:line="360" w:lineRule="auto"/>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16.合同的变更</w:t>
      </w:r>
    </w:p>
    <w:p w14:paraId="0DD24CC1">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16.1 在合同履行过程中，甲、乙双方可就合同履行的时间、地点和方式等协商进行变更。协商一致后，双方应签订书面的补充协议。</w:t>
      </w:r>
    </w:p>
    <w:p w14:paraId="19EBEC4C">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16.2 在不改变合同其他条款的前提下，甲方有权在合同价款百分之十的范围内追加与合同标的相同的货物或服务，并就此与乙方签订补充合同，乙方不得拒绝。</w:t>
      </w:r>
    </w:p>
    <w:p w14:paraId="56655EAD">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16.3 除双方签署书面协议，并成为合同不可分割的一部分外，本合同条件不得有任何变更。</w:t>
      </w:r>
    </w:p>
    <w:p w14:paraId="32AE65D0">
      <w:pPr>
        <w:widowControl w:val="0"/>
        <w:autoSpaceDE w:val="0"/>
        <w:autoSpaceDN w:val="0"/>
        <w:adjustRightInd w:val="0"/>
        <w:snapToGrid w:val="0"/>
        <w:spacing w:before="50" w:line="360" w:lineRule="auto"/>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17.合同中止与终止</w:t>
      </w:r>
    </w:p>
    <w:p w14:paraId="396B025D">
      <w:pPr>
        <w:widowControl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17.1合同的中止</w:t>
      </w:r>
    </w:p>
    <w:p w14:paraId="64598F2C">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（1）合同在履行过程中，因采购计划调整，甲方可以要求中止履行，待计划确定后继续履行；</w:t>
      </w:r>
    </w:p>
    <w:p w14:paraId="03141ACB">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（2）合同履行过程中因供应商就采购过程或结果提起投诉的，甲方认为有必要或财政部门责令中止的，应当中止合同的履行。</w:t>
      </w:r>
    </w:p>
    <w:p w14:paraId="072010F1">
      <w:pPr>
        <w:widowControl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17.2合同的终止</w:t>
      </w:r>
    </w:p>
    <w:p w14:paraId="245E90D3">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（1）合同因有效期限届满而终止；</w:t>
      </w:r>
    </w:p>
    <w:p w14:paraId="4339887D">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（2）乙方未能依照本合同约定条件履行合同，已构成根本性违约的，甲方有权终止本合同，并追究乙方的违约责任。</w:t>
      </w:r>
    </w:p>
    <w:p w14:paraId="776B48E2">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（3）如果乙方丧失履约能力或被宣告破产，甲方可在任何时候以书面形式通知乙方终止合同而不给乙方补偿。</w:t>
      </w:r>
    </w:p>
    <w:p w14:paraId="5C833D93">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（4）如果乙方在履行合同过程中有不正当竞争行为，甲方有权解除合同，并按《中华人民共和国反不正当竞争法》规定由有关部门追究其法律责任。</w:t>
      </w:r>
    </w:p>
    <w:p w14:paraId="6978F62D">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（5）如果合同的履行将损害国家利益或社会公共利益，甲方有权终止合同的履行，给乙方造成损失的予以相应补偿。</w:t>
      </w:r>
    </w:p>
    <w:p w14:paraId="39C47915">
      <w:pPr>
        <w:widowControl w:val="0"/>
        <w:autoSpaceDE w:val="0"/>
        <w:autoSpaceDN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18.合同转让和分包</w:t>
      </w:r>
    </w:p>
    <w:p w14:paraId="348A554C">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18.1 乙方不得以任何形式将合同转包。</w:t>
      </w:r>
    </w:p>
    <w:p w14:paraId="2D843FDB">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18.2 乙方未在投标文件中说明，不得将</w:t>
      </w:r>
      <w:r>
        <w:rPr>
          <w:rFonts w:hint="eastAsia" w:ascii="宋体" w:hAnsi="宋体" w:eastAsia="宋体" w:cs="Times New Roman"/>
          <w:bCs/>
          <w:color w:val="auto"/>
          <w:kern w:val="2"/>
          <w:sz w:val="24"/>
          <w:szCs w:val="24"/>
          <w:lang w:val="en-US" w:eastAsia="zh-CN" w:bidi="ar-SA"/>
        </w:rPr>
        <w:t>合同</w:t>
      </w:r>
      <w:r>
        <w:rPr>
          <w:rFonts w:hint="eastAsia" w:ascii="宋体" w:hAnsi="宋体" w:eastAsia="宋体" w:cs="Times New Roman"/>
          <w:color w:val="auto"/>
          <w:kern w:val="2"/>
          <w:sz w:val="24"/>
          <w:szCs w:val="24"/>
          <w:lang w:val="en-US" w:eastAsia="zh-CN" w:bidi="ar-SA"/>
        </w:rPr>
        <w:t>的非主体、非关键性工作分包给他人。</w:t>
      </w:r>
    </w:p>
    <w:p w14:paraId="512E4434">
      <w:pPr>
        <w:widowControl w:val="0"/>
        <w:autoSpaceDE w:val="0"/>
        <w:autoSpaceDN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19.不可抗力</w:t>
      </w:r>
    </w:p>
    <w:p w14:paraId="49DF11BF">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19.1 不可抗力是指合同双方不可预见、不可避免、不可克服的自然灾害和社会事件。</w:t>
      </w:r>
    </w:p>
    <w:p w14:paraId="2ECB158C">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19.2 任何一方对由于不可抗力造成的部分或全部不能履行合同不承担违约责任。但迟延履行后发生不可抗力的，不能免除责任。</w:t>
      </w:r>
    </w:p>
    <w:p w14:paraId="694793FA">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19.3 遇有不可抗力的一方，应在三日内将事件的情况以书面形式通知另一方，并在事件发生后十日内，向另一方提交合同不能履行或部分不能履行或需要延期履行理由的报告。</w:t>
      </w:r>
    </w:p>
    <w:p w14:paraId="2104C7DF">
      <w:pPr>
        <w:widowControl w:val="0"/>
        <w:autoSpaceDE w:val="0"/>
        <w:autoSpaceDN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20.解决争议的方法</w:t>
      </w:r>
    </w:p>
    <w:p w14:paraId="3C67B7DF">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20.1 合同各方应通过友好协商，解决在执行合同过程中所发生的或与合同有关的一切争端。如从协商开始后十日内仍不能解决，可以向财政部门提请调解。</w:t>
      </w:r>
    </w:p>
    <w:p w14:paraId="39F50533">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20.2 调解不成可以按</w:t>
      </w:r>
      <w:r>
        <w:rPr>
          <w:rFonts w:hint="eastAsia" w:ascii="宋体" w:hAnsi="宋体" w:eastAsia="宋体" w:cs="Times New Roman"/>
          <w:b/>
          <w:color w:val="auto"/>
          <w:kern w:val="2"/>
          <w:sz w:val="24"/>
          <w:szCs w:val="24"/>
          <w:lang w:val="en-US" w:eastAsia="zh-CN" w:bidi="ar-SA"/>
        </w:rPr>
        <w:t>【政府采购合同专用条款】</w:t>
      </w:r>
      <w:r>
        <w:rPr>
          <w:rFonts w:hint="eastAsia" w:ascii="宋体" w:hAnsi="宋体" w:eastAsia="宋体" w:cs="Times New Roman"/>
          <w:color w:val="auto"/>
          <w:kern w:val="2"/>
          <w:sz w:val="24"/>
          <w:szCs w:val="24"/>
          <w:lang w:val="en-US" w:eastAsia="zh-CN" w:bidi="ar-SA"/>
        </w:rPr>
        <w:t>中约定中规定下列方式之一提起仲裁或诉讼：</w:t>
      </w:r>
    </w:p>
    <w:p w14:paraId="6F4C5F17">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（1）向甲方所在地仲裁机构提起仲裁；</w:t>
      </w:r>
    </w:p>
    <w:p w14:paraId="43336B91">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（2）向甲方所在地人民法院提起诉讼。</w:t>
      </w:r>
    </w:p>
    <w:p w14:paraId="449C5E2B">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20.3 如仲裁或诉讼事项不影响合同其它部分的履行，则在仲裁或诉讼期间，除正在进行仲裁或诉讼的部分外，合同的其它部分应继续执行。</w:t>
      </w:r>
    </w:p>
    <w:p w14:paraId="72E41D72">
      <w:pPr>
        <w:widowControl w:val="0"/>
        <w:autoSpaceDE w:val="0"/>
        <w:autoSpaceDN w:val="0"/>
        <w:adjustRightInd w:val="0"/>
        <w:snapToGrid w:val="0"/>
        <w:spacing w:before="50" w:line="360" w:lineRule="auto"/>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21.法律适用</w:t>
      </w:r>
    </w:p>
    <w:p w14:paraId="4C1094CE">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21.1 本合同适用中华人民共和国现行法律、行政法规和规章，如合同条款与法律、行政法规和规章不一致的，按照法律、行政法规和规章修改本合同。</w:t>
      </w:r>
    </w:p>
    <w:p w14:paraId="0DB7420D">
      <w:pPr>
        <w:widowControl w:val="0"/>
        <w:autoSpaceDE w:val="0"/>
        <w:autoSpaceDN w:val="0"/>
        <w:adjustRightInd w:val="0"/>
        <w:snapToGrid w:val="0"/>
        <w:spacing w:before="50" w:line="360" w:lineRule="auto"/>
        <w:jc w:val="left"/>
        <w:rPr>
          <w:rFonts w:hint="eastAsia" w:ascii="宋体" w:hAnsi="宋体" w:eastAsia="宋体" w:cs="Times New Roman"/>
          <w:b/>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22.</w:t>
      </w:r>
      <w:r>
        <w:rPr>
          <w:rFonts w:hint="eastAsia" w:ascii="宋体" w:hAnsi="宋体" w:eastAsia="宋体" w:cs="Times New Roman"/>
          <w:b/>
          <w:color w:val="auto"/>
          <w:kern w:val="2"/>
          <w:sz w:val="24"/>
          <w:szCs w:val="24"/>
          <w:lang w:val="en-US" w:eastAsia="zh-CN" w:bidi="ar-SA"/>
        </w:rPr>
        <w:t>通知</w:t>
      </w:r>
    </w:p>
    <w:p w14:paraId="550EE182">
      <w:pPr>
        <w:widowControl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22.1本合同一方给另一方的通知均应采用书面形式，传真或快递送到本合同中规定的对方的地址和办理签收手续，</w:t>
      </w:r>
    </w:p>
    <w:p w14:paraId="41245DA9">
      <w:pPr>
        <w:widowControl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22.2通知以送到之日或通知书中规定的生效之日起生效，两者中以较迟之日为准。</w:t>
      </w:r>
    </w:p>
    <w:p w14:paraId="530ED186">
      <w:pPr>
        <w:widowControl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23. 合同未尽事项</w:t>
      </w:r>
    </w:p>
    <w:p w14:paraId="5E4D664F">
      <w:pPr>
        <w:widowControl w:val="0"/>
        <w:adjustRightInd w:val="0"/>
        <w:snapToGrid w:val="0"/>
        <w:spacing w:before="50" w:line="360" w:lineRule="auto"/>
        <w:ind w:firstLine="480" w:firstLineChars="200"/>
        <w:jc w:val="left"/>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23.1合同未尽事项见</w:t>
      </w:r>
      <w:r>
        <w:rPr>
          <w:rFonts w:hint="eastAsia" w:ascii="宋体" w:hAnsi="宋体" w:eastAsia="宋体" w:cs="Times New Roman"/>
          <w:b/>
          <w:color w:val="auto"/>
          <w:kern w:val="2"/>
          <w:sz w:val="24"/>
          <w:szCs w:val="24"/>
          <w:lang w:val="en-US" w:eastAsia="zh-CN" w:bidi="ar-SA"/>
        </w:rPr>
        <w:t>【政府采购合同专用条款】。</w:t>
      </w:r>
    </w:p>
    <w:p w14:paraId="69761C6C">
      <w:pPr>
        <w:widowControl w:val="0"/>
        <w:adjustRightInd w:val="0"/>
        <w:snapToGrid w:val="0"/>
        <w:spacing w:before="50" w:line="360" w:lineRule="auto"/>
        <w:jc w:val="lef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24.合同生效</w:t>
      </w:r>
    </w:p>
    <w:p w14:paraId="763AC14D">
      <w:pPr>
        <w:widowControl w:val="0"/>
        <w:autoSpaceDE w:val="0"/>
        <w:autoSpaceDN w:val="0"/>
        <w:adjustRightInd w:val="0"/>
        <w:snapToGrid w:val="0"/>
        <w:spacing w:before="50"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24.1 本合同在合同双方签字盖章后生效。</w:t>
      </w:r>
    </w:p>
    <w:p w14:paraId="15730F5B">
      <w:pPr>
        <w:pStyle w:val="46"/>
        <w:ind w:firstLine="480"/>
        <w:rPr>
          <w:color w:val="auto"/>
        </w:rPr>
      </w:pPr>
    </w:p>
    <w:p w14:paraId="0D5680CA">
      <w:pPr>
        <w:pStyle w:val="46"/>
        <w:ind w:firstLine="0" w:firstLineChars="0"/>
        <w:rPr>
          <w:color w:val="auto"/>
        </w:rPr>
      </w:pPr>
    </w:p>
    <w:p w14:paraId="4A9779C2">
      <w:pPr>
        <w:tabs>
          <w:tab w:val="left" w:pos="720"/>
        </w:tabs>
        <w:spacing w:line="360" w:lineRule="auto"/>
        <w:rPr>
          <w:rFonts w:hint="eastAsia" w:ascii="宋体" w:hAnsi="宋体"/>
          <w:color w:val="auto"/>
          <w:sz w:val="24"/>
        </w:rPr>
      </w:pPr>
    </w:p>
    <w:p w14:paraId="3A91F886">
      <w:pPr>
        <w:tabs>
          <w:tab w:val="left" w:pos="720"/>
        </w:tabs>
        <w:spacing w:line="360" w:lineRule="auto"/>
        <w:rPr>
          <w:rFonts w:hint="eastAsia" w:ascii="宋体" w:hAnsi="宋体"/>
          <w:color w:val="auto"/>
          <w:sz w:val="24"/>
        </w:rPr>
        <w:sectPr>
          <w:footerReference r:id="rId8" w:type="default"/>
          <w:pgSz w:w="11906" w:h="16838"/>
          <w:pgMar w:top="1247" w:right="1247" w:bottom="1134" w:left="1644" w:header="851" w:footer="851" w:gutter="0"/>
          <w:pgNumType w:start="1"/>
          <w:cols w:space="720" w:num="1"/>
          <w:docGrid w:type="lines" w:linePitch="312" w:charSpace="0"/>
        </w:sectPr>
      </w:pPr>
    </w:p>
    <w:p w14:paraId="5E6DD44B">
      <w:pPr>
        <w:pStyle w:val="2"/>
        <w:rPr>
          <w:rFonts w:hint="eastAsia" w:ascii="宋体" w:hAnsi="宋体" w:cs="宋体"/>
        </w:rPr>
      </w:pPr>
      <w:r>
        <w:rPr>
          <w:rFonts w:hint="eastAsia"/>
        </w:rPr>
        <w:t xml:space="preserve">第五部分  </w:t>
      </w:r>
      <w:bookmarkEnd w:id="131"/>
      <w:r>
        <w:rPr>
          <w:rFonts w:hint="eastAsia"/>
        </w:rPr>
        <w:t>评审程序、方法和标准</w:t>
      </w:r>
      <w:bookmarkEnd w:id="132"/>
      <w:bookmarkEnd w:id="133"/>
      <w:bookmarkEnd w:id="134"/>
      <w:bookmarkEnd w:id="135"/>
    </w:p>
    <w:p w14:paraId="36763A55">
      <w:pPr>
        <w:pStyle w:val="3"/>
        <w:rPr>
          <w:rFonts w:hint="eastAsia"/>
        </w:rPr>
      </w:pPr>
      <w:bookmarkStart w:id="148" w:name="_Toc5802"/>
      <w:bookmarkStart w:id="149" w:name="_Toc112278798"/>
      <w:bookmarkStart w:id="150" w:name="_Toc3582"/>
      <w:bookmarkStart w:id="151" w:name="_Toc317237623"/>
      <w:bookmarkStart w:id="152" w:name="_Toc112268530"/>
      <w:bookmarkStart w:id="153" w:name="_Toc20393"/>
      <w:bookmarkStart w:id="154" w:name="_Toc13855"/>
      <w:r>
        <w:rPr>
          <w:rFonts w:hint="eastAsia"/>
        </w:rPr>
        <w:t>一、总则</w:t>
      </w:r>
      <w:bookmarkEnd w:id="148"/>
      <w:bookmarkEnd w:id="149"/>
      <w:bookmarkEnd w:id="150"/>
      <w:bookmarkEnd w:id="151"/>
      <w:bookmarkEnd w:id="152"/>
      <w:bookmarkEnd w:id="153"/>
    </w:p>
    <w:p w14:paraId="70A896BC">
      <w:pPr>
        <w:spacing w:line="360" w:lineRule="auto"/>
        <w:ind w:firstLine="480" w:firstLineChars="200"/>
        <w:rPr>
          <w:rFonts w:hint="eastAsia" w:ascii="宋体" w:hAnsi="宋体" w:cs="宋体"/>
          <w:sz w:val="24"/>
        </w:rPr>
      </w:pPr>
      <w:r>
        <w:rPr>
          <w:rFonts w:hint="eastAsia" w:ascii="宋体" w:hAnsi="宋体" w:cs="宋体"/>
          <w:sz w:val="24"/>
        </w:rPr>
        <w:t>1.1 根据《中华人民共和国政府采购法》、《政府采购竞争性磋商采购方式管理暂行办法》和《政府采购货物和服务招标投标管理办法》（财政部第18号令）等法律和规章，结合本采购项目特点制定本评审办法。</w:t>
      </w:r>
    </w:p>
    <w:p w14:paraId="0EAB8B8F">
      <w:pPr>
        <w:spacing w:line="360" w:lineRule="auto"/>
        <w:ind w:firstLine="480" w:firstLineChars="200"/>
        <w:rPr>
          <w:rFonts w:hint="eastAsia" w:ascii="宋体" w:hAnsi="宋体" w:cs="宋体"/>
          <w:sz w:val="24"/>
        </w:rPr>
      </w:pPr>
      <w:r>
        <w:rPr>
          <w:rFonts w:hint="eastAsia" w:ascii="宋体" w:hAnsi="宋体" w:cs="宋体"/>
          <w:sz w:val="24"/>
        </w:rPr>
        <w:t>1.2 磋商工作由采购人、采购代理机构负责组织，评审由采购人、采购代理机构依法组建的磋商小组负责。磋商小组由采购人代表和有关技术、经济等方面的专家组成。</w:t>
      </w:r>
    </w:p>
    <w:p w14:paraId="661597BB">
      <w:pPr>
        <w:spacing w:line="360" w:lineRule="auto"/>
        <w:ind w:firstLine="480" w:firstLineChars="200"/>
        <w:rPr>
          <w:rFonts w:hint="eastAsia" w:ascii="宋体" w:hAnsi="宋体" w:cs="宋体"/>
          <w:sz w:val="24"/>
        </w:rPr>
      </w:pPr>
      <w:r>
        <w:rPr>
          <w:rFonts w:hint="eastAsia" w:ascii="宋体" w:hAnsi="宋体" w:cs="宋体"/>
          <w:sz w:val="24"/>
        </w:rPr>
        <w:t>1.3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56AD645">
      <w:pPr>
        <w:spacing w:line="360" w:lineRule="auto"/>
        <w:ind w:firstLine="480" w:firstLineChars="200"/>
        <w:rPr>
          <w:rFonts w:hint="eastAsia" w:ascii="宋体" w:hAnsi="宋体" w:cs="宋体"/>
          <w:sz w:val="24"/>
        </w:rPr>
      </w:pPr>
      <w:r>
        <w:rPr>
          <w:rFonts w:hint="eastAsia" w:ascii="宋体" w:hAnsi="宋体" w:cs="宋体"/>
          <w:sz w:val="24"/>
        </w:rPr>
        <w:t>1.4 评审过程严格保密。供应商对磋商小组的评审过程或合同授予决定施加影响的任何行为都可能导致其响应文件被拒绝。</w:t>
      </w:r>
    </w:p>
    <w:p w14:paraId="4EAB0023">
      <w:pPr>
        <w:spacing w:line="360" w:lineRule="auto"/>
        <w:ind w:firstLine="480" w:firstLineChars="200"/>
        <w:rPr>
          <w:rFonts w:hint="eastAsia" w:ascii="宋体" w:hAnsi="宋体" w:cs="宋体"/>
          <w:sz w:val="24"/>
        </w:rPr>
      </w:pPr>
      <w:r>
        <w:rPr>
          <w:rFonts w:hint="eastAsia" w:ascii="宋体" w:hAnsi="宋体" w:cs="宋体"/>
          <w:sz w:val="24"/>
        </w:rPr>
        <w:t>1.5 磋商小组发现磋商文件表述不明确或需要说明的事项，可提请采购人、采购代理机构书面解释说明。</w:t>
      </w:r>
    </w:p>
    <w:p w14:paraId="11312E36">
      <w:pPr>
        <w:spacing w:line="360" w:lineRule="auto"/>
        <w:ind w:firstLine="480" w:firstLineChars="200"/>
        <w:rPr>
          <w:rFonts w:hint="eastAsia" w:ascii="宋体" w:hAnsi="宋体" w:cs="宋体"/>
          <w:sz w:val="24"/>
        </w:rPr>
      </w:pPr>
      <w:r>
        <w:rPr>
          <w:rFonts w:hint="eastAsia" w:ascii="宋体" w:hAnsi="宋体" w:cs="宋体"/>
          <w:sz w:val="24"/>
        </w:rPr>
        <w:t>1.6 磋商小组对响应文件的判定，只依据响应文件和磋商过程中认定的文件，不依据磋商后的任何外来证明。</w:t>
      </w:r>
    </w:p>
    <w:p w14:paraId="26C68BE2">
      <w:pPr>
        <w:pStyle w:val="3"/>
        <w:jc w:val="left"/>
        <w:rPr>
          <w:rStyle w:val="28"/>
          <w:rFonts w:hint="eastAsia"/>
          <w:b/>
          <w:bCs/>
        </w:rPr>
      </w:pPr>
      <w:bookmarkStart w:id="155" w:name="_Toc24260"/>
      <w:bookmarkStart w:id="156" w:name="_Toc112268531"/>
      <w:bookmarkStart w:id="157" w:name="_Toc112278799"/>
      <w:bookmarkStart w:id="158" w:name="_Toc13029"/>
      <w:bookmarkStart w:id="159" w:name="_Toc20027"/>
      <w:r>
        <w:rPr>
          <w:rStyle w:val="28"/>
          <w:rFonts w:hint="eastAsia"/>
          <w:b/>
          <w:bCs/>
        </w:rPr>
        <w:t>二、评审程序、评审方法和评审标准</w:t>
      </w:r>
      <w:bookmarkEnd w:id="155"/>
      <w:bookmarkEnd w:id="156"/>
      <w:bookmarkEnd w:id="157"/>
      <w:bookmarkEnd w:id="158"/>
      <w:bookmarkEnd w:id="159"/>
    </w:p>
    <w:p w14:paraId="29F134C5">
      <w:pPr>
        <w:spacing w:line="360" w:lineRule="auto"/>
        <w:ind w:firstLine="482" w:firstLineChars="200"/>
        <w:rPr>
          <w:rFonts w:hint="eastAsia" w:ascii="宋体" w:hAnsi="宋体" w:cs="宋体"/>
          <w:b/>
          <w:sz w:val="24"/>
        </w:rPr>
      </w:pPr>
      <w:r>
        <w:rPr>
          <w:rFonts w:hint="eastAsia" w:ascii="宋体" w:hAnsi="宋体" w:cs="宋体"/>
          <w:b/>
          <w:sz w:val="24"/>
        </w:rPr>
        <w:t>1、响应文件的有效性、完整性和响应程度审查（见附件1）</w:t>
      </w:r>
    </w:p>
    <w:p w14:paraId="258230FA">
      <w:pPr>
        <w:spacing w:line="360" w:lineRule="auto"/>
        <w:ind w:firstLine="480" w:firstLineChars="200"/>
        <w:rPr>
          <w:rFonts w:hint="eastAsia" w:ascii="宋体" w:hAnsi="宋体" w:cs="宋体"/>
          <w:bCs/>
          <w:sz w:val="24"/>
        </w:rPr>
      </w:pPr>
      <w:r>
        <w:rPr>
          <w:rFonts w:hint="eastAsia" w:ascii="宋体" w:hAnsi="宋体" w:cs="宋体"/>
          <w:bCs/>
          <w:sz w:val="24"/>
        </w:rPr>
        <w:t>1.1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由法定代表人或其委托代理人签字或者加盖公章。由委托代理人签字的，应当附法定代表人授权书。供应商为自然人的，应当由本人签字并附身份证明。</w:t>
      </w:r>
    </w:p>
    <w:p w14:paraId="0E9D9E45">
      <w:pPr>
        <w:spacing w:line="360" w:lineRule="auto"/>
        <w:ind w:firstLine="482" w:firstLineChars="200"/>
        <w:rPr>
          <w:rFonts w:hint="eastAsia" w:ascii="宋体" w:hAnsi="宋体" w:cs="宋体"/>
          <w:b/>
          <w:sz w:val="24"/>
        </w:rPr>
      </w:pPr>
      <w:r>
        <w:rPr>
          <w:rFonts w:hint="eastAsia" w:ascii="宋体" w:hAnsi="宋体" w:cs="宋体"/>
          <w:b/>
          <w:sz w:val="24"/>
        </w:rPr>
        <w:t>2、分别与单一供应商进行磋商</w:t>
      </w:r>
    </w:p>
    <w:p w14:paraId="4FCD806D">
      <w:pPr>
        <w:spacing w:line="360" w:lineRule="auto"/>
        <w:ind w:firstLine="480" w:firstLineChars="200"/>
        <w:rPr>
          <w:rFonts w:hint="eastAsia" w:ascii="宋体" w:hAnsi="宋体" w:cs="宋体"/>
          <w:bCs/>
          <w:sz w:val="24"/>
        </w:rPr>
      </w:pPr>
      <w:r>
        <w:rPr>
          <w:rFonts w:hint="eastAsia" w:ascii="宋体" w:hAnsi="宋体" w:cs="宋体"/>
          <w:bCs/>
          <w:sz w:val="24"/>
        </w:rPr>
        <w:t>2.1 磋商小组所有成员应当集中与单一供应商分别进行磋商，并给予所有参加磋商的供应商平等的磋商机会。</w:t>
      </w:r>
    </w:p>
    <w:p w14:paraId="19C4BAC1">
      <w:pPr>
        <w:spacing w:line="360" w:lineRule="auto"/>
        <w:ind w:firstLine="480" w:firstLineChars="200"/>
        <w:rPr>
          <w:rFonts w:hint="eastAsia" w:ascii="宋体" w:hAnsi="宋体" w:cs="宋体"/>
          <w:bCs/>
          <w:sz w:val="24"/>
        </w:rPr>
      </w:pPr>
      <w:r>
        <w:rPr>
          <w:rFonts w:hint="eastAsia" w:ascii="宋体" w:hAnsi="宋体" w:cs="宋体"/>
          <w:bCs/>
          <w:sz w:val="24"/>
        </w:rPr>
        <w:t>2.2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其委托代理人签字或者加盖公章。由委托代理人签字的，应当附法定代表人授权书。供应商为自然人的，应当由本人签字并附身份证明。</w:t>
      </w:r>
    </w:p>
    <w:p w14:paraId="2B3D39D5">
      <w:pPr>
        <w:spacing w:line="360" w:lineRule="auto"/>
        <w:ind w:firstLine="482" w:firstLineChars="200"/>
        <w:rPr>
          <w:rFonts w:hint="eastAsia" w:ascii="宋体" w:hAnsi="宋体" w:cs="宋体"/>
          <w:b/>
          <w:sz w:val="24"/>
        </w:rPr>
      </w:pPr>
      <w:r>
        <w:rPr>
          <w:rFonts w:hint="eastAsia" w:ascii="宋体" w:hAnsi="宋体" w:cs="宋体"/>
          <w:b/>
          <w:sz w:val="24"/>
        </w:rPr>
        <w:t>3、供应商提交最后报价</w:t>
      </w:r>
    </w:p>
    <w:p w14:paraId="66E0714D">
      <w:pPr>
        <w:spacing w:line="360" w:lineRule="auto"/>
        <w:ind w:firstLine="480" w:firstLineChars="200"/>
        <w:rPr>
          <w:rFonts w:hint="eastAsia" w:ascii="宋体" w:hAnsi="宋体" w:cs="宋体"/>
          <w:bCs/>
          <w:sz w:val="24"/>
        </w:rPr>
      </w:pPr>
      <w:r>
        <w:rPr>
          <w:rFonts w:hint="eastAsia" w:ascii="宋体" w:hAnsi="宋体" w:cs="宋体"/>
          <w:bCs/>
          <w:sz w:val="24"/>
        </w:rPr>
        <w:t>3.1 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4B677768">
      <w:pPr>
        <w:spacing w:line="360" w:lineRule="auto"/>
        <w:ind w:firstLine="480" w:firstLineChars="200"/>
        <w:rPr>
          <w:rFonts w:hint="eastAsia" w:ascii="宋体" w:hAnsi="宋体" w:cs="宋体"/>
          <w:bCs/>
          <w:sz w:val="24"/>
        </w:rPr>
      </w:pPr>
      <w:r>
        <w:rPr>
          <w:rFonts w:hint="eastAsia" w:ascii="宋体" w:hAnsi="宋体" w:cs="宋体"/>
          <w:bCs/>
          <w:sz w:val="24"/>
        </w:rPr>
        <w:t>3.2 已提交响应文件的供应商，在提交最后报价之前，可以根据磋商情况退出磋商。采购人、采购代理机构应当退还退出磋商的供应商的磋商保证金。</w:t>
      </w:r>
    </w:p>
    <w:p w14:paraId="5B5CA1DA">
      <w:pPr>
        <w:spacing w:line="360" w:lineRule="auto"/>
        <w:ind w:firstLine="482" w:firstLineChars="200"/>
        <w:rPr>
          <w:rFonts w:hint="eastAsia" w:ascii="宋体" w:hAnsi="宋体" w:cs="宋体"/>
          <w:b/>
          <w:sz w:val="24"/>
        </w:rPr>
      </w:pPr>
      <w:r>
        <w:rPr>
          <w:rFonts w:hint="eastAsia" w:ascii="宋体" w:hAnsi="宋体" w:cs="宋体"/>
          <w:b/>
          <w:sz w:val="24"/>
        </w:rPr>
        <w:t>4、综合评分（见附件2）</w:t>
      </w:r>
    </w:p>
    <w:p w14:paraId="0BBA1691">
      <w:pPr>
        <w:spacing w:line="360" w:lineRule="auto"/>
        <w:ind w:firstLine="480" w:firstLineChars="200"/>
        <w:rPr>
          <w:rFonts w:hint="eastAsia" w:ascii="宋体" w:hAnsi="宋体" w:cs="宋体"/>
          <w:bCs/>
          <w:sz w:val="24"/>
        </w:rPr>
      </w:pPr>
      <w:r>
        <w:rPr>
          <w:rFonts w:hint="eastAsia" w:ascii="宋体" w:hAnsi="宋体" w:cs="宋体"/>
          <w:bCs/>
          <w:sz w:val="24"/>
        </w:rPr>
        <w:t>4.1 经磋商确定最终采购需求和提交最后报价的供应商后，由磋商小组采用综合评分法对提交最后报价的供应商的响应文件和最后报价进行综合评分。</w:t>
      </w:r>
    </w:p>
    <w:p w14:paraId="7D008181">
      <w:pPr>
        <w:spacing w:line="360" w:lineRule="auto"/>
        <w:ind w:firstLine="480" w:firstLineChars="200"/>
        <w:rPr>
          <w:rFonts w:hint="eastAsia" w:ascii="宋体" w:hAnsi="宋体" w:cs="宋体"/>
          <w:bCs/>
          <w:sz w:val="24"/>
        </w:rPr>
      </w:pPr>
      <w:r>
        <w:rPr>
          <w:rFonts w:hint="eastAsia" w:ascii="宋体" w:hAnsi="宋体" w:cs="宋体"/>
          <w:bCs/>
          <w:sz w:val="24"/>
        </w:rPr>
        <w:t>综合评分法，是指响应文件满足磋商文件全部实质性要求且按评审因素的量化指标评审得分最高的供应商为成交候选供应商的评审方法。</w:t>
      </w:r>
    </w:p>
    <w:p w14:paraId="177520FC">
      <w:pPr>
        <w:spacing w:line="360" w:lineRule="auto"/>
        <w:ind w:firstLine="480" w:firstLineChars="200"/>
        <w:rPr>
          <w:rFonts w:hint="eastAsia" w:ascii="宋体" w:hAnsi="宋体" w:cs="宋体"/>
          <w:bCs/>
          <w:sz w:val="24"/>
        </w:rPr>
      </w:pPr>
      <w:r>
        <w:rPr>
          <w:rFonts w:hint="eastAsia" w:ascii="宋体" w:hAnsi="宋体" w:cs="宋体"/>
          <w:bCs/>
          <w:sz w:val="24"/>
        </w:rPr>
        <w:t>4.2 综合评分法评审标准中的分值设置应当与评审因素的量化指标相对应。磋商文件中没有规定的评审标准不得作为评审依据。</w:t>
      </w:r>
    </w:p>
    <w:p w14:paraId="037F256A">
      <w:pPr>
        <w:spacing w:line="360" w:lineRule="auto"/>
        <w:ind w:firstLine="480" w:firstLineChars="200"/>
        <w:rPr>
          <w:rFonts w:hint="eastAsia" w:ascii="宋体" w:hAnsi="宋体" w:cs="宋体"/>
          <w:bCs/>
          <w:sz w:val="24"/>
        </w:rPr>
      </w:pPr>
      <w:r>
        <w:rPr>
          <w:rFonts w:hint="eastAsia" w:ascii="宋体" w:hAnsi="宋体" w:cs="宋体"/>
          <w:bCs/>
          <w:sz w:val="24"/>
        </w:rPr>
        <w:t>评审时，磋商小组各成员应当独立对每个有效响应的文件进行评价、打分，然后汇总每个供应商每项评分因素的得分。</w:t>
      </w:r>
    </w:p>
    <w:p w14:paraId="3FCAFA05">
      <w:pPr>
        <w:spacing w:line="360" w:lineRule="auto"/>
        <w:ind w:firstLine="482" w:firstLineChars="200"/>
        <w:rPr>
          <w:rFonts w:hint="eastAsia" w:ascii="宋体" w:hAnsi="宋体" w:cs="宋体"/>
          <w:b/>
          <w:sz w:val="24"/>
        </w:rPr>
      </w:pPr>
      <w:r>
        <w:rPr>
          <w:rFonts w:hint="eastAsia" w:ascii="宋体" w:hAnsi="宋体" w:cs="宋体"/>
          <w:b/>
          <w:sz w:val="24"/>
        </w:rPr>
        <w:t>5、关于政策性加分</w:t>
      </w:r>
    </w:p>
    <w:p w14:paraId="68E67997">
      <w:pPr>
        <w:spacing w:line="360" w:lineRule="auto"/>
        <w:ind w:firstLine="482" w:firstLineChars="200"/>
        <w:rPr>
          <w:rFonts w:hint="eastAsia" w:ascii="宋体" w:hAnsi="宋体" w:cs="宋体"/>
          <w:b/>
          <w:sz w:val="24"/>
        </w:rPr>
      </w:pPr>
      <w:r>
        <w:rPr>
          <w:rFonts w:hint="eastAsia" w:ascii="宋体" w:hAnsi="宋体" w:cs="宋体"/>
          <w:b/>
          <w:sz w:val="24"/>
        </w:rPr>
        <w:t>（一）中小企业政策</w:t>
      </w:r>
    </w:p>
    <w:p w14:paraId="6CD385A5">
      <w:pPr>
        <w:spacing w:line="360" w:lineRule="auto"/>
        <w:ind w:firstLine="480" w:firstLineChars="200"/>
        <w:rPr>
          <w:rFonts w:hint="eastAsia" w:ascii="宋体" w:hAnsi="宋体" w:cs="宋体"/>
          <w:bCs/>
          <w:sz w:val="24"/>
        </w:rPr>
      </w:pPr>
      <w:r>
        <w:rPr>
          <w:rFonts w:hint="eastAsia" w:ascii="宋体" w:hAnsi="宋体" w:cs="宋体"/>
          <w:bCs/>
          <w:sz w:val="24"/>
        </w:rPr>
        <w:t>5.1.1、中小企业的认定标准：（监狱企业视同小型、微型企业）</w:t>
      </w:r>
    </w:p>
    <w:p w14:paraId="09BB0B72">
      <w:pPr>
        <w:spacing w:line="360" w:lineRule="auto"/>
        <w:ind w:firstLine="480" w:firstLineChars="200"/>
        <w:rPr>
          <w:rFonts w:hint="eastAsia" w:ascii="宋体" w:hAnsi="宋体" w:cs="宋体"/>
          <w:bCs/>
          <w:sz w:val="24"/>
        </w:rPr>
      </w:pPr>
      <w:r>
        <w:rPr>
          <w:rFonts w:hint="eastAsia" w:ascii="宋体" w:hAnsi="宋体" w:cs="宋体"/>
          <w:bCs/>
          <w:sz w:val="24"/>
        </w:rPr>
        <w:t>《政府采购促进中小企业发展暂行办法》（财库〔2020〕46号） 第二条、第四条规定。</w:t>
      </w:r>
    </w:p>
    <w:p w14:paraId="67B2DBAB">
      <w:pPr>
        <w:spacing w:line="360" w:lineRule="auto"/>
        <w:ind w:firstLine="480" w:firstLineChars="200"/>
        <w:rPr>
          <w:rFonts w:hint="eastAsia" w:ascii="宋体" w:hAnsi="宋体" w:cs="宋体"/>
          <w:bCs/>
          <w:sz w:val="24"/>
        </w:rPr>
      </w:pPr>
      <w:r>
        <w:rPr>
          <w:rFonts w:hint="eastAsia" w:ascii="宋体" w:hAnsi="宋体" w:cs="宋体"/>
          <w:bCs/>
          <w:sz w:val="24"/>
        </w:rPr>
        <w:t>5.1.2、根据财政部、工业和信息化部2020年12月18日颁布的《政府采购促进中小企业发展暂行办法》（财库〔2020〕46号）第九条规定及财政部2022年5月30日颁布的《关于进一步加 大政府采购支持中小企业力度的通知》（财库〔2022〕19 号） 第二条规定，采购人、采购代理机构应当对符合本办法规定的小微企业报价给予10%（工程项目为 3%）的扣除，用扣除后的价格参加评审。适用招标投标法的政府采购工程建设项目，采用综合评估法但未采用低价优先法计算价格分的，评标时应当在采用原报价进行评分的基础上增加其价格得分的 3%作为其价格分；</w:t>
      </w:r>
    </w:p>
    <w:p w14:paraId="53A2255B">
      <w:pPr>
        <w:spacing w:line="360" w:lineRule="auto"/>
        <w:ind w:firstLine="480" w:firstLineChars="200"/>
        <w:rPr>
          <w:rFonts w:hint="eastAsia" w:ascii="宋体" w:hAnsi="宋体" w:cs="宋体"/>
          <w:bCs/>
          <w:sz w:val="24"/>
        </w:rPr>
      </w:pPr>
      <w:r>
        <w:rPr>
          <w:rFonts w:hint="eastAsia" w:ascii="宋体" w:hAnsi="宋体" w:cs="宋体"/>
          <w:bCs/>
          <w:sz w:val="24"/>
        </w:rPr>
        <w:t>5.1.3、 接受大中型企业与小微企业组成联合体或者允许大中型企业向一家或者多家小微企业分包的采购项目，采购人、采购代理机构应当对联合体或者大中型企业的报价给予 4%(工程项目为 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0E800607">
      <w:pPr>
        <w:spacing w:line="360" w:lineRule="auto"/>
        <w:ind w:firstLine="480" w:firstLineChars="200"/>
        <w:rPr>
          <w:rFonts w:hint="eastAsia" w:ascii="宋体" w:hAnsi="宋体" w:cs="宋体"/>
          <w:bCs/>
          <w:sz w:val="24"/>
        </w:rPr>
      </w:pPr>
      <w:r>
        <w:rPr>
          <w:rFonts w:hint="eastAsia" w:ascii="宋体" w:hAnsi="宋体" w:cs="宋体"/>
          <w:bCs/>
          <w:sz w:val="24"/>
        </w:rPr>
        <w:t>5.1.4、根据《政府采购促进中小企业发展管理办法》（财库〔2020〕46 号）第十一条规定，中小企业参加政府采购活动，应当出具本办法规定的《中小企业声明函》，否则不得享受相关中小企业扶持政策。</w:t>
      </w:r>
    </w:p>
    <w:p w14:paraId="6073F895">
      <w:pPr>
        <w:spacing w:line="360" w:lineRule="auto"/>
        <w:ind w:firstLine="480" w:firstLineChars="200"/>
        <w:rPr>
          <w:rFonts w:hint="eastAsia" w:ascii="宋体" w:hAnsi="宋体" w:cs="宋体"/>
          <w:bCs/>
          <w:sz w:val="24"/>
        </w:rPr>
      </w:pPr>
      <w:r>
        <w:rPr>
          <w:rFonts w:hint="eastAsia" w:ascii="宋体" w:hAnsi="宋体" w:cs="宋体"/>
          <w:bCs/>
          <w:sz w:val="24"/>
        </w:rPr>
        <w:t>5.1.5、监狱企业：根据《财政部 司法部关于政府采购支持监狱企业发展有关问题的通知》（财库[2014]68号）文件规定，监狱企业参加政府采购活动时，应当提供由省级以上监狱管理局、戒毒管理局（含新疆生产建设兵团）出具的属于监狱企业的证明文件。监狱企业视同小型、微型企业，享受预留份额、评审中价格扣除等政府采购促进中小企业发展的政府采购政策。</w:t>
      </w:r>
    </w:p>
    <w:p w14:paraId="5C145540">
      <w:pPr>
        <w:spacing w:line="360" w:lineRule="auto"/>
        <w:ind w:firstLine="480" w:firstLineChars="200"/>
        <w:rPr>
          <w:rFonts w:hint="eastAsia" w:ascii="宋体" w:hAnsi="宋体" w:cs="宋体"/>
          <w:bCs/>
          <w:sz w:val="24"/>
        </w:rPr>
      </w:pPr>
      <w:r>
        <w:rPr>
          <w:rFonts w:hint="eastAsia" w:ascii="宋体" w:hAnsi="宋体" w:cs="宋体"/>
          <w:bCs/>
          <w:sz w:val="24"/>
        </w:rPr>
        <w:t>5.1.6、残疾人福利性单位：根据《财政部 民政部 中国残疾人联合会关于促进残疾人就业政府采购政策的通知》（财库〔2017〕 141号）的规定，符合条件的残疾人福利性单位在参加政府采购活动时，须提供《残疾人福利性单位声明函》。残疾人福利性单位视同小型、微型企业，享受预留份额、评审中价格扣除等促进中小企业发展的政府采购政策。残疾人福利性单位属于小型、微型企业的，不重复享受政策。</w:t>
      </w:r>
    </w:p>
    <w:p w14:paraId="13177263">
      <w:pPr>
        <w:spacing w:line="360" w:lineRule="auto"/>
        <w:ind w:firstLine="480" w:firstLineChars="200"/>
        <w:rPr>
          <w:rFonts w:hint="eastAsia" w:ascii="宋体" w:hAnsi="宋体" w:cs="宋体"/>
          <w:b/>
          <w:sz w:val="24"/>
        </w:rPr>
      </w:pPr>
      <w:r>
        <w:rPr>
          <w:rFonts w:hint="eastAsia" w:ascii="宋体" w:hAnsi="宋体" w:cs="宋体"/>
          <w:bCs/>
          <w:sz w:val="24"/>
        </w:rPr>
        <w:t>5.1.7、价格扣除幅度：本项目对小型和微型企业产品的价格给予10％的扣除，用扣除后的价格参与评审；供应商同时为小微型企业、监狱企业或残疾人福利性单位的，评审中只享受一次价格扣除，不重复进行价格扣除。</w:t>
      </w:r>
    </w:p>
    <w:p w14:paraId="058BF64B">
      <w:pPr>
        <w:spacing w:line="360" w:lineRule="auto"/>
        <w:ind w:firstLine="482" w:firstLineChars="200"/>
        <w:rPr>
          <w:rFonts w:hint="eastAsia" w:ascii="宋体" w:hAnsi="宋体" w:cs="宋体"/>
          <w:b/>
          <w:sz w:val="24"/>
        </w:rPr>
      </w:pPr>
      <w:r>
        <w:rPr>
          <w:rFonts w:hint="eastAsia" w:ascii="宋体" w:hAnsi="宋体" w:cs="宋体"/>
          <w:b/>
          <w:sz w:val="24"/>
        </w:rPr>
        <w:t>（二）、节能环保产品</w:t>
      </w:r>
    </w:p>
    <w:p w14:paraId="657442CE">
      <w:pPr>
        <w:spacing w:line="360" w:lineRule="auto"/>
        <w:ind w:firstLine="480" w:firstLineChars="200"/>
        <w:rPr>
          <w:rFonts w:hint="eastAsia" w:ascii="宋体" w:hAnsi="宋体" w:cs="宋体"/>
          <w:bCs/>
          <w:sz w:val="24"/>
        </w:rPr>
      </w:pPr>
      <w:r>
        <w:rPr>
          <w:rFonts w:hint="eastAsia" w:ascii="宋体" w:hAnsi="宋体" w:cs="宋体"/>
          <w:bCs/>
          <w:sz w:val="24"/>
        </w:rPr>
        <w:t xml:space="preserve">5.2.1、所投分包(如不分包则指本项目)的所有响应产品进入当期节能清单的，其评标价=响应报价*（1-2%）；供应商所投产品满足此规定的，必须提供声明函并提供相关证明文件。 </w:t>
      </w:r>
    </w:p>
    <w:p w14:paraId="3833D571">
      <w:pPr>
        <w:spacing w:line="360" w:lineRule="auto"/>
        <w:ind w:firstLine="480" w:firstLineChars="200"/>
        <w:rPr>
          <w:rFonts w:hint="eastAsia" w:ascii="宋体" w:hAnsi="宋体" w:cs="宋体"/>
          <w:b/>
          <w:sz w:val="24"/>
        </w:rPr>
      </w:pPr>
      <w:r>
        <w:rPr>
          <w:rFonts w:hint="eastAsia" w:ascii="宋体" w:hAnsi="宋体" w:cs="宋体"/>
          <w:bCs/>
          <w:sz w:val="24"/>
        </w:rPr>
        <w:t>5.2.2、所投分包(如不分包则指本项目)的所有响应产品进入当期环保清单的，其评标价=响应报价*（1-1%）；供应商所投产品满足此规定的，必须提供声明函并提供相关证明文件。</w:t>
      </w:r>
    </w:p>
    <w:p w14:paraId="37902C83">
      <w:pPr>
        <w:spacing w:line="360" w:lineRule="auto"/>
        <w:ind w:firstLine="482" w:firstLineChars="200"/>
        <w:rPr>
          <w:rFonts w:hint="eastAsia" w:ascii="宋体" w:hAnsi="宋体" w:cs="宋体"/>
          <w:b/>
          <w:sz w:val="24"/>
        </w:rPr>
      </w:pPr>
      <w:r>
        <w:rPr>
          <w:rFonts w:hint="eastAsia" w:ascii="宋体" w:hAnsi="宋体" w:cs="宋体"/>
          <w:b/>
          <w:sz w:val="24"/>
        </w:rPr>
        <w:t>三 、关于强制采购节能产品、信息安全产品和优先采购环境标志产品的要求。</w:t>
      </w:r>
    </w:p>
    <w:p w14:paraId="31087CFA">
      <w:pPr>
        <w:spacing w:line="360" w:lineRule="auto"/>
        <w:ind w:firstLine="480" w:firstLineChars="200"/>
        <w:rPr>
          <w:rFonts w:hint="eastAsia" w:ascii="宋体" w:hAnsi="宋体" w:cs="宋体"/>
          <w:bCs/>
          <w:sz w:val="24"/>
        </w:rPr>
      </w:pPr>
      <w:r>
        <w:rPr>
          <w:rFonts w:hint="eastAsia" w:ascii="宋体" w:hAnsi="宋体" w:cs="宋体"/>
          <w:bCs/>
          <w:sz w:val="24"/>
        </w:rPr>
        <w:t>5.3.1、节能产品是指列入财政部、国家发展和改革委员会制定的《节能产品政府采购清单》(中国政府采购网（http://www.ccgp.gov.cn/）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http://www.ccgp.gov.cn/）等网站发布)，且经过认证的环境标志产品。</w:t>
      </w:r>
    </w:p>
    <w:p w14:paraId="2DAF3F10">
      <w:pPr>
        <w:spacing w:line="360" w:lineRule="auto"/>
        <w:ind w:firstLine="480" w:firstLineChars="200"/>
        <w:rPr>
          <w:rFonts w:hint="eastAsia" w:ascii="宋体" w:hAnsi="宋体" w:cs="宋体"/>
          <w:bCs/>
          <w:sz w:val="24"/>
        </w:rPr>
      </w:pPr>
      <w:r>
        <w:rPr>
          <w:rFonts w:hint="eastAsia" w:ascii="宋体" w:hAnsi="宋体" w:cs="宋体"/>
          <w:bCs/>
          <w:sz w:val="24"/>
        </w:rPr>
        <w:t>5.3.2、提供的产品属于信息安全产品的，供应商应当选择经国家认证的信息安全产品投标，并提供有效的中国国家信息安全产品认证证书复印件。</w:t>
      </w:r>
    </w:p>
    <w:p w14:paraId="37132427">
      <w:pPr>
        <w:spacing w:line="360" w:lineRule="auto"/>
        <w:ind w:firstLine="480" w:firstLineChars="200"/>
        <w:rPr>
          <w:rFonts w:hint="eastAsia" w:ascii="宋体" w:hAnsi="宋体" w:cs="宋体"/>
          <w:bCs/>
          <w:sz w:val="24"/>
        </w:rPr>
      </w:pPr>
      <w:r>
        <w:rPr>
          <w:rFonts w:hint="eastAsia" w:ascii="宋体" w:hAnsi="宋体" w:cs="宋体"/>
          <w:bCs/>
          <w:sz w:val="24"/>
        </w:rPr>
        <w:t>5.3.3、提供的产品属于政府强制采购节能产品的，供应商应当选择《节能产品政府采购清单》中的产品投标，并提供有效的节能产品认证证书复印件。</w:t>
      </w:r>
    </w:p>
    <w:p w14:paraId="745EAFC0">
      <w:pPr>
        <w:spacing w:line="360" w:lineRule="auto"/>
        <w:ind w:firstLine="480" w:firstLineChars="200"/>
        <w:rPr>
          <w:rFonts w:hint="eastAsia" w:ascii="宋体" w:hAnsi="宋体" w:cs="宋体"/>
          <w:b/>
          <w:sz w:val="24"/>
        </w:rPr>
      </w:pPr>
      <w:r>
        <w:rPr>
          <w:rFonts w:hint="eastAsia" w:ascii="宋体" w:hAnsi="宋体" w:cs="宋体"/>
          <w:bCs/>
          <w:sz w:val="24"/>
        </w:rPr>
        <w:t>5.3.4 、提供的产品属于优先采购环境标志产品的，供应商应当选择《环境标志产品政府采购清单》中的产品投标，并提供有效的环境标志产品认证证书复印件。</w:t>
      </w:r>
    </w:p>
    <w:p w14:paraId="6F8952CE">
      <w:pPr>
        <w:spacing w:line="360" w:lineRule="auto"/>
        <w:ind w:firstLine="482" w:firstLineChars="200"/>
        <w:rPr>
          <w:rFonts w:hint="eastAsia" w:ascii="宋体" w:hAnsi="宋体" w:cs="宋体"/>
          <w:b/>
          <w:sz w:val="24"/>
        </w:rPr>
      </w:pPr>
      <w:r>
        <w:rPr>
          <w:rFonts w:hint="eastAsia" w:ascii="宋体" w:hAnsi="宋体" w:cs="宋体"/>
          <w:b/>
          <w:sz w:val="24"/>
        </w:rPr>
        <w:t>如有虚假骗取政策性加分，将依法承担相应责任。</w:t>
      </w:r>
    </w:p>
    <w:p w14:paraId="023AA4FF">
      <w:pPr>
        <w:spacing w:line="360" w:lineRule="auto"/>
        <w:ind w:firstLine="482" w:firstLineChars="200"/>
        <w:rPr>
          <w:rFonts w:hint="eastAsia" w:ascii="宋体" w:hAnsi="宋体" w:cs="宋体"/>
          <w:b/>
          <w:sz w:val="24"/>
        </w:rPr>
      </w:pPr>
      <w:r>
        <w:rPr>
          <w:rFonts w:hint="eastAsia" w:ascii="宋体" w:hAnsi="宋体" w:cs="宋体"/>
          <w:b/>
          <w:sz w:val="24"/>
        </w:rPr>
        <w:t>6、推荐成交候选供应商</w:t>
      </w:r>
    </w:p>
    <w:p w14:paraId="1ED87D5E">
      <w:pPr>
        <w:spacing w:line="360" w:lineRule="auto"/>
        <w:ind w:firstLine="480" w:firstLineChars="200"/>
        <w:rPr>
          <w:rFonts w:hint="eastAsia" w:ascii="宋体" w:hAnsi="宋体" w:cs="宋体"/>
          <w:bCs/>
          <w:sz w:val="24"/>
        </w:rPr>
      </w:pPr>
      <w:r>
        <w:rPr>
          <w:rFonts w:hint="eastAsia" w:ascii="宋体" w:hAnsi="宋体" w:cs="宋体"/>
          <w:bCs/>
          <w:sz w:val="24"/>
        </w:rPr>
        <w:t>6.1 磋商小组根据综合评分情况，按照评审得分由高到低顺序推荐3名以上成交候选供应商，并编写评审报告。</w:t>
      </w:r>
    </w:p>
    <w:p w14:paraId="724E3180">
      <w:pPr>
        <w:spacing w:line="360" w:lineRule="auto"/>
        <w:ind w:firstLine="480" w:firstLineChars="200"/>
        <w:rPr>
          <w:rFonts w:hint="eastAsia" w:ascii="宋体" w:hAnsi="宋体" w:cs="宋体"/>
          <w:bCs/>
          <w:sz w:val="24"/>
        </w:rPr>
      </w:pPr>
      <w:r>
        <w:rPr>
          <w:rFonts w:hint="eastAsia" w:ascii="宋体" w:hAnsi="宋体" w:cs="宋体"/>
          <w:bCs/>
          <w:sz w:val="24"/>
        </w:rPr>
        <w:t>6.2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14:paraId="3CCDEEBE">
      <w:pPr>
        <w:spacing w:line="360" w:lineRule="auto"/>
        <w:ind w:firstLine="482" w:firstLineChars="200"/>
        <w:rPr>
          <w:rFonts w:hint="eastAsia" w:ascii="宋体" w:hAnsi="宋体" w:cs="宋体"/>
          <w:b/>
          <w:sz w:val="24"/>
        </w:rPr>
      </w:pPr>
      <w:r>
        <w:rPr>
          <w:rFonts w:hint="eastAsia" w:ascii="宋体" w:hAnsi="宋体" w:cs="宋体"/>
          <w:b/>
          <w:sz w:val="24"/>
        </w:rPr>
        <w:t>7、编写评审报告</w:t>
      </w:r>
    </w:p>
    <w:p w14:paraId="434CB096">
      <w:pPr>
        <w:spacing w:line="360" w:lineRule="auto"/>
        <w:ind w:firstLine="480" w:firstLineChars="200"/>
        <w:rPr>
          <w:rFonts w:hint="eastAsia" w:ascii="宋体" w:hAnsi="宋体" w:cs="宋体"/>
          <w:bCs/>
          <w:sz w:val="24"/>
        </w:rPr>
      </w:pPr>
      <w:r>
        <w:rPr>
          <w:rFonts w:hint="eastAsia" w:ascii="宋体" w:hAnsi="宋体" w:cs="宋体"/>
          <w:bCs/>
          <w:sz w:val="24"/>
        </w:rPr>
        <w:t>评审报告应当包括以下主要内容：</w:t>
      </w:r>
    </w:p>
    <w:p w14:paraId="701F41DB">
      <w:pPr>
        <w:spacing w:line="360" w:lineRule="auto"/>
        <w:ind w:firstLine="480" w:firstLineChars="200"/>
        <w:rPr>
          <w:rFonts w:hint="eastAsia" w:ascii="宋体" w:hAnsi="宋体" w:cs="宋体"/>
          <w:bCs/>
          <w:sz w:val="24"/>
        </w:rPr>
      </w:pPr>
      <w:r>
        <w:rPr>
          <w:rFonts w:hint="eastAsia" w:ascii="宋体" w:hAnsi="宋体" w:cs="宋体"/>
          <w:bCs/>
          <w:sz w:val="24"/>
        </w:rPr>
        <w:t>（一）邀请供应商参加采购活动的具体方式和相关情况；</w:t>
      </w:r>
    </w:p>
    <w:p w14:paraId="7A2E66D1">
      <w:pPr>
        <w:spacing w:line="360" w:lineRule="auto"/>
        <w:ind w:firstLine="480" w:firstLineChars="200"/>
        <w:rPr>
          <w:rFonts w:hint="eastAsia" w:ascii="宋体" w:hAnsi="宋体" w:cs="宋体"/>
          <w:bCs/>
          <w:sz w:val="24"/>
        </w:rPr>
      </w:pPr>
      <w:r>
        <w:rPr>
          <w:rFonts w:hint="eastAsia" w:ascii="宋体" w:hAnsi="宋体" w:cs="宋体"/>
          <w:bCs/>
          <w:sz w:val="24"/>
        </w:rPr>
        <w:t>（二）响应文件开启日期和地点；</w:t>
      </w:r>
    </w:p>
    <w:p w14:paraId="612B4E4B">
      <w:pPr>
        <w:spacing w:line="360" w:lineRule="auto"/>
        <w:ind w:firstLine="480" w:firstLineChars="200"/>
        <w:rPr>
          <w:rFonts w:hint="eastAsia" w:ascii="宋体" w:hAnsi="宋体" w:cs="宋体"/>
          <w:bCs/>
          <w:sz w:val="24"/>
        </w:rPr>
      </w:pPr>
      <w:r>
        <w:rPr>
          <w:rFonts w:hint="eastAsia" w:ascii="宋体" w:hAnsi="宋体" w:cs="宋体"/>
          <w:bCs/>
          <w:sz w:val="24"/>
        </w:rPr>
        <w:t>（三）获取磋商文件的供应商名单和磋商小组成员名单；</w:t>
      </w:r>
    </w:p>
    <w:p w14:paraId="55678283">
      <w:pPr>
        <w:spacing w:line="360" w:lineRule="auto"/>
        <w:ind w:firstLine="480" w:firstLineChars="200"/>
        <w:rPr>
          <w:rFonts w:hint="eastAsia" w:ascii="宋体" w:hAnsi="宋体" w:cs="宋体"/>
          <w:bCs/>
          <w:sz w:val="24"/>
        </w:rPr>
      </w:pPr>
      <w:r>
        <w:rPr>
          <w:rFonts w:hint="eastAsia" w:ascii="宋体" w:hAnsi="宋体" w:cs="宋体"/>
          <w:bCs/>
          <w:sz w:val="24"/>
        </w:rPr>
        <w:t>（四）评审情况记录和说明，包括对供应商的资格审查情况、供应商响应文件评审情况、磋商情况、报价情况等；</w:t>
      </w:r>
    </w:p>
    <w:p w14:paraId="7F06D1AC">
      <w:pPr>
        <w:spacing w:line="360" w:lineRule="auto"/>
        <w:ind w:firstLine="480" w:firstLineChars="200"/>
        <w:rPr>
          <w:rFonts w:hint="eastAsia" w:ascii="宋体" w:hAnsi="宋体" w:cs="宋体"/>
          <w:bCs/>
          <w:sz w:val="24"/>
        </w:rPr>
      </w:pPr>
      <w:r>
        <w:rPr>
          <w:rFonts w:hint="eastAsia" w:ascii="宋体" w:hAnsi="宋体" w:cs="宋体"/>
          <w:bCs/>
          <w:sz w:val="24"/>
        </w:rPr>
        <w:t>（五）提出的成交候选供应商的排序名单及理由。</w:t>
      </w:r>
    </w:p>
    <w:p w14:paraId="43A6BDE1">
      <w:pPr>
        <w:spacing w:line="360" w:lineRule="auto"/>
        <w:ind w:firstLine="482" w:firstLineChars="200"/>
        <w:rPr>
          <w:rFonts w:hint="eastAsia" w:ascii="宋体" w:hAnsi="宋体" w:cs="宋体"/>
          <w:b/>
          <w:sz w:val="24"/>
        </w:rPr>
      </w:pPr>
      <w:r>
        <w:rPr>
          <w:rFonts w:hint="eastAsia" w:ascii="宋体" w:hAnsi="宋体" w:cs="宋体"/>
          <w:b/>
          <w:sz w:val="24"/>
        </w:rPr>
        <w:t>8、终止采购</w:t>
      </w:r>
    </w:p>
    <w:p w14:paraId="6ECF2718">
      <w:pPr>
        <w:spacing w:line="360" w:lineRule="auto"/>
        <w:ind w:firstLine="480" w:firstLineChars="200"/>
        <w:rPr>
          <w:rFonts w:hint="eastAsia" w:ascii="宋体" w:hAnsi="宋体" w:cs="宋体"/>
          <w:bCs/>
          <w:sz w:val="24"/>
        </w:rPr>
      </w:pPr>
      <w:r>
        <w:rPr>
          <w:rFonts w:hint="eastAsia" w:ascii="宋体" w:hAnsi="宋体" w:cs="宋体"/>
          <w:bCs/>
          <w:sz w:val="24"/>
        </w:rPr>
        <w:t>出现下列情形之一的，采购人或者采购代理机构应当终止竞争性磋商采购活动，发布项目终止公告并说明原因，重新开展采购活动：</w:t>
      </w:r>
    </w:p>
    <w:p w14:paraId="1C1BB311">
      <w:pPr>
        <w:spacing w:line="360" w:lineRule="auto"/>
        <w:ind w:firstLine="480" w:firstLineChars="200"/>
        <w:rPr>
          <w:rFonts w:hint="eastAsia" w:ascii="宋体" w:hAnsi="宋体" w:cs="宋体"/>
          <w:bCs/>
          <w:sz w:val="24"/>
        </w:rPr>
      </w:pPr>
      <w:r>
        <w:rPr>
          <w:rFonts w:hint="eastAsia" w:ascii="宋体" w:hAnsi="宋体" w:cs="宋体"/>
          <w:bCs/>
          <w:sz w:val="24"/>
        </w:rPr>
        <w:t>（一）因情况变化，不再符合规定的竞争性磋商采购方式适用情形的；</w:t>
      </w:r>
    </w:p>
    <w:p w14:paraId="6DB143A7">
      <w:pPr>
        <w:spacing w:line="360" w:lineRule="auto"/>
        <w:ind w:firstLine="480" w:firstLineChars="200"/>
        <w:rPr>
          <w:rFonts w:hint="eastAsia" w:ascii="宋体" w:hAnsi="宋体" w:cs="宋体"/>
          <w:bCs/>
          <w:sz w:val="24"/>
        </w:rPr>
      </w:pPr>
      <w:r>
        <w:rPr>
          <w:rFonts w:hint="eastAsia" w:ascii="宋体" w:hAnsi="宋体" w:cs="宋体"/>
          <w:bCs/>
          <w:sz w:val="24"/>
        </w:rPr>
        <w:t>（二）出现影响采购公正的违法、违规行为的；</w:t>
      </w:r>
    </w:p>
    <w:p w14:paraId="447D4B83">
      <w:pPr>
        <w:spacing w:line="360" w:lineRule="auto"/>
        <w:ind w:firstLine="480" w:firstLineChars="200"/>
        <w:rPr>
          <w:rFonts w:hint="eastAsia" w:ascii="宋体" w:hAnsi="宋体" w:cs="宋体"/>
          <w:bCs/>
          <w:sz w:val="24"/>
        </w:rPr>
      </w:pPr>
      <w:r>
        <w:rPr>
          <w:rFonts w:hint="eastAsia" w:ascii="宋体" w:hAnsi="宋体" w:cs="宋体"/>
          <w:bCs/>
          <w:sz w:val="24"/>
        </w:rPr>
        <w:t>（三）除《政府采购竞争性磋商采购方式管理暂行办法》第二十一条第三款规定的情形外，在采购过程中符合要求的供应商或者报价未超过采购预算的供应商不足3家的。</w:t>
      </w:r>
    </w:p>
    <w:p w14:paraId="15C6C585">
      <w:pPr>
        <w:spacing w:line="360" w:lineRule="auto"/>
        <w:ind w:firstLine="480" w:firstLineChars="200"/>
        <w:rPr>
          <w:rFonts w:hint="eastAsia" w:ascii="宋体" w:hAnsi="宋体" w:cs="宋体"/>
          <w:bCs/>
          <w:sz w:val="24"/>
        </w:rPr>
      </w:pPr>
      <w:r>
        <w:rPr>
          <w:rFonts w:hint="eastAsia" w:ascii="宋体" w:hAnsi="宋体" w:cs="宋体"/>
          <w:bCs/>
          <w:sz w:val="24"/>
        </w:rPr>
        <w:t>在采购活动中因重大变故，采购任务取消的，采购人或者采购代理机构应当终止采购活动，通知所有参加采购活动的供应商，并将项目实施情况和采购任务取消原因报送本级财政部门。</w:t>
      </w:r>
    </w:p>
    <w:p w14:paraId="6D859187">
      <w:pPr>
        <w:spacing w:line="360" w:lineRule="auto"/>
        <w:ind w:firstLine="482" w:firstLineChars="200"/>
        <w:rPr>
          <w:rFonts w:hint="eastAsia" w:ascii="宋体" w:hAnsi="宋体" w:cs="宋体"/>
          <w:b/>
          <w:bCs/>
          <w:sz w:val="24"/>
        </w:rPr>
        <w:sectPr>
          <w:pgSz w:w="11906" w:h="16838"/>
          <w:pgMar w:top="1247" w:right="1247" w:bottom="1134" w:left="1644" w:header="851" w:footer="851" w:gutter="0"/>
          <w:cols w:space="720" w:num="1"/>
          <w:docGrid w:type="lines" w:linePitch="312" w:charSpace="0"/>
        </w:sectPr>
      </w:pPr>
    </w:p>
    <w:p w14:paraId="25475B10">
      <w:pPr>
        <w:pStyle w:val="4"/>
        <w:rPr>
          <w:rFonts w:hint="eastAsia" w:ascii="宋体" w:hAnsi="宋体"/>
        </w:rPr>
      </w:pPr>
      <w:r>
        <w:rPr>
          <w:rFonts w:hint="eastAsia" w:ascii="宋体" w:hAnsi="宋体"/>
        </w:rPr>
        <w:t>附件1：资格性审查表</w:t>
      </w:r>
      <w:bookmarkEnd w:id="154"/>
    </w:p>
    <w:p w14:paraId="3D7D2DC2">
      <w:pPr>
        <w:jc w:val="center"/>
        <w:rPr>
          <w:rFonts w:ascii="宋体"/>
          <w:b/>
          <w:bCs/>
          <w:sz w:val="28"/>
          <w:szCs w:val="28"/>
        </w:rPr>
      </w:pPr>
      <w:bookmarkStart w:id="160" w:name="_Toc501916571"/>
      <w:bookmarkStart w:id="161" w:name="_Toc5616075"/>
      <w:bookmarkStart w:id="162" w:name="_Toc2209"/>
      <w:bookmarkStart w:id="163" w:name="_Toc1064"/>
      <w:bookmarkStart w:id="164" w:name="_Toc11384"/>
      <w:r>
        <w:rPr>
          <w:rFonts w:hint="eastAsia" w:ascii="宋体" w:hAnsi="宋体" w:cs="宋体"/>
          <w:b/>
          <w:bCs/>
          <w:sz w:val="28"/>
          <w:szCs w:val="28"/>
        </w:rPr>
        <w:t>资格性审查表</w:t>
      </w:r>
      <w:bookmarkEnd w:id="160"/>
      <w:bookmarkEnd w:id="161"/>
      <w:bookmarkEnd w:id="162"/>
      <w:bookmarkEnd w:id="163"/>
      <w:bookmarkEnd w:id="164"/>
    </w:p>
    <w:p w14:paraId="0651471E">
      <w:pPr>
        <w:shd w:val="clear" w:color="auto" w:fill="FFFFFF"/>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lang w:eastAsia="zh-CN"/>
        </w:rPr>
        <w:t>2024年医疗机构责任保险服务项目</w:t>
      </w:r>
      <w:r>
        <w:rPr>
          <w:rFonts w:hint="eastAsia" w:ascii="宋体" w:hAnsi="宋体" w:cs="宋体"/>
          <w:sz w:val="24"/>
        </w:rPr>
        <w:t xml:space="preserve">      </w:t>
      </w:r>
    </w:p>
    <w:p w14:paraId="772202FE">
      <w:pPr>
        <w:shd w:val="clear" w:color="auto" w:fill="FFFFFF"/>
        <w:spacing w:line="360" w:lineRule="auto"/>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lang w:eastAsia="zh-CN"/>
        </w:rPr>
        <w:t>HNJY2024【118】</w:t>
      </w:r>
    </w:p>
    <w:tbl>
      <w:tblPr>
        <w:tblStyle w:val="20"/>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743"/>
        <w:gridCol w:w="4386"/>
        <w:gridCol w:w="645"/>
        <w:gridCol w:w="675"/>
        <w:gridCol w:w="772"/>
      </w:tblGrid>
      <w:tr w14:paraId="7989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ED9B3D8">
            <w:pPr>
              <w:jc w:val="center"/>
              <w:rPr>
                <w:rFonts w:hint="eastAsia" w:ascii="宋体" w:hAnsi="宋体" w:cs="宋体"/>
                <w:b/>
                <w:szCs w:val="21"/>
              </w:rPr>
            </w:pPr>
            <w:r>
              <w:rPr>
                <w:rFonts w:hint="eastAsia" w:ascii="宋体" w:hAnsi="宋体" w:cs="宋体"/>
                <w:b/>
                <w:szCs w:val="21"/>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30D56320">
            <w:pPr>
              <w:jc w:val="center"/>
              <w:rPr>
                <w:rFonts w:hint="eastAsia" w:ascii="宋体" w:hAnsi="宋体" w:cs="宋体"/>
                <w:b/>
                <w:szCs w:val="21"/>
              </w:rPr>
            </w:pPr>
            <w:r>
              <w:rPr>
                <w:rFonts w:hint="eastAsia" w:ascii="宋体" w:hAnsi="宋体" w:cs="宋体"/>
                <w:b/>
                <w:szCs w:val="21"/>
              </w:rPr>
              <w:t>审查项目</w:t>
            </w:r>
          </w:p>
        </w:tc>
        <w:tc>
          <w:tcPr>
            <w:tcW w:w="4386" w:type="dxa"/>
            <w:tcBorders>
              <w:top w:val="single" w:color="auto" w:sz="4" w:space="0"/>
              <w:left w:val="single" w:color="auto" w:sz="4" w:space="0"/>
              <w:bottom w:val="single" w:color="auto" w:sz="4" w:space="0"/>
              <w:right w:val="single" w:color="auto" w:sz="4" w:space="0"/>
            </w:tcBorders>
            <w:vAlign w:val="center"/>
          </w:tcPr>
          <w:p w14:paraId="05488DA2">
            <w:pPr>
              <w:jc w:val="center"/>
              <w:rPr>
                <w:rFonts w:hint="eastAsia" w:ascii="宋体" w:hAnsi="宋体" w:cs="宋体"/>
                <w:b/>
                <w:szCs w:val="21"/>
              </w:rPr>
            </w:pPr>
            <w:r>
              <w:rPr>
                <w:rFonts w:hint="eastAsia" w:ascii="宋体" w:hAnsi="宋体" w:cs="宋体"/>
                <w:b/>
                <w:szCs w:val="21"/>
              </w:rPr>
              <w:t>评议内容</w:t>
            </w:r>
          </w:p>
        </w:tc>
        <w:tc>
          <w:tcPr>
            <w:tcW w:w="645" w:type="dxa"/>
            <w:tcBorders>
              <w:top w:val="single" w:color="auto" w:sz="4" w:space="0"/>
              <w:left w:val="single" w:color="auto" w:sz="4" w:space="0"/>
              <w:bottom w:val="single" w:color="auto" w:sz="4" w:space="0"/>
              <w:right w:val="single" w:color="auto" w:sz="4" w:space="0"/>
            </w:tcBorders>
            <w:vAlign w:val="center"/>
          </w:tcPr>
          <w:p w14:paraId="4B6E2C82">
            <w:pPr>
              <w:jc w:val="center"/>
              <w:rPr>
                <w:rFonts w:hint="eastAsia" w:ascii="宋体" w:hAnsi="宋体" w:cs="宋体"/>
                <w:b/>
                <w:szCs w:val="21"/>
              </w:rPr>
            </w:pPr>
            <w:r>
              <w:rPr>
                <w:rFonts w:hint="eastAsia" w:ascii="宋体" w:hAnsi="宋体" w:cs="宋体"/>
                <w:b/>
                <w:szCs w:val="21"/>
              </w:rPr>
              <w:t>供应商1</w:t>
            </w:r>
          </w:p>
        </w:tc>
        <w:tc>
          <w:tcPr>
            <w:tcW w:w="675" w:type="dxa"/>
            <w:tcBorders>
              <w:top w:val="single" w:color="auto" w:sz="4" w:space="0"/>
              <w:left w:val="single" w:color="auto" w:sz="4" w:space="0"/>
              <w:bottom w:val="single" w:color="auto" w:sz="4" w:space="0"/>
              <w:right w:val="single" w:color="auto" w:sz="4" w:space="0"/>
            </w:tcBorders>
            <w:vAlign w:val="center"/>
          </w:tcPr>
          <w:p w14:paraId="5CAE5AF4">
            <w:pPr>
              <w:jc w:val="center"/>
              <w:rPr>
                <w:rFonts w:hint="eastAsia" w:ascii="宋体" w:hAnsi="宋体" w:cs="宋体"/>
                <w:b/>
                <w:szCs w:val="21"/>
              </w:rPr>
            </w:pPr>
            <w:r>
              <w:rPr>
                <w:rFonts w:hint="eastAsia" w:ascii="宋体" w:hAnsi="宋体" w:cs="宋体"/>
                <w:b/>
                <w:szCs w:val="21"/>
              </w:rPr>
              <w:t>供应商2</w:t>
            </w:r>
          </w:p>
        </w:tc>
        <w:tc>
          <w:tcPr>
            <w:tcW w:w="772" w:type="dxa"/>
            <w:tcBorders>
              <w:top w:val="single" w:color="auto" w:sz="4" w:space="0"/>
              <w:left w:val="single" w:color="auto" w:sz="4" w:space="0"/>
              <w:bottom w:val="single" w:color="auto" w:sz="4" w:space="0"/>
              <w:right w:val="single" w:color="auto" w:sz="4" w:space="0"/>
            </w:tcBorders>
            <w:vAlign w:val="center"/>
          </w:tcPr>
          <w:p w14:paraId="27E439C7">
            <w:pPr>
              <w:jc w:val="center"/>
              <w:rPr>
                <w:rFonts w:hint="eastAsia" w:ascii="宋体" w:hAnsi="宋体" w:cs="宋体"/>
                <w:b/>
                <w:szCs w:val="21"/>
              </w:rPr>
            </w:pPr>
            <w:r>
              <w:rPr>
                <w:rFonts w:hint="eastAsia" w:ascii="宋体" w:hAnsi="宋体" w:cs="宋体"/>
                <w:b/>
                <w:szCs w:val="21"/>
              </w:rPr>
              <w:t>供应商3</w:t>
            </w:r>
          </w:p>
        </w:tc>
      </w:tr>
      <w:tr w14:paraId="6C77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54673B3">
            <w:pPr>
              <w:jc w:val="center"/>
              <w:rPr>
                <w:rFonts w:hint="eastAsia" w:ascii="宋体" w:hAnsi="宋体" w:cs="宋体"/>
                <w:b/>
                <w:szCs w:val="21"/>
              </w:rPr>
            </w:pPr>
            <w:r>
              <w:rPr>
                <w:rFonts w:hint="eastAsia" w:ascii="宋体" w:hAnsi="宋体" w:cs="宋体"/>
                <w:b/>
                <w:szCs w:val="21"/>
              </w:rPr>
              <w:t>1</w:t>
            </w:r>
          </w:p>
        </w:tc>
        <w:tc>
          <w:tcPr>
            <w:tcW w:w="2743" w:type="dxa"/>
            <w:tcBorders>
              <w:top w:val="single" w:color="auto" w:sz="4" w:space="0"/>
              <w:left w:val="single" w:color="auto" w:sz="4" w:space="0"/>
              <w:bottom w:val="single" w:color="auto" w:sz="4" w:space="0"/>
              <w:right w:val="single" w:color="auto" w:sz="4" w:space="0"/>
            </w:tcBorders>
            <w:vAlign w:val="center"/>
          </w:tcPr>
          <w:p w14:paraId="1AD16149">
            <w:pPr>
              <w:adjustRightInd w:val="0"/>
              <w:snapToGrid w:val="0"/>
              <w:spacing w:line="360" w:lineRule="auto"/>
              <w:jc w:val="left"/>
              <w:rPr>
                <w:rFonts w:hint="eastAsia" w:ascii="宋体" w:hAnsi="宋体" w:cs="宋体"/>
                <w:bCs/>
                <w:szCs w:val="21"/>
              </w:rPr>
            </w:pPr>
            <w:r>
              <w:rPr>
                <w:rFonts w:hint="eastAsia" w:ascii="宋体" w:hAnsi="宋体" w:cs="宋体"/>
                <w:szCs w:val="21"/>
              </w:rPr>
              <w:t>在中华人民共和国注册，具有独立承担民事责任的能力</w:t>
            </w:r>
          </w:p>
        </w:tc>
        <w:tc>
          <w:tcPr>
            <w:tcW w:w="4386" w:type="dxa"/>
            <w:tcBorders>
              <w:top w:val="single" w:color="auto" w:sz="4" w:space="0"/>
              <w:left w:val="single" w:color="auto" w:sz="4" w:space="0"/>
              <w:bottom w:val="single" w:color="auto" w:sz="4" w:space="0"/>
              <w:right w:val="single" w:color="auto" w:sz="4" w:space="0"/>
            </w:tcBorders>
            <w:vAlign w:val="center"/>
          </w:tcPr>
          <w:p w14:paraId="6D8DFD64">
            <w:pPr>
              <w:adjustRightInd w:val="0"/>
              <w:snapToGrid w:val="0"/>
              <w:spacing w:line="360" w:lineRule="auto"/>
              <w:jc w:val="left"/>
              <w:rPr>
                <w:rFonts w:hint="eastAsia" w:ascii="宋体" w:hAnsi="宋体" w:cs="宋体"/>
                <w:szCs w:val="21"/>
              </w:rPr>
            </w:pPr>
            <w:r>
              <w:rPr>
                <w:rFonts w:hint="eastAsia" w:ascii="宋体" w:hAnsi="宋体" w:cs="宋体"/>
                <w:szCs w:val="21"/>
              </w:rPr>
              <w:t>【注：①供应商若为企业法人：提供“统一社会信用代码营业执照”；②若为事业法人：提供“事业单位法人证书副本”；③若为其他组织：提供“对应主管部门颁发的准许执业证明文件或营业执照”；④若为自然人：提供“提供工商主管部门颁发的个体营业执照/身份证明文件”。以上均提供复印件加盖公章】</w:t>
            </w:r>
          </w:p>
        </w:tc>
        <w:tc>
          <w:tcPr>
            <w:tcW w:w="645" w:type="dxa"/>
            <w:tcBorders>
              <w:top w:val="single" w:color="auto" w:sz="4" w:space="0"/>
              <w:left w:val="single" w:color="auto" w:sz="4" w:space="0"/>
              <w:bottom w:val="single" w:color="auto" w:sz="4" w:space="0"/>
              <w:right w:val="single" w:color="auto" w:sz="4" w:space="0"/>
            </w:tcBorders>
            <w:vAlign w:val="center"/>
          </w:tcPr>
          <w:p w14:paraId="7B3ED74A">
            <w:pPr>
              <w:rPr>
                <w:rFonts w:hint="eastAsia" w:ascii="宋体" w:hAnsi="宋体" w:cs="宋体"/>
                <w:b/>
                <w:sz w:val="24"/>
              </w:rPr>
            </w:pPr>
          </w:p>
        </w:tc>
        <w:tc>
          <w:tcPr>
            <w:tcW w:w="675" w:type="dxa"/>
            <w:tcBorders>
              <w:top w:val="single" w:color="auto" w:sz="4" w:space="0"/>
              <w:left w:val="single" w:color="auto" w:sz="4" w:space="0"/>
              <w:bottom w:val="single" w:color="auto" w:sz="4" w:space="0"/>
              <w:right w:val="single" w:color="auto" w:sz="4" w:space="0"/>
            </w:tcBorders>
            <w:vAlign w:val="center"/>
          </w:tcPr>
          <w:p w14:paraId="34D63CBA">
            <w:pPr>
              <w:rPr>
                <w:rFonts w:hint="eastAsia" w:ascii="宋体" w:hAnsi="宋体" w:cs="宋体"/>
                <w:b/>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19E47561">
            <w:pPr>
              <w:rPr>
                <w:rFonts w:hint="eastAsia" w:ascii="宋体" w:hAnsi="宋体" w:cs="宋体"/>
                <w:b/>
                <w:sz w:val="24"/>
              </w:rPr>
            </w:pPr>
          </w:p>
        </w:tc>
      </w:tr>
      <w:tr w14:paraId="112B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83A4CB7">
            <w:pPr>
              <w:jc w:val="center"/>
              <w:rPr>
                <w:rFonts w:hint="eastAsia" w:ascii="宋体" w:hAnsi="宋体" w:cs="宋体"/>
                <w:b/>
                <w:szCs w:val="21"/>
              </w:rPr>
            </w:pPr>
            <w:r>
              <w:rPr>
                <w:rFonts w:hint="eastAsia" w:ascii="宋体" w:hAnsi="宋体" w:cs="宋体"/>
                <w:b/>
                <w:szCs w:val="21"/>
              </w:rPr>
              <w:t>2</w:t>
            </w:r>
          </w:p>
        </w:tc>
        <w:tc>
          <w:tcPr>
            <w:tcW w:w="2743" w:type="dxa"/>
            <w:tcBorders>
              <w:top w:val="single" w:color="auto" w:sz="4" w:space="0"/>
              <w:left w:val="single" w:color="auto" w:sz="4" w:space="0"/>
              <w:bottom w:val="single" w:color="auto" w:sz="4" w:space="0"/>
              <w:right w:val="single" w:color="auto" w:sz="4" w:space="0"/>
            </w:tcBorders>
            <w:vAlign w:val="center"/>
          </w:tcPr>
          <w:p w14:paraId="7F9DD355">
            <w:pPr>
              <w:adjustRightInd w:val="0"/>
              <w:snapToGrid w:val="0"/>
              <w:spacing w:line="360" w:lineRule="auto"/>
              <w:jc w:val="left"/>
              <w:rPr>
                <w:rFonts w:hint="eastAsia" w:ascii="宋体" w:hAnsi="宋体" w:cs="宋体"/>
                <w:bCs/>
                <w:szCs w:val="21"/>
              </w:rPr>
            </w:pPr>
            <w:r>
              <w:rPr>
                <w:rFonts w:hint="eastAsia" w:ascii="宋体" w:hAnsi="宋体" w:cs="宋体"/>
                <w:szCs w:val="21"/>
              </w:rPr>
              <w:t>具有良好的商业信誉和健全的财务会计制度</w:t>
            </w:r>
          </w:p>
        </w:tc>
        <w:tc>
          <w:tcPr>
            <w:tcW w:w="4386" w:type="dxa"/>
            <w:tcBorders>
              <w:top w:val="single" w:color="auto" w:sz="4" w:space="0"/>
              <w:left w:val="single" w:color="auto" w:sz="4" w:space="0"/>
              <w:bottom w:val="single" w:color="auto" w:sz="4" w:space="0"/>
              <w:right w:val="single" w:color="auto" w:sz="4" w:space="0"/>
            </w:tcBorders>
            <w:vAlign w:val="center"/>
          </w:tcPr>
          <w:p w14:paraId="64C14F53">
            <w:pPr>
              <w:adjustRightInd w:val="0"/>
              <w:snapToGrid w:val="0"/>
              <w:spacing w:line="360" w:lineRule="auto"/>
              <w:jc w:val="left"/>
              <w:rPr>
                <w:szCs w:val="21"/>
              </w:rPr>
            </w:pPr>
            <w:r>
              <w:rPr>
                <w:rFonts w:hint="eastAsia"/>
                <w:szCs w:val="21"/>
              </w:rPr>
              <w:t>【提供承诺函加盖公章】</w:t>
            </w:r>
          </w:p>
        </w:tc>
        <w:tc>
          <w:tcPr>
            <w:tcW w:w="645" w:type="dxa"/>
            <w:tcBorders>
              <w:top w:val="single" w:color="auto" w:sz="4" w:space="0"/>
              <w:left w:val="single" w:color="auto" w:sz="4" w:space="0"/>
              <w:bottom w:val="single" w:color="auto" w:sz="4" w:space="0"/>
              <w:right w:val="single" w:color="auto" w:sz="4" w:space="0"/>
            </w:tcBorders>
            <w:vAlign w:val="center"/>
          </w:tcPr>
          <w:p w14:paraId="670D0F46">
            <w:pPr>
              <w:rPr>
                <w:rFonts w:hint="eastAsia" w:ascii="宋体" w:hAnsi="宋体" w:cs="宋体"/>
                <w:b/>
                <w:sz w:val="24"/>
              </w:rPr>
            </w:pPr>
          </w:p>
        </w:tc>
        <w:tc>
          <w:tcPr>
            <w:tcW w:w="675" w:type="dxa"/>
            <w:tcBorders>
              <w:top w:val="single" w:color="auto" w:sz="4" w:space="0"/>
              <w:left w:val="single" w:color="auto" w:sz="4" w:space="0"/>
              <w:bottom w:val="single" w:color="auto" w:sz="4" w:space="0"/>
              <w:right w:val="single" w:color="auto" w:sz="4" w:space="0"/>
            </w:tcBorders>
            <w:vAlign w:val="center"/>
          </w:tcPr>
          <w:p w14:paraId="7B0FCE63">
            <w:pPr>
              <w:rPr>
                <w:rFonts w:hint="eastAsia" w:ascii="宋体" w:hAnsi="宋体" w:cs="宋体"/>
                <w:b/>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286DA3A1">
            <w:pPr>
              <w:rPr>
                <w:rFonts w:hint="eastAsia" w:ascii="宋体" w:hAnsi="宋体" w:cs="宋体"/>
                <w:b/>
                <w:sz w:val="24"/>
              </w:rPr>
            </w:pPr>
          </w:p>
        </w:tc>
      </w:tr>
      <w:tr w14:paraId="5433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BC931F9">
            <w:pPr>
              <w:jc w:val="center"/>
              <w:rPr>
                <w:rFonts w:hint="eastAsia" w:ascii="宋体" w:hAnsi="宋体" w:cs="宋体"/>
                <w:b/>
                <w:szCs w:val="21"/>
              </w:rPr>
            </w:pPr>
            <w:r>
              <w:rPr>
                <w:rFonts w:hint="eastAsia" w:ascii="宋体" w:hAnsi="宋体" w:cs="宋体"/>
                <w:b/>
                <w:szCs w:val="21"/>
              </w:rPr>
              <w:t>3</w:t>
            </w:r>
          </w:p>
        </w:tc>
        <w:tc>
          <w:tcPr>
            <w:tcW w:w="2743" w:type="dxa"/>
            <w:tcBorders>
              <w:top w:val="single" w:color="auto" w:sz="4" w:space="0"/>
              <w:left w:val="single" w:color="auto" w:sz="4" w:space="0"/>
              <w:bottom w:val="single" w:color="auto" w:sz="4" w:space="0"/>
              <w:right w:val="single" w:color="auto" w:sz="4" w:space="0"/>
            </w:tcBorders>
            <w:vAlign w:val="center"/>
          </w:tcPr>
          <w:p w14:paraId="308EE337">
            <w:pPr>
              <w:adjustRightInd w:val="0"/>
              <w:snapToGrid w:val="0"/>
              <w:spacing w:line="360" w:lineRule="auto"/>
              <w:jc w:val="left"/>
              <w:rPr>
                <w:rFonts w:hint="eastAsia" w:ascii="宋体" w:hAnsi="宋体" w:cs="宋体"/>
                <w:bCs/>
                <w:szCs w:val="21"/>
              </w:rPr>
            </w:pPr>
            <w:r>
              <w:rPr>
                <w:rFonts w:hint="eastAsia" w:ascii="宋体" w:hAnsi="宋体" w:cs="宋体"/>
                <w:szCs w:val="21"/>
              </w:rPr>
              <w:t>有依法缴纳税收和社会保障资金的良好记录</w:t>
            </w:r>
          </w:p>
        </w:tc>
        <w:tc>
          <w:tcPr>
            <w:tcW w:w="4386" w:type="dxa"/>
            <w:tcBorders>
              <w:top w:val="single" w:color="auto" w:sz="4" w:space="0"/>
              <w:left w:val="single" w:color="auto" w:sz="4" w:space="0"/>
              <w:bottom w:val="single" w:color="auto" w:sz="4" w:space="0"/>
              <w:right w:val="single" w:color="auto" w:sz="4" w:space="0"/>
            </w:tcBorders>
            <w:vAlign w:val="center"/>
          </w:tcPr>
          <w:p w14:paraId="74AF92F0">
            <w:pPr>
              <w:adjustRightInd w:val="0"/>
              <w:snapToGrid w:val="0"/>
              <w:spacing w:line="360" w:lineRule="auto"/>
              <w:jc w:val="left"/>
              <w:rPr>
                <w:szCs w:val="21"/>
              </w:rPr>
            </w:pPr>
            <w:r>
              <w:rPr>
                <w:rFonts w:hint="eastAsia"/>
                <w:szCs w:val="21"/>
              </w:rPr>
              <w:t>【提供承诺函加盖公章】</w:t>
            </w:r>
          </w:p>
        </w:tc>
        <w:tc>
          <w:tcPr>
            <w:tcW w:w="645" w:type="dxa"/>
            <w:tcBorders>
              <w:top w:val="single" w:color="auto" w:sz="4" w:space="0"/>
              <w:left w:val="single" w:color="auto" w:sz="4" w:space="0"/>
              <w:bottom w:val="single" w:color="auto" w:sz="4" w:space="0"/>
              <w:right w:val="single" w:color="auto" w:sz="4" w:space="0"/>
            </w:tcBorders>
            <w:vAlign w:val="center"/>
          </w:tcPr>
          <w:p w14:paraId="0EA4F8DA">
            <w:pPr>
              <w:rPr>
                <w:rFonts w:hint="eastAsia" w:ascii="宋体" w:hAnsi="宋体" w:cs="宋体"/>
                <w:b/>
                <w:sz w:val="24"/>
              </w:rPr>
            </w:pPr>
          </w:p>
        </w:tc>
        <w:tc>
          <w:tcPr>
            <w:tcW w:w="675" w:type="dxa"/>
            <w:tcBorders>
              <w:top w:val="single" w:color="auto" w:sz="4" w:space="0"/>
              <w:left w:val="single" w:color="auto" w:sz="4" w:space="0"/>
              <w:bottom w:val="single" w:color="auto" w:sz="4" w:space="0"/>
              <w:right w:val="single" w:color="auto" w:sz="4" w:space="0"/>
            </w:tcBorders>
            <w:vAlign w:val="center"/>
          </w:tcPr>
          <w:p w14:paraId="69EB79D1">
            <w:pPr>
              <w:rPr>
                <w:rFonts w:hint="eastAsia" w:ascii="宋体" w:hAnsi="宋体" w:cs="宋体"/>
                <w:b/>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09AD30BA">
            <w:pPr>
              <w:rPr>
                <w:rFonts w:hint="eastAsia" w:ascii="宋体" w:hAnsi="宋体" w:cs="宋体"/>
                <w:b/>
                <w:sz w:val="24"/>
              </w:rPr>
            </w:pPr>
          </w:p>
        </w:tc>
      </w:tr>
      <w:tr w14:paraId="7D00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6C6157A">
            <w:pPr>
              <w:jc w:val="center"/>
              <w:rPr>
                <w:rFonts w:hint="eastAsia" w:ascii="宋体" w:hAnsi="宋体" w:cs="宋体"/>
                <w:b/>
                <w:szCs w:val="21"/>
              </w:rPr>
            </w:pPr>
            <w:r>
              <w:rPr>
                <w:rFonts w:hint="eastAsia" w:ascii="宋体" w:hAnsi="宋体" w:cs="宋体"/>
                <w:b/>
                <w:szCs w:val="21"/>
              </w:rPr>
              <w:t>4</w:t>
            </w:r>
          </w:p>
        </w:tc>
        <w:tc>
          <w:tcPr>
            <w:tcW w:w="2743" w:type="dxa"/>
            <w:tcBorders>
              <w:top w:val="single" w:color="auto" w:sz="4" w:space="0"/>
              <w:left w:val="single" w:color="auto" w:sz="4" w:space="0"/>
              <w:bottom w:val="single" w:color="auto" w:sz="4" w:space="0"/>
              <w:right w:val="single" w:color="auto" w:sz="4" w:space="0"/>
            </w:tcBorders>
            <w:vAlign w:val="center"/>
          </w:tcPr>
          <w:p w14:paraId="3832BA9E">
            <w:pPr>
              <w:adjustRightInd w:val="0"/>
              <w:snapToGrid w:val="0"/>
              <w:spacing w:line="360" w:lineRule="auto"/>
              <w:jc w:val="left"/>
              <w:rPr>
                <w:bCs/>
                <w:szCs w:val="21"/>
              </w:rPr>
            </w:pPr>
            <w:r>
              <w:rPr>
                <w:rFonts w:hint="eastAsia"/>
                <w:szCs w:val="21"/>
              </w:rPr>
              <w:t>具有履行合同所必需的设备和专业技术能力</w:t>
            </w:r>
          </w:p>
        </w:tc>
        <w:tc>
          <w:tcPr>
            <w:tcW w:w="4386" w:type="dxa"/>
            <w:tcBorders>
              <w:top w:val="single" w:color="auto" w:sz="4" w:space="0"/>
              <w:left w:val="single" w:color="auto" w:sz="4" w:space="0"/>
              <w:bottom w:val="single" w:color="auto" w:sz="4" w:space="0"/>
              <w:right w:val="single" w:color="auto" w:sz="4" w:space="0"/>
            </w:tcBorders>
            <w:vAlign w:val="center"/>
          </w:tcPr>
          <w:p w14:paraId="0D2E1C50">
            <w:pPr>
              <w:adjustRightInd w:val="0"/>
              <w:snapToGrid w:val="0"/>
              <w:spacing w:line="360" w:lineRule="auto"/>
              <w:jc w:val="left"/>
              <w:rPr>
                <w:szCs w:val="21"/>
              </w:rPr>
            </w:pPr>
            <w:r>
              <w:rPr>
                <w:rFonts w:hint="eastAsia"/>
                <w:szCs w:val="21"/>
              </w:rPr>
              <w:t>【提供声明书加盖公章，格式自拟】</w:t>
            </w:r>
          </w:p>
        </w:tc>
        <w:tc>
          <w:tcPr>
            <w:tcW w:w="645" w:type="dxa"/>
            <w:tcBorders>
              <w:top w:val="single" w:color="auto" w:sz="4" w:space="0"/>
              <w:left w:val="single" w:color="auto" w:sz="4" w:space="0"/>
              <w:bottom w:val="single" w:color="auto" w:sz="4" w:space="0"/>
              <w:right w:val="single" w:color="auto" w:sz="4" w:space="0"/>
            </w:tcBorders>
            <w:vAlign w:val="center"/>
          </w:tcPr>
          <w:p w14:paraId="3D00E588">
            <w:pPr>
              <w:rPr>
                <w:rFonts w:hint="eastAsia" w:ascii="宋体" w:hAnsi="宋体" w:cs="宋体"/>
                <w:b/>
                <w:sz w:val="24"/>
              </w:rPr>
            </w:pPr>
          </w:p>
        </w:tc>
        <w:tc>
          <w:tcPr>
            <w:tcW w:w="675" w:type="dxa"/>
            <w:tcBorders>
              <w:top w:val="single" w:color="auto" w:sz="4" w:space="0"/>
              <w:left w:val="single" w:color="auto" w:sz="4" w:space="0"/>
              <w:bottom w:val="single" w:color="auto" w:sz="4" w:space="0"/>
              <w:right w:val="single" w:color="auto" w:sz="4" w:space="0"/>
            </w:tcBorders>
            <w:vAlign w:val="center"/>
          </w:tcPr>
          <w:p w14:paraId="66725C49">
            <w:pPr>
              <w:rPr>
                <w:rFonts w:hint="eastAsia" w:ascii="宋体" w:hAnsi="宋体" w:cs="宋体"/>
                <w:b/>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4C4B3A1B">
            <w:pPr>
              <w:rPr>
                <w:rFonts w:hint="eastAsia" w:ascii="宋体" w:hAnsi="宋体" w:cs="宋体"/>
                <w:b/>
                <w:sz w:val="24"/>
              </w:rPr>
            </w:pPr>
          </w:p>
        </w:tc>
      </w:tr>
      <w:tr w14:paraId="73BC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868D5A5">
            <w:pPr>
              <w:jc w:val="center"/>
              <w:rPr>
                <w:rFonts w:hint="eastAsia" w:ascii="宋体" w:hAnsi="宋体" w:cs="宋体"/>
                <w:b/>
                <w:szCs w:val="21"/>
              </w:rPr>
            </w:pPr>
            <w:r>
              <w:rPr>
                <w:rFonts w:hint="eastAsia" w:ascii="宋体" w:hAnsi="宋体" w:cs="宋体"/>
                <w:b/>
                <w:szCs w:val="21"/>
              </w:rPr>
              <w:t>5</w:t>
            </w:r>
          </w:p>
        </w:tc>
        <w:tc>
          <w:tcPr>
            <w:tcW w:w="2743" w:type="dxa"/>
            <w:tcBorders>
              <w:top w:val="single" w:color="auto" w:sz="4" w:space="0"/>
              <w:left w:val="single" w:color="auto" w:sz="4" w:space="0"/>
              <w:bottom w:val="single" w:color="auto" w:sz="4" w:space="0"/>
              <w:right w:val="single" w:color="auto" w:sz="4" w:space="0"/>
            </w:tcBorders>
            <w:vAlign w:val="center"/>
          </w:tcPr>
          <w:p w14:paraId="58D8D59C">
            <w:pPr>
              <w:adjustRightInd w:val="0"/>
              <w:snapToGrid w:val="0"/>
              <w:spacing w:line="360" w:lineRule="auto"/>
              <w:jc w:val="left"/>
              <w:rPr>
                <w:bCs/>
                <w:szCs w:val="21"/>
              </w:rPr>
            </w:pPr>
            <w:r>
              <w:rPr>
                <w:rFonts w:hint="eastAsia"/>
                <w:szCs w:val="21"/>
              </w:rPr>
              <w:t>参加政府采购活动前三年内（成立不足三年的从成立之日起算），在经营活动中没有重大违法记录、无环保类行政处罚记录</w:t>
            </w:r>
          </w:p>
        </w:tc>
        <w:tc>
          <w:tcPr>
            <w:tcW w:w="4386" w:type="dxa"/>
            <w:tcBorders>
              <w:top w:val="single" w:color="auto" w:sz="4" w:space="0"/>
              <w:left w:val="single" w:color="auto" w:sz="4" w:space="0"/>
              <w:bottom w:val="single" w:color="auto" w:sz="4" w:space="0"/>
              <w:right w:val="single" w:color="auto" w:sz="4" w:space="0"/>
            </w:tcBorders>
            <w:vAlign w:val="center"/>
          </w:tcPr>
          <w:p w14:paraId="1187A421">
            <w:pPr>
              <w:adjustRightInd w:val="0"/>
              <w:snapToGrid w:val="0"/>
              <w:spacing w:line="360" w:lineRule="auto"/>
              <w:jc w:val="left"/>
              <w:rPr>
                <w:szCs w:val="21"/>
              </w:rPr>
            </w:pPr>
            <w:r>
              <w:rPr>
                <w:rFonts w:hint="eastAsia"/>
                <w:szCs w:val="21"/>
              </w:rPr>
              <w:t>【提供声明书加盖公章，格式自拟】</w:t>
            </w:r>
          </w:p>
        </w:tc>
        <w:tc>
          <w:tcPr>
            <w:tcW w:w="645" w:type="dxa"/>
            <w:tcBorders>
              <w:top w:val="single" w:color="auto" w:sz="4" w:space="0"/>
              <w:left w:val="single" w:color="auto" w:sz="4" w:space="0"/>
              <w:bottom w:val="single" w:color="auto" w:sz="4" w:space="0"/>
              <w:right w:val="single" w:color="auto" w:sz="4" w:space="0"/>
            </w:tcBorders>
            <w:vAlign w:val="center"/>
          </w:tcPr>
          <w:p w14:paraId="1BB05364">
            <w:pPr>
              <w:rPr>
                <w:rFonts w:hint="eastAsia" w:ascii="宋体" w:hAnsi="宋体" w:cs="宋体"/>
                <w:b/>
                <w:sz w:val="24"/>
              </w:rPr>
            </w:pPr>
          </w:p>
        </w:tc>
        <w:tc>
          <w:tcPr>
            <w:tcW w:w="675" w:type="dxa"/>
            <w:tcBorders>
              <w:top w:val="single" w:color="auto" w:sz="4" w:space="0"/>
              <w:left w:val="single" w:color="auto" w:sz="4" w:space="0"/>
              <w:bottom w:val="single" w:color="auto" w:sz="4" w:space="0"/>
              <w:right w:val="single" w:color="auto" w:sz="4" w:space="0"/>
            </w:tcBorders>
            <w:vAlign w:val="center"/>
          </w:tcPr>
          <w:p w14:paraId="567BEF28">
            <w:pPr>
              <w:rPr>
                <w:rFonts w:hint="eastAsia" w:ascii="宋体" w:hAnsi="宋体" w:cs="宋体"/>
                <w:b/>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6B92A479">
            <w:pPr>
              <w:rPr>
                <w:rFonts w:hint="eastAsia" w:ascii="宋体" w:hAnsi="宋体" w:cs="宋体"/>
                <w:b/>
                <w:sz w:val="24"/>
              </w:rPr>
            </w:pPr>
          </w:p>
        </w:tc>
      </w:tr>
      <w:tr w14:paraId="565B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A152FAD">
            <w:pPr>
              <w:jc w:val="center"/>
              <w:rPr>
                <w:rFonts w:hint="eastAsia" w:ascii="宋体" w:hAnsi="宋体" w:cs="宋体"/>
                <w:b/>
                <w:szCs w:val="21"/>
              </w:rPr>
            </w:pPr>
            <w:r>
              <w:rPr>
                <w:rFonts w:hint="eastAsia" w:ascii="宋体" w:hAnsi="宋体" w:cs="宋体"/>
                <w:b/>
                <w:szCs w:val="21"/>
              </w:rPr>
              <w:t>6</w:t>
            </w:r>
          </w:p>
        </w:tc>
        <w:tc>
          <w:tcPr>
            <w:tcW w:w="2743" w:type="dxa"/>
            <w:tcBorders>
              <w:top w:val="single" w:color="auto" w:sz="4" w:space="0"/>
              <w:left w:val="single" w:color="auto" w:sz="4" w:space="0"/>
              <w:bottom w:val="single" w:color="auto" w:sz="4" w:space="0"/>
              <w:right w:val="single" w:color="auto" w:sz="4" w:space="0"/>
            </w:tcBorders>
            <w:vAlign w:val="center"/>
          </w:tcPr>
          <w:p w14:paraId="09D2B99F">
            <w:pPr>
              <w:adjustRightInd w:val="0"/>
              <w:snapToGrid w:val="0"/>
              <w:spacing w:line="360" w:lineRule="auto"/>
              <w:jc w:val="left"/>
              <w:rPr>
                <w:rFonts w:hint="eastAsia" w:ascii="宋体" w:hAnsi="宋体" w:cs="宋体"/>
                <w:bCs/>
                <w:szCs w:val="21"/>
              </w:rPr>
            </w:pPr>
            <w:r>
              <w:rPr>
                <w:rFonts w:hint="eastAsia" w:ascii="宋体" w:hAnsi="宋体" w:cs="宋体"/>
                <w:kern w:val="0"/>
                <w:szCs w:val="21"/>
              </w:rPr>
              <w:t>供应商必须未被列入“信用中国”网站(www.creditchina.gov.cn)政府采购严重违法失信行为记录名单、重大税收违法失信主体和中国政府采购网( www.ccgp.gov.cn ) 的“政府采购严重违法失信行为记录名单”及中国执行信息公开网（http://zxgk.court.gov.cn/shixin/）的失信被执行人的供应商</w:t>
            </w:r>
          </w:p>
        </w:tc>
        <w:tc>
          <w:tcPr>
            <w:tcW w:w="4386" w:type="dxa"/>
            <w:tcBorders>
              <w:top w:val="single" w:color="auto" w:sz="4" w:space="0"/>
              <w:left w:val="single" w:color="auto" w:sz="4" w:space="0"/>
              <w:bottom w:val="single" w:color="auto" w:sz="4" w:space="0"/>
              <w:right w:val="single" w:color="auto" w:sz="4" w:space="0"/>
            </w:tcBorders>
            <w:vAlign w:val="center"/>
          </w:tcPr>
          <w:p w14:paraId="7427BDF5">
            <w:pPr>
              <w:adjustRightInd w:val="0"/>
              <w:snapToGrid w:val="0"/>
              <w:spacing w:line="360" w:lineRule="auto"/>
              <w:jc w:val="left"/>
              <w:rPr>
                <w:rFonts w:hint="eastAsia" w:ascii="宋体" w:hAnsi="宋体" w:cs="宋体"/>
                <w:szCs w:val="21"/>
              </w:rPr>
            </w:pPr>
            <w:r>
              <w:rPr>
                <w:rFonts w:hint="eastAsia" w:ascii="宋体" w:hAnsi="宋体" w:cs="宋体"/>
                <w:szCs w:val="21"/>
              </w:rPr>
              <w:t>【提供承诺函加盖公章】</w:t>
            </w:r>
          </w:p>
        </w:tc>
        <w:tc>
          <w:tcPr>
            <w:tcW w:w="645" w:type="dxa"/>
            <w:tcBorders>
              <w:top w:val="single" w:color="auto" w:sz="4" w:space="0"/>
              <w:left w:val="single" w:color="auto" w:sz="4" w:space="0"/>
              <w:bottom w:val="single" w:color="auto" w:sz="4" w:space="0"/>
              <w:right w:val="single" w:color="auto" w:sz="4" w:space="0"/>
            </w:tcBorders>
            <w:vAlign w:val="center"/>
          </w:tcPr>
          <w:p w14:paraId="33AF5EDC">
            <w:pPr>
              <w:rPr>
                <w:rFonts w:hint="eastAsia" w:ascii="宋体" w:hAnsi="宋体" w:cs="宋体"/>
                <w:b/>
                <w:sz w:val="24"/>
              </w:rPr>
            </w:pPr>
          </w:p>
        </w:tc>
        <w:tc>
          <w:tcPr>
            <w:tcW w:w="675" w:type="dxa"/>
            <w:tcBorders>
              <w:top w:val="single" w:color="auto" w:sz="4" w:space="0"/>
              <w:left w:val="single" w:color="auto" w:sz="4" w:space="0"/>
              <w:bottom w:val="single" w:color="auto" w:sz="4" w:space="0"/>
              <w:right w:val="single" w:color="auto" w:sz="4" w:space="0"/>
            </w:tcBorders>
            <w:vAlign w:val="center"/>
          </w:tcPr>
          <w:p w14:paraId="69D6E554">
            <w:pPr>
              <w:rPr>
                <w:rFonts w:hint="eastAsia" w:ascii="宋体" w:hAnsi="宋体" w:cs="宋体"/>
                <w:b/>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7428A553">
            <w:pPr>
              <w:rPr>
                <w:rFonts w:hint="eastAsia" w:ascii="宋体" w:hAnsi="宋体" w:cs="宋体"/>
                <w:b/>
                <w:sz w:val="24"/>
              </w:rPr>
            </w:pPr>
          </w:p>
        </w:tc>
      </w:tr>
      <w:tr w14:paraId="67B0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754589B">
            <w:pPr>
              <w:jc w:val="center"/>
              <w:rPr>
                <w:rFonts w:hint="eastAsia" w:ascii="宋体" w:hAnsi="宋体" w:cs="宋体"/>
                <w:b/>
                <w:szCs w:val="21"/>
              </w:rPr>
            </w:pPr>
            <w:r>
              <w:rPr>
                <w:rFonts w:hint="eastAsia" w:ascii="宋体" w:hAnsi="宋体" w:cs="宋体"/>
                <w:b/>
                <w:szCs w:val="21"/>
              </w:rPr>
              <w:t>7</w:t>
            </w:r>
          </w:p>
        </w:tc>
        <w:tc>
          <w:tcPr>
            <w:tcW w:w="2743" w:type="dxa"/>
            <w:tcBorders>
              <w:top w:val="single" w:color="auto" w:sz="4" w:space="0"/>
              <w:left w:val="single" w:color="auto" w:sz="4" w:space="0"/>
              <w:bottom w:val="single" w:color="auto" w:sz="4" w:space="0"/>
              <w:right w:val="single" w:color="auto" w:sz="4" w:space="0"/>
            </w:tcBorders>
            <w:vAlign w:val="center"/>
          </w:tcPr>
          <w:p w14:paraId="49D7F4FF">
            <w:pPr>
              <w:jc w:val="center"/>
              <w:rPr>
                <w:rFonts w:hint="eastAsia" w:ascii="宋体" w:hAnsi="宋体" w:cs="宋体"/>
              </w:rPr>
            </w:pPr>
            <w:r>
              <w:rPr>
                <w:rFonts w:hint="eastAsia" w:ascii="宋体" w:hAnsi="宋体" w:cs="宋体"/>
              </w:rPr>
              <w:t>法律、行政法规规定的其他条件</w:t>
            </w:r>
          </w:p>
        </w:tc>
        <w:tc>
          <w:tcPr>
            <w:tcW w:w="4386" w:type="dxa"/>
            <w:tcBorders>
              <w:top w:val="single" w:color="auto" w:sz="4" w:space="0"/>
              <w:left w:val="single" w:color="auto" w:sz="4" w:space="0"/>
              <w:bottom w:val="single" w:color="auto" w:sz="4" w:space="0"/>
              <w:right w:val="single" w:color="auto" w:sz="4" w:space="0"/>
            </w:tcBorders>
            <w:vAlign w:val="center"/>
          </w:tcPr>
          <w:p w14:paraId="7CDEA76F">
            <w:pPr>
              <w:jc w:val="center"/>
              <w:rPr>
                <w:rFonts w:hint="eastAsia" w:ascii="宋体" w:hAnsi="宋体" w:cs="宋体"/>
              </w:rPr>
            </w:pPr>
            <w:r>
              <w:rPr>
                <w:rFonts w:hint="eastAsia"/>
                <w:szCs w:val="21"/>
              </w:rPr>
              <w:t>【提供声明书加盖公章，格式自拟】</w:t>
            </w:r>
          </w:p>
        </w:tc>
        <w:tc>
          <w:tcPr>
            <w:tcW w:w="645" w:type="dxa"/>
            <w:tcBorders>
              <w:top w:val="single" w:color="auto" w:sz="4" w:space="0"/>
              <w:left w:val="single" w:color="auto" w:sz="4" w:space="0"/>
              <w:bottom w:val="single" w:color="auto" w:sz="4" w:space="0"/>
              <w:right w:val="single" w:color="auto" w:sz="4" w:space="0"/>
            </w:tcBorders>
            <w:vAlign w:val="center"/>
          </w:tcPr>
          <w:p w14:paraId="04CA5480">
            <w:pPr>
              <w:jc w:val="center"/>
              <w:rPr>
                <w:rFonts w:hint="eastAsia" w:ascii="宋体" w:hAnsi="宋体" w:cs="宋体"/>
                <w:b/>
                <w:sz w:val="24"/>
              </w:rPr>
            </w:pPr>
          </w:p>
        </w:tc>
        <w:tc>
          <w:tcPr>
            <w:tcW w:w="675" w:type="dxa"/>
            <w:tcBorders>
              <w:top w:val="single" w:color="auto" w:sz="4" w:space="0"/>
              <w:left w:val="single" w:color="auto" w:sz="4" w:space="0"/>
              <w:bottom w:val="single" w:color="auto" w:sz="4" w:space="0"/>
              <w:right w:val="single" w:color="auto" w:sz="4" w:space="0"/>
            </w:tcBorders>
            <w:vAlign w:val="center"/>
          </w:tcPr>
          <w:p w14:paraId="611859B0">
            <w:pPr>
              <w:jc w:val="center"/>
              <w:rPr>
                <w:rFonts w:hint="eastAsia" w:ascii="宋体" w:hAnsi="宋体" w:cs="宋体"/>
                <w:b/>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7E358EB3">
            <w:pPr>
              <w:jc w:val="center"/>
              <w:rPr>
                <w:rFonts w:hint="eastAsia" w:ascii="宋体" w:hAnsi="宋体" w:cs="宋体"/>
                <w:b/>
                <w:sz w:val="24"/>
              </w:rPr>
            </w:pPr>
          </w:p>
        </w:tc>
      </w:tr>
      <w:tr w14:paraId="4FFE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803" w:type="dxa"/>
            <w:gridSpan w:val="3"/>
            <w:tcBorders>
              <w:top w:val="single" w:color="auto" w:sz="4" w:space="0"/>
              <w:left w:val="single" w:color="auto" w:sz="4" w:space="0"/>
              <w:bottom w:val="single" w:color="auto" w:sz="4" w:space="0"/>
              <w:right w:val="single" w:color="auto" w:sz="4" w:space="0"/>
            </w:tcBorders>
            <w:vAlign w:val="center"/>
          </w:tcPr>
          <w:p w14:paraId="737D284D">
            <w:pPr>
              <w:jc w:val="center"/>
              <w:rPr>
                <w:rFonts w:hint="eastAsia" w:ascii="宋体" w:hAnsi="宋体" w:cs="宋体"/>
                <w:sz w:val="24"/>
              </w:rPr>
            </w:pPr>
            <w:r>
              <w:rPr>
                <w:rFonts w:hint="eastAsia" w:ascii="宋体" w:hAnsi="宋体" w:cs="宋体"/>
                <w:b/>
                <w:sz w:val="24"/>
              </w:rPr>
              <w:t>结       论</w:t>
            </w:r>
          </w:p>
        </w:tc>
        <w:tc>
          <w:tcPr>
            <w:tcW w:w="645" w:type="dxa"/>
            <w:tcBorders>
              <w:top w:val="single" w:color="auto" w:sz="4" w:space="0"/>
              <w:left w:val="single" w:color="auto" w:sz="4" w:space="0"/>
              <w:bottom w:val="single" w:color="auto" w:sz="4" w:space="0"/>
              <w:right w:val="single" w:color="auto" w:sz="4" w:space="0"/>
            </w:tcBorders>
            <w:vAlign w:val="center"/>
          </w:tcPr>
          <w:p w14:paraId="23800D28">
            <w:pPr>
              <w:jc w:val="center"/>
              <w:rPr>
                <w:rFonts w:hint="eastAsia" w:ascii="宋体" w:hAnsi="宋体" w:cs="宋体"/>
                <w:b/>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028582B0">
            <w:pPr>
              <w:jc w:val="center"/>
              <w:rPr>
                <w:rFonts w:hint="eastAsia" w:ascii="宋体" w:hAnsi="宋体" w:cs="宋体"/>
                <w:b/>
                <w:szCs w:val="21"/>
              </w:rPr>
            </w:pPr>
          </w:p>
        </w:tc>
        <w:tc>
          <w:tcPr>
            <w:tcW w:w="772" w:type="dxa"/>
            <w:tcBorders>
              <w:top w:val="single" w:color="auto" w:sz="4" w:space="0"/>
              <w:left w:val="single" w:color="auto" w:sz="4" w:space="0"/>
              <w:bottom w:val="single" w:color="auto" w:sz="4" w:space="0"/>
              <w:right w:val="single" w:color="auto" w:sz="4" w:space="0"/>
            </w:tcBorders>
            <w:vAlign w:val="center"/>
          </w:tcPr>
          <w:p w14:paraId="56F35488">
            <w:pPr>
              <w:jc w:val="center"/>
              <w:rPr>
                <w:rFonts w:hint="eastAsia" w:ascii="宋体" w:hAnsi="宋体" w:cs="宋体"/>
                <w:b/>
                <w:szCs w:val="21"/>
              </w:rPr>
            </w:pPr>
          </w:p>
        </w:tc>
      </w:tr>
    </w:tbl>
    <w:p w14:paraId="7B3AF9B7">
      <w:pPr>
        <w:pStyle w:val="19"/>
      </w:pPr>
    </w:p>
    <w:p w14:paraId="208ACA3C">
      <w:pPr>
        <w:spacing w:line="480" w:lineRule="exact"/>
        <w:rPr>
          <w:rFonts w:ascii="宋体"/>
          <w:sz w:val="24"/>
        </w:rPr>
      </w:pPr>
      <w:r>
        <w:rPr>
          <w:rFonts w:ascii="宋体" w:hAnsi="宋体" w:cs="宋体"/>
          <w:sz w:val="24"/>
        </w:rPr>
        <w:t>1</w:t>
      </w:r>
      <w:r>
        <w:rPr>
          <w:rFonts w:hint="eastAsia" w:ascii="宋体" w:hAnsi="宋体" w:cs="宋体"/>
          <w:sz w:val="24"/>
        </w:rPr>
        <w:t>、在表中的各项只需填写“√</w:t>
      </w:r>
      <w:r>
        <w:rPr>
          <w:rFonts w:ascii="宋体" w:hAnsi="宋体" w:cs="宋体"/>
          <w:sz w:val="24"/>
        </w:rPr>
        <w:t>/</w:t>
      </w:r>
      <w:r>
        <w:rPr>
          <w:rFonts w:hint="eastAsia" w:ascii="宋体" w:hAnsi="宋体" w:cs="宋体"/>
          <w:sz w:val="24"/>
        </w:rPr>
        <w:t>通过”或“×</w:t>
      </w:r>
      <w:r>
        <w:rPr>
          <w:rFonts w:ascii="宋体" w:hAnsi="宋体" w:cs="宋体"/>
          <w:sz w:val="24"/>
        </w:rPr>
        <w:t>/</w:t>
      </w:r>
      <w:r>
        <w:rPr>
          <w:rFonts w:hint="eastAsia" w:ascii="宋体" w:hAnsi="宋体" w:cs="宋体"/>
          <w:sz w:val="24"/>
        </w:rPr>
        <w:t>不通过”。</w:t>
      </w:r>
    </w:p>
    <w:p w14:paraId="077D10E1">
      <w:pPr>
        <w:spacing w:line="480" w:lineRule="exact"/>
        <w:ind w:firstLine="480" w:firstLineChars="200"/>
        <w:rPr>
          <w:rFonts w:ascii="宋体"/>
          <w:sz w:val="24"/>
        </w:rPr>
      </w:pPr>
      <w:r>
        <w:rPr>
          <w:rFonts w:ascii="宋体" w:hAnsi="宋体" w:cs="宋体"/>
          <w:sz w:val="24"/>
        </w:rPr>
        <w:t>2</w:t>
      </w:r>
      <w:r>
        <w:rPr>
          <w:rFonts w:hint="eastAsia" w:ascii="宋体" w:hAnsi="宋体" w:cs="宋体"/>
          <w:sz w:val="24"/>
        </w:rPr>
        <w:t>、在结论中按“一项否决”的原则，只有全部是√</w:t>
      </w:r>
      <w:r>
        <w:rPr>
          <w:rFonts w:ascii="宋体" w:hAnsi="宋体" w:cs="宋体"/>
          <w:sz w:val="24"/>
        </w:rPr>
        <w:t>/</w:t>
      </w:r>
      <w:r>
        <w:rPr>
          <w:rFonts w:hint="eastAsia" w:ascii="宋体" w:hAnsi="宋体" w:cs="宋体"/>
          <w:sz w:val="24"/>
        </w:rPr>
        <w:t>通过的，填写“合格”；只要其中有一项是×</w:t>
      </w:r>
      <w:r>
        <w:rPr>
          <w:rFonts w:ascii="宋体" w:hAnsi="宋体" w:cs="宋体"/>
          <w:sz w:val="24"/>
        </w:rPr>
        <w:t>/</w:t>
      </w:r>
      <w:r>
        <w:rPr>
          <w:rFonts w:hint="eastAsia" w:ascii="宋体" w:hAnsi="宋体" w:cs="宋体"/>
          <w:sz w:val="24"/>
        </w:rPr>
        <w:t>不通过的，填写“不合格”。</w:t>
      </w:r>
    </w:p>
    <w:p w14:paraId="63FD3A3D">
      <w:pPr>
        <w:tabs>
          <w:tab w:val="left" w:pos="1030"/>
        </w:tabs>
        <w:spacing w:line="380" w:lineRule="exact"/>
        <w:ind w:firstLine="480" w:firstLineChars="200"/>
      </w:pPr>
      <w:r>
        <w:rPr>
          <w:rFonts w:ascii="宋体" w:hAnsi="宋体" w:cs="宋体"/>
          <w:sz w:val="24"/>
        </w:rPr>
        <w:t>3</w:t>
      </w:r>
      <w:r>
        <w:rPr>
          <w:rFonts w:hint="eastAsia" w:ascii="宋体" w:hAnsi="宋体" w:cs="宋体"/>
          <w:sz w:val="24"/>
        </w:rPr>
        <w:t>、结论是合格的，才能进入下一轮；不合格的被淘汰</w:t>
      </w:r>
      <w:bookmarkStart w:id="165" w:name="_Toc501916572"/>
      <w:bookmarkStart w:id="166" w:name="_Toc27989"/>
      <w:bookmarkStart w:id="167" w:name="_Toc4617"/>
      <w:r>
        <w:rPr>
          <w:rFonts w:hint="eastAsia" w:ascii="宋体" w:hAnsi="宋体" w:cs="宋体"/>
          <w:sz w:val="24"/>
        </w:rPr>
        <w:t>。</w:t>
      </w:r>
    </w:p>
    <w:p w14:paraId="04B02056"/>
    <w:p w14:paraId="73D5457A"/>
    <w:p w14:paraId="57D7490A"/>
    <w:p w14:paraId="7919D7E0"/>
    <w:p w14:paraId="6F7BA502">
      <w:pPr>
        <w:pStyle w:val="9"/>
      </w:pPr>
    </w:p>
    <w:p w14:paraId="757628A5">
      <w:pPr>
        <w:pStyle w:val="9"/>
      </w:pPr>
    </w:p>
    <w:p w14:paraId="510249EF">
      <w:r>
        <w:rPr>
          <w:rFonts w:hint="eastAsia"/>
        </w:rPr>
        <w:br w:type="page"/>
      </w:r>
    </w:p>
    <w:p w14:paraId="5FDB49BD">
      <w:pPr>
        <w:pStyle w:val="4"/>
        <w:rPr>
          <w:rFonts w:hint="eastAsia" w:ascii="宋体" w:hAnsi="宋体"/>
        </w:rPr>
      </w:pPr>
      <w:r>
        <w:rPr>
          <w:rFonts w:hint="eastAsia" w:ascii="宋体" w:hAnsi="宋体"/>
        </w:rPr>
        <w:t>附件2：符合性审查表</w:t>
      </w:r>
      <w:bookmarkEnd w:id="165"/>
      <w:bookmarkEnd w:id="166"/>
      <w:bookmarkEnd w:id="167"/>
    </w:p>
    <w:p w14:paraId="7AA8B16C">
      <w:pPr>
        <w:jc w:val="center"/>
        <w:rPr>
          <w:b/>
          <w:bCs/>
          <w:sz w:val="28"/>
          <w:szCs w:val="28"/>
        </w:rPr>
      </w:pPr>
      <w:bookmarkStart w:id="168" w:name="_Toc29038"/>
      <w:bookmarkStart w:id="169" w:name="_Toc11800"/>
      <w:bookmarkStart w:id="170" w:name="_Toc5616076"/>
      <w:r>
        <w:rPr>
          <w:rFonts w:hint="eastAsia"/>
          <w:b/>
          <w:bCs/>
          <w:sz w:val="28"/>
          <w:szCs w:val="28"/>
        </w:rPr>
        <w:t>符合性审查表</w:t>
      </w:r>
      <w:bookmarkEnd w:id="168"/>
      <w:bookmarkEnd w:id="169"/>
      <w:bookmarkEnd w:id="170"/>
    </w:p>
    <w:p w14:paraId="34AB6D4D">
      <w:pPr>
        <w:shd w:val="clear" w:color="auto" w:fill="FFFFFF"/>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lang w:eastAsia="zh-CN"/>
        </w:rPr>
        <w:t>2024年医疗机构责任保险服务项目</w:t>
      </w:r>
      <w:r>
        <w:rPr>
          <w:rFonts w:hint="eastAsia" w:ascii="宋体" w:hAnsi="宋体" w:cs="宋体"/>
          <w:sz w:val="24"/>
        </w:rPr>
        <w:t xml:space="preserve">  </w:t>
      </w:r>
    </w:p>
    <w:p w14:paraId="2F8D008F">
      <w:pPr>
        <w:shd w:val="clear" w:color="auto" w:fill="FFFFFF"/>
        <w:spacing w:line="360" w:lineRule="auto"/>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lang w:eastAsia="zh-CN"/>
        </w:rPr>
        <w:t>HNJY2024【118】</w:t>
      </w:r>
    </w:p>
    <w:tbl>
      <w:tblPr>
        <w:tblStyle w:val="20"/>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135"/>
        <w:gridCol w:w="3997"/>
        <w:gridCol w:w="961"/>
        <w:gridCol w:w="1046"/>
        <w:gridCol w:w="991"/>
      </w:tblGrid>
      <w:tr w14:paraId="2A33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4F5B42C4">
            <w:pPr>
              <w:jc w:val="center"/>
              <w:rPr>
                <w:rFonts w:hint="eastAsia" w:ascii="宋体" w:hAnsi="宋体" w:cs="宋体"/>
                <w:b/>
                <w:sz w:val="24"/>
              </w:rPr>
            </w:pPr>
            <w:r>
              <w:rPr>
                <w:rFonts w:hint="eastAsia" w:ascii="宋体" w:hAnsi="宋体" w:cs="宋体"/>
                <w:b/>
                <w:sz w:val="24"/>
              </w:rPr>
              <w:t>序号</w:t>
            </w:r>
          </w:p>
        </w:tc>
        <w:tc>
          <w:tcPr>
            <w:tcW w:w="2135" w:type="dxa"/>
            <w:tcBorders>
              <w:top w:val="single" w:color="auto" w:sz="4" w:space="0"/>
              <w:left w:val="single" w:color="auto" w:sz="4" w:space="0"/>
              <w:bottom w:val="single" w:color="auto" w:sz="4" w:space="0"/>
              <w:right w:val="single" w:color="auto" w:sz="4" w:space="0"/>
            </w:tcBorders>
            <w:vAlign w:val="center"/>
          </w:tcPr>
          <w:p w14:paraId="7B1D4AB7">
            <w:pPr>
              <w:jc w:val="center"/>
              <w:rPr>
                <w:rFonts w:hint="eastAsia" w:ascii="宋体" w:hAnsi="宋体" w:cs="宋体"/>
                <w:b/>
                <w:sz w:val="24"/>
              </w:rPr>
            </w:pPr>
            <w:r>
              <w:rPr>
                <w:rFonts w:hint="eastAsia" w:ascii="宋体" w:hAnsi="宋体" w:cs="宋体"/>
                <w:b/>
                <w:sz w:val="24"/>
              </w:rPr>
              <w:t>审查项目</w:t>
            </w:r>
          </w:p>
        </w:tc>
        <w:tc>
          <w:tcPr>
            <w:tcW w:w="3997" w:type="dxa"/>
            <w:tcBorders>
              <w:top w:val="single" w:color="auto" w:sz="4" w:space="0"/>
              <w:left w:val="single" w:color="auto" w:sz="4" w:space="0"/>
              <w:bottom w:val="single" w:color="auto" w:sz="4" w:space="0"/>
              <w:right w:val="single" w:color="auto" w:sz="4" w:space="0"/>
            </w:tcBorders>
            <w:vAlign w:val="center"/>
          </w:tcPr>
          <w:p w14:paraId="2DC855CD">
            <w:pPr>
              <w:jc w:val="center"/>
              <w:rPr>
                <w:rFonts w:hint="eastAsia" w:ascii="宋体" w:hAnsi="宋体" w:cs="宋体"/>
                <w:b/>
                <w:sz w:val="24"/>
              </w:rPr>
            </w:pPr>
            <w:r>
              <w:rPr>
                <w:rFonts w:hint="eastAsia" w:ascii="宋体" w:hAnsi="宋体" w:cs="宋体"/>
                <w:b/>
                <w:sz w:val="24"/>
              </w:rPr>
              <w:t>评议内容</w:t>
            </w:r>
          </w:p>
        </w:tc>
        <w:tc>
          <w:tcPr>
            <w:tcW w:w="961" w:type="dxa"/>
            <w:tcBorders>
              <w:top w:val="single" w:color="auto" w:sz="4" w:space="0"/>
              <w:left w:val="single" w:color="auto" w:sz="4" w:space="0"/>
              <w:bottom w:val="single" w:color="auto" w:sz="4" w:space="0"/>
              <w:right w:val="single" w:color="auto" w:sz="4" w:space="0"/>
            </w:tcBorders>
            <w:vAlign w:val="center"/>
          </w:tcPr>
          <w:p w14:paraId="7990751B">
            <w:pPr>
              <w:jc w:val="center"/>
              <w:rPr>
                <w:rFonts w:hint="eastAsia" w:ascii="宋体" w:hAnsi="宋体" w:cs="宋体"/>
                <w:b/>
                <w:sz w:val="24"/>
              </w:rPr>
            </w:pPr>
            <w:r>
              <w:rPr>
                <w:rFonts w:hint="eastAsia" w:ascii="宋体" w:hAnsi="宋体" w:cs="宋体"/>
                <w:b/>
                <w:sz w:val="24"/>
              </w:rPr>
              <w:t>供应商1</w:t>
            </w:r>
          </w:p>
        </w:tc>
        <w:tc>
          <w:tcPr>
            <w:tcW w:w="1046" w:type="dxa"/>
            <w:tcBorders>
              <w:top w:val="single" w:color="auto" w:sz="4" w:space="0"/>
              <w:left w:val="single" w:color="auto" w:sz="4" w:space="0"/>
              <w:bottom w:val="single" w:color="auto" w:sz="4" w:space="0"/>
              <w:right w:val="single" w:color="auto" w:sz="4" w:space="0"/>
            </w:tcBorders>
            <w:vAlign w:val="center"/>
          </w:tcPr>
          <w:p w14:paraId="35E992A2">
            <w:pPr>
              <w:jc w:val="center"/>
              <w:rPr>
                <w:rFonts w:hint="eastAsia" w:ascii="宋体" w:hAnsi="宋体" w:cs="宋体"/>
                <w:b/>
                <w:sz w:val="24"/>
              </w:rPr>
            </w:pPr>
            <w:r>
              <w:rPr>
                <w:rFonts w:hint="eastAsia" w:ascii="宋体" w:hAnsi="宋体" w:cs="宋体"/>
                <w:b/>
                <w:sz w:val="24"/>
              </w:rPr>
              <w:t>供应商2</w:t>
            </w:r>
          </w:p>
        </w:tc>
        <w:tc>
          <w:tcPr>
            <w:tcW w:w="991" w:type="dxa"/>
            <w:tcBorders>
              <w:top w:val="single" w:color="auto" w:sz="4" w:space="0"/>
              <w:left w:val="single" w:color="auto" w:sz="4" w:space="0"/>
              <w:bottom w:val="single" w:color="auto" w:sz="4" w:space="0"/>
              <w:right w:val="single" w:color="auto" w:sz="4" w:space="0"/>
            </w:tcBorders>
            <w:vAlign w:val="center"/>
          </w:tcPr>
          <w:p w14:paraId="5CAB1436">
            <w:pPr>
              <w:jc w:val="center"/>
              <w:rPr>
                <w:rFonts w:hint="eastAsia" w:ascii="宋体" w:hAnsi="宋体" w:cs="宋体"/>
                <w:b/>
                <w:sz w:val="24"/>
              </w:rPr>
            </w:pPr>
            <w:r>
              <w:rPr>
                <w:rFonts w:hint="eastAsia" w:ascii="宋体" w:hAnsi="宋体" w:cs="宋体"/>
                <w:b/>
                <w:sz w:val="24"/>
              </w:rPr>
              <w:t>供应商3</w:t>
            </w:r>
          </w:p>
        </w:tc>
      </w:tr>
      <w:tr w14:paraId="3000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0B48A7A7">
            <w:pPr>
              <w:jc w:val="center"/>
              <w:rPr>
                <w:rFonts w:hint="eastAsia" w:ascii="宋体" w:hAnsi="宋体" w:cs="宋体"/>
                <w:b/>
                <w:sz w:val="24"/>
              </w:rPr>
            </w:pPr>
            <w:r>
              <w:rPr>
                <w:rFonts w:hint="eastAsia" w:ascii="宋体" w:hAnsi="宋体" w:cs="宋体"/>
                <w:b/>
                <w:sz w:val="24"/>
              </w:rPr>
              <w:t>1</w:t>
            </w:r>
          </w:p>
        </w:tc>
        <w:tc>
          <w:tcPr>
            <w:tcW w:w="2135" w:type="dxa"/>
            <w:tcBorders>
              <w:top w:val="single" w:color="auto" w:sz="4" w:space="0"/>
              <w:left w:val="single" w:color="auto" w:sz="4" w:space="0"/>
              <w:bottom w:val="single" w:color="auto" w:sz="4" w:space="0"/>
              <w:right w:val="single" w:color="auto" w:sz="4" w:space="0"/>
            </w:tcBorders>
          </w:tcPr>
          <w:p w14:paraId="7D545C39">
            <w:pPr>
              <w:spacing w:line="500" w:lineRule="exact"/>
              <w:jc w:val="center"/>
              <w:rPr>
                <w:rFonts w:hint="eastAsia" w:ascii="宋体" w:hAnsi="宋体" w:cs="宋体"/>
                <w:bCs/>
                <w:sz w:val="24"/>
              </w:rPr>
            </w:pPr>
            <w:r>
              <w:rPr>
                <w:rFonts w:hint="eastAsia" w:ascii="宋体" w:hAnsi="宋体" w:cs="宋体"/>
                <w:bCs/>
                <w:sz w:val="24"/>
              </w:rPr>
              <w:t>响应文件的</w:t>
            </w:r>
          </w:p>
          <w:p w14:paraId="2862FD81">
            <w:pPr>
              <w:spacing w:line="500" w:lineRule="exact"/>
              <w:rPr>
                <w:rFonts w:hint="eastAsia" w:ascii="宋体" w:hAnsi="宋体" w:cs="宋体"/>
                <w:bCs/>
                <w:sz w:val="24"/>
              </w:rPr>
            </w:pPr>
            <w:r>
              <w:rPr>
                <w:rFonts w:hint="eastAsia" w:ascii="宋体" w:hAnsi="宋体" w:cs="宋体"/>
                <w:bCs/>
                <w:sz w:val="24"/>
              </w:rPr>
              <w:t>有效性、完整性</w:t>
            </w:r>
          </w:p>
        </w:tc>
        <w:tc>
          <w:tcPr>
            <w:tcW w:w="3997" w:type="dxa"/>
            <w:tcBorders>
              <w:top w:val="single" w:color="auto" w:sz="4" w:space="0"/>
              <w:left w:val="single" w:color="auto" w:sz="4" w:space="0"/>
              <w:bottom w:val="single" w:color="auto" w:sz="4" w:space="0"/>
              <w:right w:val="single" w:color="auto" w:sz="4" w:space="0"/>
            </w:tcBorders>
          </w:tcPr>
          <w:p w14:paraId="78A40F02">
            <w:pPr>
              <w:spacing w:line="500" w:lineRule="exact"/>
              <w:rPr>
                <w:rFonts w:hint="eastAsia" w:ascii="宋体" w:hAnsi="宋体" w:cs="宋体"/>
                <w:sz w:val="24"/>
              </w:rPr>
            </w:pPr>
            <w:r>
              <w:rPr>
                <w:rFonts w:hint="eastAsia" w:ascii="宋体" w:hAnsi="宋体" w:cs="宋体"/>
                <w:sz w:val="24"/>
              </w:rPr>
              <w:t>是否符合磋商文件的样式和签署要求且内容完整无缺漏</w:t>
            </w:r>
          </w:p>
        </w:tc>
        <w:tc>
          <w:tcPr>
            <w:tcW w:w="961" w:type="dxa"/>
            <w:tcBorders>
              <w:top w:val="single" w:color="auto" w:sz="4" w:space="0"/>
              <w:left w:val="single" w:color="auto" w:sz="4" w:space="0"/>
              <w:bottom w:val="single" w:color="auto" w:sz="4" w:space="0"/>
              <w:right w:val="single" w:color="auto" w:sz="4" w:space="0"/>
            </w:tcBorders>
            <w:vAlign w:val="center"/>
          </w:tcPr>
          <w:p w14:paraId="48E0B510">
            <w:pPr>
              <w:rPr>
                <w:rFonts w:hint="eastAsia" w:ascii="宋体" w:hAnsi="宋体" w:cs="宋体"/>
                <w:b/>
                <w:sz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6F8F1208">
            <w:pPr>
              <w:rPr>
                <w:rFonts w:hint="eastAsia" w:ascii="宋体" w:hAnsi="宋体" w:cs="宋体"/>
                <w:b/>
                <w:sz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5EB3BA56">
            <w:pPr>
              <w:rPr>
                <w:rFonts w:hint="eastAsia" w:ascii="宋体" w:hAnsi="宋体" w:cs="宋体"/>
                <w:b/>
                <w:sz w:val="24"/>
              </w:rPr>
            </w:pPr>
          </w:p>
        </w:tc>
      </w:tr>
      <w:tr w14:paraId="5812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174E25A6">
            <w:pPr>
              <w:jc w:val="center"/>
              <w:rPr>
                <w:rFonts w:hint="eastAsia" w:ascii="宋体" w:hAnsi="宋体" w:cs="宋体"/>
                <w:b/>
                <w:sz w:val="24"/>
              </w:rPr>
            </w:pPr>
            <w:r>
              <w:rPr>
                <w:rFonts w:hint="eastAsia" w:ascii="宋体" w:hAnsi="宋体" w:cs="宋体"/>
                <w:b/>
                <w:sz w:val="24"/>
              </w:rPr>
              <w:t>2</w:t>
            </w:r>
          </w:p>
        </w:tc>
        <w:tc>
          <w:tcPr>
            <w:tcW w:w="2135" w:type="dxa"/>
            <w:tcBorders>
              <w:top w:val="single" w:color="auto" w:sz="4" w:space="0"/>
              <w:left w:val="single" w:color="auto" w:sz="4" w:space="0"/>
              <w:bottom w:val="single" w:color="auto" w:sz="4" w:space="0"/>
              <w:right w:val="single" w:color="auto" w:sz="4" w:space="0"/>
            </w:tcBorders>
            <w:vAlign w:val="center"/>
          </w:tcPr>
          <w:p w14:paraId="2C07096D">
            <w:pPr>
              <w:spacing w:line="500" w:lineRule="exact"/>
              <w:jc w:val="center"/>
              <w:rPr>
                <w:rFonts w:hint="eastAsia" w:ascii="宋体" w:hAnsi="宋体" w:cs="宋体"/>
                <w:bCs/>
                <w:sz w:val="24"/>
              </w:rPr>
            </w:pPr>
            <w:r>
              <w:rPr>
                <w:rFonts w:hint="eastAsia" w:ascii="宋体" w:hAnsi="宋体" w:cs="宋体"/>
                <w:bCs/>
                <w:sz w:val="24"/>
              </w:rPr>
              <w:t>响应有效期</w:t>
            </w:r>
          </w:p>
        </w:tc>
        <w:tc>
          <w:tcPr>
            <w:tcW w:w="3997" w:type="dxa"/>
            <w:tcBorders>
              <w:top w:val="single" w:color="auto" w:sz="4" w:space="0"/>
              <w:left w:val="single" w:color="auto" w:sz="4" w:space="0"/>
              <w:bottom w:val="single" w:color="auto" w:sz="4" w:space="0"/>
              <w:right w:val="single" w:color="auto" w:sz="4" w:space="0"/>
            </w:tcBorders>
            <w:vAlign w:val="center"/>
          </w:tcPr>
          <w:p w14:paraId="25017650">
            <w:pPr>
              <w:spacing w:line="500" w:lineRule="exact"/>
              <w:rPr>
                <w:rFonts w:hint="eastAsia" w:ascii="宋体" w:hAnsi="宋体" w:cs="宋体"/>
                <w:sz w:val="24"/>
              </w:rPr>
            </w:pPr>
            <w:r>
              <w:rPr>
                <w:rFonts w:hint="eastAsia" w:ascii="宋体" w:hAnsi="宋体" w:cs="宋体"/>
                <w:bCs/>
                <w:sz w:val="24"/>
              </w:rPr>
              <w:t>响应</w:t>
            </w:r>
            <w:r>
              <w:rPr>
                <w:rFonts w:hint="eastAsia" w:ascii="宋体" w:hAnsi="宋体" w:cs="宋体"/>
                <w:sz w:val="24"/>
              </w:rPr>
              <w:t>有效期是否满足60天</w:t>
            </w:r>
          </w:p>
        </w:tc>
        <w:tc>
          <w:tcPr>
            <w:tcW w:w="961" w:type="dxa"/>
            <w:tcBorders>
              <w:top w:val="single" w:color="auto" w:sz="4" w:space="0"/>
              <w:left w:val="single" w:color="auto" w:sz="4" w:space="0"/>
              <w:bottom w:val="single" w:color="auto" w:sz="4" w:space="0"/>
              <w:right w:val="single" w:color="auto" w:sz="4" w:space="0"/>
            </w:tcBorders>
            <w:vAlign w:val="center"/>
          </w:tcPr>
          <w:p w14:paraId="44249B20">
            <w:pPr>
              <w:rPr>
                <w:rFonts w:hint="eastAsia" w:ascii="宋体" w:hAnsi="宋体" w:cs="宋体"/>
                <w:b/>
                <w:sz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4B600014">
            <w:pPr>
              <w:rPr>
                <w:rFonts w:hint="eastAsia" w:ascii="宋体" w:hAnsi="宋体" w:cs="宋体"/>
                <w:b/>
                <w:sz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3CEFD6DB">
            <w:pPr>
              <w:rPr>
                <w:rFonts w:hint="eastAsia" w:ascii="宋体" w:hAnsi="宋体" w:cs="宋体"/>
                <w:b/>
                <w:sz w:val="24"/>
              </w:rPr>
            </w:pPr>
          </w:p>
        </w:tc>
      </w:tr>
      <w:tr w14:paraId="0491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5753895A">
            <w:pPr>
              <w:jc w:val="center"/>
              <w:rPr>
                <w:rFonts w:hint="eastAsia" w:ascii="宋体" w:hAnsi="宋体" w:cs="宋体"/>
                <w:b/>
                <w:sz w:val="24"/>
              </w:rPr>
            </w:pPr>
            <w:r>
              <w:rPr>
                <w:rFonts w:hint="eastAsia" w:ascii="宋体" w:hAnsi="宋体" w:cs="宋体"/>
                <w:b/>
                <w:sz w:val="24"/>
              </w:rPr>
              <w:t>3</w:t>
            </w:r>
          </w:p>
        </w:tc>
        <w:tc>
          <w:tcPr>
            <w:tcW w:w="2135" w:type="dxa"/>
            <w:tcBorders>
              <w:top w:val="single" w:color="auto" w:sz="4" w:space="0"/>
              <w:left w:val="single" w:color="auto" w:sz="4" w:space="0"/>
              <w:bottom w:val="single" w:color="auto" w:sz="4" w:space="0"/>
              <w:right w:val="single" w:color="auto" w:sz="4" w:space="0"/>
            </w:tcBorders>
            <w:vAlign w:val="center"/>
          </w:tcPr>
          <w:p w14:paraId="3AC92B0C">
            <w:pPr>
              <w:spacing w:line="500" w:lineRule="exact"/>
              <w:jc w:val="center"/>
              <w:rPr>
                <w:rFonts w:hint="eastAsia" w:ascii="宋体" w:hAnsi="宋体" w:cs="宋体"/>
                <w:bCs/>
                <w:sz w:val="24"/>
              </w:rPr>
            </w:pPr>
            <w:r>
              <w:rPr>
                <w:rFonts w:hint="eastAsia" w:ascii="宋体" w:hAnsi="宋体"/>
                <w:sz w:val="24"/>
                <w:shd w:val="clear" w:color="auto" w:fill="FFFFFF"/>
              </w:rPr>
              <w:t>合同履行期限（服务期）</w:t>
            </w:r>
          </w:p>
        </w:tc>
        <w:tc>
          <w:tcPr>
            <w:tcW w:w="3997" w:type="dxa"/>
            <w:tcBorders>
              <w:top w:val="single" w:color="auto" w:sz="4" w:space="0"/>
              <w:left w:val="single" w:color="auto" w:sz="4" w:space="0"/>
              <w:bottom w:val="single" w:color="auto" w:sz="4" w:space="0"/>
              <w:right w:val="single" w:color="auto" w:sz="4" w:space="0"/>
            </w:tcBorders>
            <w:vAlign w:val="center"/>
          </w:tcPr>
          <w:p w14:paraId="52852DAC">
            <w:pPr>
              <w:spacing w:line="500" w:lineRule="exact"/>
              <w:rPr>
                <w:rFonts w:hint="eastAsia" w:ascii="宋体" w:hAnsi="宋体" w:cs="宋体"/>
                <w:sz w:val="24"/>
              </w:rPr>
            </w:pPr>
            <w:r>
              <w:rPr>
                <w:rFonts w:hint="eastAsia" w:ascii="宋体" w:hAnsi="宋体" w:cs="宋体"/>
                <w:sz w:val="24"/>
              </w:rPr>
              <w:t>是否满足磋商文件要求</w:t>
            </w:r>
          </w:p>
        </w:tc>
        <w:tc>
          <w:tcPr>
            <w:tcW w:w="961" w:type="dxa"/>
            <w:tcBorders>
              <w:top w:val="single" w:color="auto" w:sz="4" w:space="0"/>
              <w:left w:val="single" w:color="auto" w:sz="4" w:space="0"/>
              <w:bottom w:val="single" w:color="auto" w:sz="4" w:space="0"/>
              <w:right w:val="single" w:color="auto" w:sz="4" w:space="0"/>
            </w:tcBorders>
            <w:vAlign w:val="center"/>
          </w:tcPr>
          <w:p w14:paraId="5A35EFCE">
            <w:pPr>
              <w:rPr>
                <w:rFonts w:hint="eastAsia" w:ascii="宋体" w:hAnsi="宋体" w:cs="宋体"/>
                <w:b/>
                <w:sz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623DA73F">
            <w:pPr>
              <w:rPr>
                <w:rFonts w:hint="eastAsia" w:ascii="宋体" w:hAnsi="宋体" w:cs="宋体"/>
                <w:b/>
                <w:sz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72460DED">
            <w:pPr>
              <w:rPr>
                <w:rFonts w:hint="eastAsia" w:ascii="宋体" w:hAnsi="宋体" w:cs="宋体"/>
                <w:b/>
                <w:sz w:val="24"/>
              </w:rPr>
            </w:pPr>
          </w:p>
        </w:tc>
      </w:tr>
      <w:tr w14:paraId="7F53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4FCA68AC">
            <w:pPr>
              <w:jc w:val="center"/>
              <w:rPr>
                <w:rFonts w:hint="eastAsia" w:ascii="宋体" w:hAnsi="宋体" w:cs="宋体"/>
                <w:b/>
                <w:sz w:val="24"/>
              </w:rPr>
            </w:pPr>
            <w:r>
              <w:rPr>
                <w:rFonts w:hint="eastAsia" w:ascii="宋体" w:hAnsi="宋体" w:cs="宋体"/>
                <w:b/>
                <w:sz w:val="24"/>
              </w:rPr>
              <w:t>4</w:t>
            </w:r>
          </w:p>
        </w:tc>
        <w:tc>
          <w:tcPr>
            <w:tcW w:w="2135" w:type="dxa"/>
            <w:tcBorders>
              <w:top w:val="single" w:color="auto" w:sz="4" w:space="0"/>
              <w:left w:val="single" w:color="auto" w:sz="4" w:space="0"/>
              <w:bottom w:val="single" w:color="auto" w:sz="4" w:space="0"/>
              <w:right w:val="single" w:color="auto" w:sz="4" w:space="0"/>
            </w:tcBorders>
            <w:vAlign w:val="center"/>
          </w:tcPr>
          <w:p w14:paraId="231E6999">
            <w:pPr>
              <w:spacing w:before="93" w:beforeLines="30" w:after="93" w:afterLines="30" w:line="500" w:lineRule="exact"/>
              <w:jc w:val="center"/>
              <w:rPr>
                <w:rFonts w:hint="eastAsia" w:ascii="宋体" w:hAnsi="宋体" w:cs="宋体"/>
                <w:bCs/>
                <w:sz w:val="24"/>
              </w:rPr>
            </w:pPr>
            <w:r>
              <w:rPr>
                <w:rFonts w:hint="eastAsia" w:ascii="宋体" w:hAnsi="宋体" w:cs="宋体"/>
                <w:bCs/>
                <w:sz w:val="24"/>
              </w:rPr>
              <w:t>报价项目完整性</w:t>
            </w:r>
          </w:p>
        </w:tc>
        <w:tc>
          <w:tcPr>
            <w:tcW w:w="3997" w:type="dxa"/>
            <w:tcBorders>
              <w:top w:val="single" w:color="auto" w:sz="4" w:space="0"/>
              <w:left w:val="single" w:color="auto" w:sz="4" w:space="0"/>
              <w:bottom w:val="single" w:color="auto" w:sz="4" w:space="0"/>
              <w:right w:val="single" w:color="auto" w:sz="4" w:space="0"/>
            </w:tcBorders>
            <w:vAlign w:val="center"/>
          </w:tcPr>
          <w:p w14:paraId="60C5E7A0">
            <w:pPr>
              <w:spacing w:line="500" w:lineRule="exact"/>
              <w:rPr>
                <w:rFonts w:hint="eastAsia" w:ascii="宋体" w:hAnsi="宋体" w:cs="宋体"/>
                <w:sz w:val="24"/>
              </w:rPr>
            </w:pPr>
            <w:r>
              <w:rPr>
                <w:rFonts w:hint="eastAsia" w:ascii="宋体" w:hAnsi="宋体" w:cs="宋体"/>
                <w:sz w:val="24"/>
              </w:rPr>
              <w:t>是否对本项目内所有的内容进行响应，漏报其响应将被拒绝；报价是否有效</w:t>
            </w:r>
          </w:p>
        </w:tc>
        <w:tc>
          <w:tcPr>
            <w:tcW w:w="961" w:type="dxa"/>
            <w:tcBorders>
              <w:top w:val="single" w:color="auto" w:sz="4" w:space="0"/>
              <w:left w:val="single" w:color="auto" w:sz="4" w:space="0"/>
              <w:bottom w:val="single" w:color="auto" w:sz="4" w:space="0"/>
              <w:right w:val="single" w:color="auto" w:sz="4" w:space="0"/>
            </w:tcBorders>
            <w:vAlign w:val="center"/>
          </w:tcPr>
          <w:p w14:paraId="2353C52F">
            <w:pPr>
              <w:rPr>
                <w:rFonts w:hint="eastAsia" w:ascii="宋体" w:hAnsi="宋体" w:cs="宋体"/>
                <w:b/>
                <w:sz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5FC070AB">
            <w:pPr>
              <w:rPr>
                <w:rFonts w:hint="eastAsia" w:ascii="宋体" w:hAnsi="宋体" w:cs="宋体"/>
                <w:b/>
                <w:sz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74AF2CBB">
            <w:pPr>
              <w:rPr>
                <w:rFonts w:hint="eastAsia" w:ascii="宋体" w:hAnsi="宋体" w:cs="宋体"/>
                <w:b/>
                <w:sz w:val="24"/>
              </w:rPr>
            </w:pPr>
          </w:p>
        </w:tc>
      </w:tr>
      <w:tr w14:paraId="4509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520E6B0D">
            <w:pPr>
              <w:jc w:val="center"/>
              <w:rPr>
                <w:rFonts w:hint="eastAsia" w:ascii="宋体" w:hAnsi="宋体" w:cs="宋体"/>
                <w:b/>
                <w:sz w:val="24"/>
              </w:rPr>
            </w:pPr>
            <w:r>
              <w:rPr>
                <w:rFonts w:hint="eastAsia" w:ascii="宋体" w:hAnsi="宋体" w:cs="宋体"/>
                <w:b/>
                <w:sz w:val="24"/>
              </w:rPr>
              <w:t>5</w:t>
            </w:r>
          </w:p>
        </w:tc>
        <w:tc>
          <w:tcPr>
            <w:tcW w:w="2135" w:type="dxa"/>
            <w:tcBorders>
              <w:top w:val="single" w:color="auto" w:sz="4" w:space="0"/>
              <w:left w:val="single" w:color="auto" w:sz="4" w:space="0"/>
              <w:bottom w:val="single" w:color="auto" w:sz="4" w:space="0"/>
              <w:right w:val="single" w:color="auto" w:sz="4" w:space="0"/>
            </w:tcBorders>
            <w:vAlign w:val="center"/>
          </w:tcPr>
          <w:p w14:paraId="0E2DB4DB">
            <w:pPr>
              <w:spacing w:line="500" w:lineRule="exact"/>
              <w:jc w:val="center"/>
              <w:rPr>
                <w:rFonts w:hint="eastAsia" w:ascii="宋体" w:hAnsi="宋体" w:cs="宋体"/>
                <w:bCs/>
                <w:sz w:val="24"/>
              </w:rPr>
            </w:pPr>
            <w:r>
              <w:rPr>
                <w:rFonts w:hint="eastAsia" w:ascii="宋体" w:hAnsi="宋体" w:cs="宋体"/>
                <w:bCs/>
                <w:sz w:val="24"/>
              </w:rPr>
              <w:t>实质性响应</w:t>
            </w:r>
          </w:p>
        </w:tc>
        <w:tc>
          <w:tcPr>
            <w:tcW w:w="3997" w:type="dxa"/>
            <w:tcBorders>
              <w:top w:val="single" w:color="auto" w:sz="4" w:space="0"/>
              <w:left w:val="single" w:color="auto" w:sz="4" w:space="0"/>
              <w:bottom w:val="single" w:color="auto" w:sz="4" w:space="0"/>
              <w:right w:val="single" w:color="auto" w:sz="4" w:space="0"/>
            </w:tcBorders>
            <w:vAlign w:val="center"/>
          </w:tcPr>
          <w:p w14:paraId="0A7FF4F4">
            <w:pPr>
              <w:spacing w:line="500" w:lineRule="exact"/>
              <w:rPr>
                <w:rFonts w:hint="eastAsia" w:ascii="宋体" w:hAnsi="宋体" w:cs="宋体"/>
                <w:sz w:val="24"/>
              </w:rPr>
            </w:pPr>
            <w:r>
              <w:rPr>
                <w:rFonts w:hint="eastAsia" w:ascii="宋体" w:hAnsi="宋体" w:cs="宋体"/>
                <w:sz w:val="24"/>
              </w:rPr>
              <w:t>是否能完全满足第三部分 采购需求内容</w:t>
            </w:r>
          </w:p>
        </w:tc>
        <w:tc>
          <w:tcPr>
            <w:tcW w:w="961" w:type="dxa"/>
            <w:tcBorders>
              <w:top w:val="single" w:color="auto" w:sz="4" w:space="0"/>
              <w:left w:val="single" w:color="auto" w:sz="4" w:space="0"/>
              <w:bottom w:val="single" w:color="auto" w:sz="4" w:space="0"/>
              <w:right w:val="single" w:color="auto" w:sz="4" w:space="0"/>
            </w:tcBorders>
            <w:vAlign w:val="center"/>
          </w:tcPr>
          <w:p w14:paraId="69E4DB60">
            <w:pPr>
              <w:rPr>
                <w:rFonts w:hint="eastAsia" w:ascii="宋体" w:hAnsi="宋体" w:cs="宋体"/>
                <w:b/>
                <w:sz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0BC0EE8F">
            <w:pPr>
              <w:rPr>
                <w:rFonts w:hint="eastAsia" w:ascii="宋体" w:hAnsi="宋体" w:cs="宋体"/>
                <w:b/>
                <w:sz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038CA105">
            <w:pPr>
              <w:rPr>
                <w:rFonts w:hint="eastAsia" w:ascii="宋体" w:hAnsi="宋体" w:cs="宋体"/>
                <w:b/>
                <w:sz w:val="24"/>
              </w:rPr>
            </w:pPr>
          </w:p>
        </w:tc>
      </w:tr>
      <w:tr w14:paraId="4F91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14:paraId="298ADC76">
            <w:pPr>
              <w:jc w:val="center"/>
              <w:rPr>
                <w:rFonts w:hint="eastAsia" w:ascii="宋体" w:hAnsi="宋体" w:cs="宋体"/>
                <w:b/>
                <w:sz w:val="24"/>
              </w:rPr>
            </w:pPr>
            <w:r>
              <w:rPr>
                <w:rFonts w:hint="eastAsia" w:ascii="宋体" w:hAnsi="宋体" w:cs="宋体"/>
                <w:b/>
                <w:sz w:val="24"/>
              </w:rPr>
              <w:t>6</w:t>
            </w:r>
          </w:p>
        </w:tc>
        <w:tc>
          <w:tcPr>
            <w:tcW w:w="2135" w:type="dxa"/>
            <w:tcBorders>
              <w:top w:val="single" w:color="auto" w:sz="4" w:space="0"/>
              <w:left w:val="single" w:color="auto" w:sz="4" w:space="0"/>
              <w:bottom w:val="single" w:color="auto" w:sz="4" w:space="0"/>
              <w:right w:val="single" w:color="auto" w:sz="4" w:space="0"/>
            </w:tcBorders>
            <w:vAlign w:val="center"/>
          </w:tcPr>
          <w:p w14:paraId="4F3872AF">
            <w:pPr>
              <w:spacing w:line="500" w:lineRule="exact"/>
              <w:jc w:val="center"/>
              <w:rPr>
                <w:rFonts w:hint="eastAsia" w:ascii="宋体" w:hAnsi="宋体" w:cs="宋体"/>
                <w:b/>
                <w:sz w:val="24"/>
              </w:rPr>
            </w:pPr>
            <w:r>
              <w:rPr>
                <w:rFonts w:hint="eastAsia" w:ascii="宋体" w:hAnsi="宋体" w:cs="宋体"/>
                <w:sz w:val="24"/>
              </w:rPr>
              <w:t>其它</w:t>
            </w:r>
          </w:p>
        </w:tc>
        <w:tc>
          <w:tcPr>
            <w:tcW w:w="3997" w:type="dxa"/>
            <w:tcBorders>
              <w:top w:val="single" w:color="auto" w:sz="4" w:space="0"/>
              <w:left w:val="single" w:color="auto" w:sz="4" w:space="0"/>
              <w:bottom w:val="single" w:color="auto" w:sz="4" w:space="0"/>
              <w:right w:val="single" w:color="auto" w:sz="4" w:space="0"/>
            </w:tcBorders>
            <w:vAlign w:val="center"/>
          </w:tcPr>
          <w:p w14:paraId="439478EB">
            <w:pPr>
              <w:spacing w:line="500" w:lineRule="exact"/>
              <w:rPr>
                <w:rFonts w:hint="eastAsia" w:ascii="宋体" w:hAnsi="宋体" w:cs="宋体"/>
                <w:sz w:val="24"/>
              </w:rPr>
            </w:pPr>
            <w:r>
              <w:rPr>
                <w:rFonts w:hint="eastAsia" w:ascii="宋体" w:hAnsi="宋体" w:cs="宋体"/>
                <w:sz w:val="24"/>
              </w:rPr>
              <w:t>是否有其它无效报价认定条件</w:t>
            </w:r>
          </w:p>
        </w:tc>
        <w:tc>
          <w:tcPr>
            <w:tcW w:w="961" w:type="dxa"/>
            <w:tcBorders>
              <w:top w:val="single" w:color="auto" w:sz="4" w:space="0"/>
              <w:left w:val="single" w:color="auto" w:sz="4" w:space="0"/>
              <w:bottom w:val="single" w:color="auto" w:sz="4" w:space="0"/>
              <w:right w:val="single" w:color="auto" w:sz="4" w:space="0"/>
            </w:tcBorders>
            <w:vAlign w:val="center"/>
          </w:tcPr>
          <w:p w14:paraId="31EFA4F1">
            <w:pPr>
              <w:rPr>
                <w:rFonts w:hint="eastAsia" w:ascii="宋体" w:hAnsi="宋体" w:cs="宋体"/>
                <w:b/>
                <w:sz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519775A9">
            <w:pPr>
              <w:rPr>
                <w:rFonts w:hint="eastAsia" w:ascii="宋体" w:hAnsi="宋体" w:cs="宋体"/>
                <w:b/>
                <w:sz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3A89B281">
            <w:pPr>
              <w:rPr>
                <w:rFonts w:hint="eastAsia" w:ascii="宋体" w:hAnsi="宋体" w:cs="宋体"/>
                <w:b/>
                <w:sz w:val="24"/>
              </w:rPr>
            </w:pPr>
          </w:p>
        </w:tc>
      </w:tr>
      <w:tr w14:paraId="7DA0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634" w:type="dxa"/>
            <w:gridSpan w:val="3"/>
            <w:tcBorders>
              <w:top w:val="single" w:color="auto" w:sz="4" w:space="0"/>
              <w:left w:val="single" w:color="auto" w:sz="4" w:space="0"/>
              <w:bottom w:val="single" w:color="auto" w:sz="4" w:space="0"/>
              <w:right w:val="single" w:color="auto" w:sz="4" w:space="0"/>
            </w:tcBorders>
            <w:vAlign w:val="center"/>
          </w:tcPr>
          <w:p w14:paraId="2A0239C1">
            <w:pPr>
              <w:jc w:val="center"/>
              <w:rPr>
                <w:rFonts w:hint="eastAsia" w:ascii="宋体" w:hAnsi="宋体" w:cs="宋体"/>
                <w:sz w:val="24"/>
              </w:rPr>
            </w:pPr>
            <w:r>
              <w:rPr>
                <w:rFonts w:hint="eastAsia" w:ascii="宋体" w:hAnsi="宋体" w:cs="宋体"/>
                <w:b/>
                <w:sz w:val="24"/>
              </w:rPr>
              <w:t>结       论</w:t>
            </w:r>
          </w:p>
        </w:tc>
        <w:tc>
          <w:tcPr>
            <w:tcW w:w="961" w:type="dxa"/>
            <w:tcBorders>
              <w:top w:val="single" w:color="auto" w:sz="4" w:space="0"/>
              <w:left w:val="single" w:color="auto" w:sz="4" w:space="0"/>
              <w:bottom w:val="single" w:color="auto" w:sz="4" w:space="0"/>
              <w:right w:val="single" w:color="auto" w:sz="4" w:space="0"/>
            </w:tcBorders>
            <w:vAlign w:val="center"/>
          </w:tcPr>
          <w:p w14:paraId="326E5E55">
            <w:pPr>
              <w:rPr>
                <w:rFonts w:hint="eastAsia" w:ascii="宋体" w:hAnsi="宋体" w:cs="宋体"/>
                <w:b/>
                <w:sz w:val="24"/>
              </w:rPr>
            </w:pPr>
          </w:p>
        </w:tc>
        <w:tc>
          <w:tcPr>
            <w:tcW w:w="1046" w:type="dxa"/>
            <w:tcBorders>
              <w:top w:val="single" w:color="auto" w:sz="4" w:space="0"/>
              <w:left w:val="single" w:color="auto" w:sz="4" w:space="0"/>
              <w:bottom w:val="single" w:color="auto" w:sz="4" w:space="0"/>
              <w:right w:val="single" w:color="auto" w:sz="4" w:space="0"/>
            </w:tcBorders>
            <w:vAlign w:val="center"/>
          </w:tcPr>
          <w:p w14:paraId="4F25A5B7">
            <w:pPr>
              <w:rPr>
                <w:rFonts w:hint="eastAsia" w:ascii="宋体" w:hAnsi="宋体" w:cs="宋体"/>
                <w:b/>
                <w:sz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72533837">
            <w:pPr>
              <w:rPr>
                <w:rFonts w:hint="eastAsia" w:ascii="宋体" w:hAnsi="宋体" w:cs="宋体"/>
                <w:b/>
                <w:sz w:val="24"/>
              </w:rPr>
            </w:pPr>
          </w:p>
        </w:tc>
      </w:tr>
    </w:tbl>
    <w:p w14:paraId="147D7D19">
      <w:pPr>
        <w:pStyle w:val="19"/>
        <w:ind w:firstLine="480"/>
        <w:rPr>
          <w:sz w:val="24"/>
        </w:rPr>
      </w:pPr>
    </w:p>
    <w:p w14:paraId="2D34E274">
      <w:pPr>
        <w:spacing w:line="480" w:lineRule="exact"/>
        <w:rPr>
          <w:rFonts w:ascii="宋体"/>
          <w:sz w:val="24"/>
        </w:rPr>
      </w:pPr>
      <w:r>
        <w:rPr>
          <w:rFonts w:ascii="宋体" w:hAnsi="宋体" w:cs="宋体"/>
          <w:sz w:val="24"/>
        </w:rPr>
        <w:t>1</w:t>
      </w:r>
      <w:r>
        <w:rPr>
          <w:rFonts w:hint="eastAsia" w:ascii="宋体" w:hAnsi="宋体" w:cs="宋体"/>
          <w:sz w:val="24"/>
        </w:rPr>
        <w:t>、在表中的各项只需填写“√</w:t>
      </w:r>
      <w:r>
        <w:rPr>
          <w:rFonts w:ascii="宋体" w:hAnsi="宋体" w:cs="宋体"/>
          <w:sz w:val="24"/>
        </w:rPr>
        <w:t>/</w:t>
      </w:r>
      <w:r>
        <w:rPr>
          <w:rFonts w:hint="eastAsia" w:ascii="宋体" w:hAnsi="宋体" w:cs="宋体"/>
          <w:sz w:val="24"/>
        </w:rPr>
        <w:t>通过”或“×</w:t>
      </w:r>
      <w:r>
        <w:rPr>
          <w:rFonts w:ascii="宋体" w:hAnsi="宋体" w:cs="宋体"/>
          <w:sz w:val="24"/>
        </w:rPr>
        <w:t>/</w:t>
      </w:r>
      <w:r>
        <w:rPr>
          <w:rFonts w:hint="eastAsia" w:ascii="宋体" w:hAnsi="宋体" w:cs="宋体"/>
          <w:sz w:val="24"/>
        </w:rPr>
        <w:t>不通过”。</w:t>
      </w:r>
    </w:p>
    <w:p w14:paraId="60E042B9">
      <w:pPr>
        <w:spacing w:line="480" w:lineRule="exact"/>
        <w:ind w:firstLine="480" w:firstLineChars="200"/>
        <w:rPr>
          <w:rFonts w:ascii="宋体"/>
          <w:sz w:val="24"/>
        </w:rPr>
      </w:pPr>
      <w:r>
        <w:rPr>
          <w:rFonts w:ascii="宋体" w:hAnsi="宋体" w:cs="宋体"/>
          <w:sz w:val="24"/>
        </w:rPr>
        <w:t>2</w:t>
      </w:r>
      <w:r>
        <w:rPr>
          <w:rFonts w:hint="eastAsia" w:ascii="宋体" w:hAnsi="宋体" w:cs="宋体"/>
          <w:sz w:val="24"/>
        </w:rPr>
        <w:t>、在结论中按“一项否决”的原则，只有全部是√</w:t>
      </w:r>
      <w:r>
        <w:rPr>
          <w:rFonts w:ascii="宋体" w:hAnsi="宋体" w:cs="宋体"/>
          <w:sz w:val="24"/>
        </w:rPr>
        <w:t>/</w:t>
      </w:r>
      <w:r>
        <w:rPr>
          <w:rFonts w:hint="eastAsia" w:ascii="宋体" w:hAnsi="宋体" w:cs="宋体"/>
          <w:sz w:val="24"/>
        </w:rPr>
        <w:t>通过的，填写“合格”；只要其中有一项是×</w:t>
      </w:r>
      <w:r>
        <w:rPr>
          <w:rFonts w:ascii="宋体" w:hAnsi="宋体" w:cs="宋体"/>
          <w:sz w:val="24"/>
        </w:rPr>
        <w:t>/</w:t>
      </w:r>
      <w:r>
        <w:rPr>
          <w:rFonts w:hint="eastAsia" w:ascii="宋体" w:hAnsi="宋体" w:cs="宋体"/>
          <w:sz w:val="24"/>
        </w:rPr>
        <w:t>不通过的，填写“不合格”。</w:t>
      </w:r>
    </w:p>
    <w:p w14:paraId="166C9118">
      <w:pPr>
        <w:tabs>
          <w:tab w:val="left" w:pos="1030"/>
        </w:tabs>
        <w:spacing w:line="380" w:lineRule="exact"/>
        <w:ind w:firstLine="480" w:firstLineChars="200"/>
        <w:rPr>
          <w:rFonts w:ascii="宋体" w:cs="宋体"/>
          <w:sz w:val="24"/>
        </w:rPr>
      </w:pPr>
      <w:r>
        <w:rPr>
          <w:rFonts w:ascii="宋体" w:hAnsi="宋体" w:cs="宋体"/>
          <w:sz w:val="24"/>
        </w:rPr>
        <w:t>3</w:t>
      </w:r>
      <w:r>
        <w:rPr>
          <w:rFonts w:hint="eastAsia" w:ascii="宋体" w:hAnsi="宋体" w:cs="宋体"/>
          <w:sz w:val="24"/>
        </w:rPr>
        <w:t>、结论是合格的，才能进入下一轮；不合格的被淘汰。</w:t>
      </w:r>
    </w:p>
    <w:p w14:paraId="5E07100C">
      <w:pPr>
        <w:widowControl/>
        <w:autoSpaceDN w:val="0"/>
        <w:spacing w:line="360" w:lineRule="auto"/>
        <w:ind w:firstLine="482" w:firstLineChars="200"/>
        <w:rPr>
          <w:rFonts w:hint="eastAsia" w:ascii="宋体" w:hAnsi="宋体" w:cs="宋体"/>
          <w:b/>
          <w:bCs/>
          <w:kern w:val="0"/>
          <w:sz w:val="24"/>
        </w:rPr>
      </w:pPr>
    </w:p>
    <w:p w14:paraId="4FFF7D64">
      <w:pPr>
        <w:pStyle w:val="4"/>
        <w:rPr>
          <w:rStyle w:val="28"/>
          <w:rFonts w:hint="eastAsia"/>
          <w:b/>
          <w:bCs w:val="0"/>
        </w:rPr>
      </w:pPr>
      <w:r>
        <w:rPr>
          <w:rFonts w:hint="eastAsia" w:ascii="宋体" w:hAnsi="宋体" w:cs="宋体"/>
          <w:bCs/>
          <w:kern w:val="0"/>
          <w:sz w:val="32"/>
        </w:rPr>
        <w:br w:type="page"/>
      </w:r>
      <w:bookmarkStart w:id="171" w:name="_Toc10471"/>
      <w:r>
        <w:rPr>
          <w:rFonts w:hint="eastAsia"/>
        </w:rPr>
        <w:t>附件3：评审标准和方法</w:t>
      </w:r>
      <w:bookmarkEnd w:id="171"/>
    </w:p>
    <w:p w14:paraId="177A47C9">
      <w:pPr>
        <w:jc w:val="center"/>
        <w:rPr>
          <w:b/>
          <w:bCs/>
          <w:sz w:val="28"/>
          <w:szCs w:val="36"/>
        </w:rPr>
      </w:pPr>
      <w:r>
        <w:rPr>
          <w:rFonts w:hint="eastAsia"/>
          <w:b/>
          <w:bCs/>
          <w:sz w:val="28"/>
          <w:szCs w:val="36"/>
        </w:rPr>
        <w:t>综合评分项</w:t>
      </w:r>
    </w:p>
    <w:p w14:paraId="4920B76C">
      <w:pPr>
        <w:shd w:val="clear" w:color="auto" w:fill="FFFFFF"/>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lang w:eastAsia="zh-CN"/>
        </w:rPr>
        <w:t>2024年医疗机构责任保险服务项目</w:t>
      </w:r>
      <w:r>
        <w:rPr>
          <w:rFonts w:hint="eastAsia" w:ascii="宋体" w:hAnsi="宋体" w:cs="宋体"/>
          <w:sz w:val="24"/>
        </w:rPr>
        <w:t xml:space="preserve">  </w:t>
      </w:r>
    </w:p>
    <w:p w14:paraId="07297611">
      <w:pPr>
        <w:shd w:val="clear" w:color="auto" w:fill="FFFFFF"/>
        <w:spacing w:line="360" w:lineRule="auto"/>
        <w:rPr>
          <w:rFonts w:hint="eastAsia" w:eastAsia="宋体"/>
          <w:lang w:eastAsia="zh-CN"/>
        </w:rPr>
      </w:pPr>
      <w:r>
        <w:rPr>
          <w:rFonts w:hint="eastAsia" w:ascii="宋体" w:hAnsi="宋体" w:cs="宋体"/>
          <w:sz w:val="24"/>
        </w:rPr>
        <w:t>项目编号：</w:t>
      </w:r>
      <w:r>
        <w:rPr>
          <w:rFonts w:hint="eastAsia" w:ascii="宋体" w:hAnsi="宋体" w:cs="宋体"/>
          <w:sz w:val="24"/>
          <w:lang w:eastAsia="zh-CN"/>
        </w:rPr>
        <w:t>HNJY2024【118】</w:t>
      </w:r>
    </w:p>
    <w:tbl>
      <w:tblPr>
        <w:tblStyle w:val="20"/>
        <w:tblW w:w="10168" w:type="dxa"/>
        <w:jc w:val="center"/>
        <w:tblLayout w:type="fixed"/>
        <w:tblCellMar>
          <w:top w:w="0" w:type="dxa"/>
          <w:left w:w="108" w:type="dxa"/>
          <w:bottom w:w="0" w:type="dxa"/>
          <w:right w:w="108" w:type="dxa"/>
        </w:tblCellMar>
      </w:tblPr>
      <w:tblGrid>
        <w:gridCol w:w="733"/>
        <w:gridCol w:w="1335"/>
        <w:gridCol w:w="7303"/>
        <w:gridCol w:w="797"/>
      </w:tblGrid>
      <w:tr w14:paraId="31032EF6">
        <w:tblPrEx>
          <w:tblCellMar>
            <w:top w:w="0" w:type="dxa"/>
            <w:left w:w="108" w:type="dxa"/>
            <w:bottom w:w="0" w:type="dxa"/>
            <w:right w:w="108" w:type="dxa"/>
          </w:tblCellMar>
        </w:tblPrEx>
        <w:trPr>
          <w:trHeight w:val="39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A316C2">
            <w:pPr>
              <w:spacing w:line="400" w:lineRule="exact"/>
              <w:rPr>
                <w:rFonts w:hint="eastAsia" w:ascii="宋体" w:hAnsi="宋体" w:cs="宋体"/>
                <w:b/>
                <w:bCs/>
                <w:sz w:val="24"/>
              </w:rPr>
            </w:pPr>
            <w:r>
              <w:rPr>
                <w:rFonts w:hint="eastAsia" w:ascii="宋体" w:hAnsi="宋体" w:cs="宋体"/>
                <w:b/>
                <w:bCs/>
                <w:sz w:val="24"/>
              </w:rPr>
              <w:t>序号</w:t>
            </w:r>
          </w:p>
        </w:tc>
        <w:tc>
          <w:tcPr>
            <w:tcW w:w="1335" w:type="dxa"/>
            <w:tcBorders>
              <w:top w:val="single" w:color="auto" w:sz="4" w:space="0"/>
              <w:left w:val="nil"/>
              <w:bottom w:val="single" w:color="auto" w:sz="4" w:space="0"/>
              <w:right w:val="single" w:color="auto" w:sz="4" w:space="0"/>
            </w:tcBorders>
            <w:vAlign w:val="center"/>
          </w:tcPr>
          <w:p w14:paraId="77ACED3C">
            <w:pPr>
              <w:spacing w:line="400" w:lineRule="exact"/>
              <w:rPr>
                <w:rFonts w:hint="eastAsia" w:ascii="宋体" w:hAnsi="宋体" w:cs="宋体"/>
                <w:b/>
                <w:bCs/>
                <w:sz w:val="24"/>
              </w:rPr>
            </w:pPr>
            <w:r>
              <w:rPr>
                <w:rFonts w:hint="eastAsia" w:ascii="宋体" w:hAnsi="宋体" w:cs="宋体"/>
                <w:b/>
                <w:bCs/>
                <w:sz w:val="24"/>
              </w:rPr>
              <w:t>评分项目</w:t>
            </w:r>
          </w:p>
        </w:tc>
        <w:tc>
          <w:tcPr>
            <w:tcW w:w="7303" w:type="dxa"/>
            <w:tcBorders>
              <w:top w:val="single" w:color="auto" w:sz="4" w:space="0"/>
              <w:left w:val="nil"/>
              <w:bottom w:val="single" w:color="auto" w:sz="4" w:space="0"/>
              <w:right w:val="single" w:color="auto" w:sz="4" w:space="0"/>
            </w:tcBorders>
            <w:vAlign w:val="center"/>
          </w:tcPr>
          <w:p w14:paraId="4016120E">
            <w:pPr>
              <w:spacing w:line="400" w:lineRule="exact"/>
              <w:jc w:val="center"/>
              <w:rPr>
                <w:rFonts w:hint="eastAsia" w:ascii="宋体" w:hAnsi="宋体" w:cs="宋体"/>
                <w:b/>
                <w:bCs/>
                <w:sz w:val="24"/>
              </w:rPr>
            </w:pPr>
            <w:r>
              <w:rPr>
                <w:rFonts w:hint="eastAsia" w:ascii="宋体" w:hAnsi="宋体" w:cs="宋体"/>
                <w:b/>
                <w:bCs/>
                <w:sz w:val="24"/>
              </w:rPr>
              <w:t>评分标准</w:t>
            </w:r>
          </w:p>
        </w:tc>
        <w:tc>
          <w:tcPr>
            <w:tcW w:w="797" w:type="dxa"/>
            <w:tcBorders>
              <w:top w:val="single" w:color="auto" w:sz="4" w:space="0"/>
              <w:left w:val="nil"/>
              <w:bottom w:val="single" w:color="auto" w:sz="4" w:space="0"/>
              <w:right w:val="single" w:color="auto" w:sz="4" w:space="0"/>
            </w:tcBorders>
            <w:vAlign w:val="center"/>
          </w:tcPr>
          <w:p w14:paraId="29BF7549">
            <w:pPr>
              <w:spacing w:line="400" w:lineRule="exact"/>
              <w:rPr>
                <w:rFonts w:hint="eastAsia" w:ascii="宋体" w:hAnsi="宋体" w:cs="宋体"/>
                <w:b/>
                <w:bCs/>
                <w:sz w:val="24"/>
              </w:rPr>
            </w:pPr>
            <w:r>
              <w:rPr>
                <w:rFonts w:hint="eastAsia" w:ascii="宋体" w:hAnsi="宋体" w:cs="宋体"/>
                <w:b/>
                <w:bCs/>
                <w:sz w:val="24"/>
              </w:rPr>
              <w:t>分值</w:t>
            </w:r>
          </w:p>
        </w:tc>
      </w:tr>
      <w:tr w14:paraId="68F6D78C">
        <w:tblPrEx>
          <w:tblCellMar>
            <w:top w:w="0" w:type="dxa"/>
            <w:left w:w="108" w:type="dxa"/>
            <w:bottom w:w="0" w:type="dxa"/>
            <w:right w:w="108" w:type="dxa"/>
          </w:tblCellMar>
        </w:tblPrEx>
        <w:trPr>
          <w:trHeight w:val="252" w:hRule="atLeast"/>
          <w:jc w:val="center"/>
        </w:trPr>
        <w:tc>
          <w:tcPr>
            <w:tcW w:w="9371" w:type="dxa"/>
            <w:gridSpan w:val="3"/>
            <w:tcBorders>
              <w:top w:val="single" w:color="auto" w:sz="4" w:space="0"/>
              <w:left w:val="single" w:color="auto" w:sz="4" w:space="0"/>
              <w:bottom w:val="single" w:color="auto" w:sz="4" w:space="0"/>
              <w:right w:val="single" w:color="auto" w:sz="4" w:space="0"/>
            </w:tcBorders>
            <w:vAlign w:val="center"/>
          </w:tcPr>
          <w:p w14:paraId="622D6B1B">
            <w:pPr>
              <w:spacing w:line="400" w:lineRule="exact"/>
              <w:rPr>
                <w:rFonts w:hint="eastAsia" w:ascii="宋体" w:hAnsi="宋体" w:cs="宋体"/>
                <w:bCs/>
                <w:sz w:val="24"/>
              </w:rPr>
            </w:pPr>
            <w:r>
              <w:rPr>
                <w:rFonts w:hint="eastAsia" w:ascii="宋体" w:hAnsi="宋体" w:cs="宋体"/>
                <w:bCs/>
                <w:sz w:val="24"/>
              </w:rPr>
              <w:t>一、技术部分与商务部分</w:t>
            </w:r>
          </w:p>
        </w:tc>
        <w:tc>
          <w:tcPr>
            <w:tcW w:w="797" w:type="dxa"/>
            <w:tcBorders>
              <w:top w:val="single" w:color="auto" w:sz="4" w:space="0"/>
              <w:left w:val="nil"/>
              <w:bottom w:val="single" w:color="auto" w:sz="4" w:space="0"/>
              <w:right w:val="single" w:color="auto" w:sz="4" w:space="0"/>
            </w:tcBorders>
            <w:vAlign w:val="center"/>
          </w:tcPr>
          <w:p w14:paraId="0372DF8D">
            <w:pPr>
              <w:spacing w:line="400" w:lineRule="exact"/>
              <w:jc w:val="center"/>
              <w:rPr>
                <w:rFonts w:hint="eastAsia" w:ascii="宋体" w:hAnsi="宋体" w:cs="宋体"/>
                <w:bCs/>
                <w:sz w:val="24"/>
              </w:rPr>
            </w:pPr>
            <w:r>
              <w:rPr>
                <w:rFonts w:hint="eastAsia" w:ascii="宋体" w:hAnsi="宋体" w:cs="宋体"/>
                <w:bCs/>
                <w:sz w:val="24"/>
                <w:lang w:val="en-US" w:eastAsia="zh-CN"/>
              </w:rPr>
              <w:t>8</w:t>
            </w:r>
            <w:r>
              <w:rPr>
                <w:rFonts w:hint="eastAsia" w:ascii="宋体" w:hAnsi="宋体" w:cs="宋体"/>
                <w:bCs/>
                <w:sz w:val="24"/>
              </w:rPr>
              <w:t>0</w:t>
            </w:r>
          </w:p>
        </w:tc>
      </w:tr>
      <w:tr w14:paraId="7D8B3A96">
        <w:tblPrEx>
          <w:tblCellMar>
            <w:top w:w="0" w:type="dxa"/>
            <w:left w:w="108" w:type="dxa"/>
            <w:bottom w:w="0" w:type="dxa"/>
            <w:right w:w="108" w:type="dxa"/>
          </w:tblCellMar>
        </w:tblPrEx>
        <w:trPr>
          <w:trHeight w:val="7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BD077CF">
            <w:pPr>
              <w:spacing w:line="400" w:lineRule="exact"/>
              <w:jc w:val="center"/>
              <w:rPr>
                <w:rFonts w:hint="eastAsia" w:ascii="宋体" w:hAnsi="宋体" w:cs="宋体"/>
                <w:sz w:val="24"/>
              </w:rPr>
            </w:pPr>
            <w:r>
              <w:rPr>
                <w:rFonts w:hint="eastAsia" w:ascii="宋体" w:hAnsi="宋体" w:cs="宋体"/>
                <w:sz w:val="24"/>
              </w:rPr>
              <w:t>1</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14:paraId="5A6E6FF7">
            <w:pPr>
              <w:pStyle w:val="36"/>
              <w:jc w:val="center"/>
              <w:rPr>
                <w:rFonts w:hint="eastAsia" w:ascii="宋体" w:hAnsi="宋体" w:eastAsia="宋体" w:cs="宋体"/>
                <w:color w:val="auto"/>
                <w:sz w:val="24"/>
                <w:szCs w:val="24"/>
              </w:rPr>
            </w:pPr>
          </w:p>
          <w:p w14:paraId="4E0D2889">
            <w:pPr>
              <w:pStyle w:val="36"/>
              <w:jc w:val="center"/>
              <w:rPr>
                <w:rFonts w:hint="eastAsia" w:ascii="宋体" w:hAnsi="宋体" w:eastAsia="宋体" w:cs="宋体"/>
                <w:color w:val="auto"/>
                <w:sz w:val="24"/>
                <w:szCs w:val="24"/>
              </w:rPr>
            </w:pPr>
          </w:p>
          <w:p w14:paraId="25E7683C">
            <w:pPr>
              <w:pStyle w:val="36"/>
              <w:spacing w:before="245"/>
              <w:jc w:val="center"/>
              <w:rPr>
                <w:rFonts w:hint="eastAsia" w:ascii="宋体" w:hAnsi="宋体" w:eastAsia="宋体" w:cs="宋体"/>
                <w:color w:val="auto"/>
                <w:sz w:val="24"/>
                <w:szCs w:val="24"/>
              </w:rPr>
            </w:pPr>
          </w:p>
          <w:p w14:paraId="448837FE">
            <w:pPr>
              <w:pStyle w:val="36"/>
              <w:spacing w:line="362" w:lineRule="auto"/>
              <w:ind w:left="108" w:leftChars="0" w:right="95"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6"/>
                <w:sz w:val="24"/>
                <w:szCs w:val="24"/>
              </w:rPr>
              <w:t>理赔服</w:t>
            </w:r>
            <w:r>
              <w:rPr>
                <w:rFonts w:hint="eastAsia" w:ascii="宋体" w:hAnsi="宋体" w:eastAsia="宋体" w:cs="宋体"/>
                <w:color w:val="auto"/>
                <w:spacing w:val="-4"/>
                <w:sz w:val="24"/>
                <w:szCs w:val="24"/>
              </w:rPr>
              <w:t>务方案</w:t>
            </w:r>
          </w:p>
        </w:tc>
        <w:tc>
          <w:tcPr>
            <w:tcW w:w="7303" w:type="dxa"/>
            <w:tcBorders>
              <w:top w:val="single" w:color="auto" w:sz="4" w:space="0"/>
              <w:left w:val="single" w:color="auto" w:sz="4" w:space="0"/>
              <w:bottom w:val="single" w:color="auto" w:sz="4" w:space="0"/>
              <w:right w:val="single" w:color="auto" w:sz="4" w:space="0"/>
            </w:tcBorders>
            <w:shd w:val="clear" w:color="auto" w:fill="auto"/>
            <w:vAlign w:val="top"/>
          </w:tcPr>
          <w:p w14:paraId="5BC55E2A">
            <w:pPr>
              <w:pStyle w:val="36"/>
              <w:spacing w:before="2" w:line="362" w:lineRule="auto"/>
              <w:ind w:left="108" w:right="154"/>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建立符合本项目特点和要求的</w:t>
            </w:r>
            <w:r>
              <w:rPr>
                <w:rFonts w:hint="eastAsia" w:cs="宋体"/>
                <w:color w:val="auto"/>
                <w:spacing w:val="-2"/>
                <w:sz w:val="24"/>
                <w:szCs w:val="24"/>
                <w:lang w:val="en-US" w:eastAsia="zh-CN"/>
              </w:rPr>
              <w:t>理赔服务</w:t>
            </w:r>
            <w:r>
              <w:rPr>
                <w:rFonts w:hint="eastAsia" w:ascii="宋体" w:hAnsi="宋体" w:eastAsia="宋体" w:cs="宋体"/>
                <w:color w:val="auto"/>
                <w:spacing w:val="-2"/>
                <w:sz w:val="24"/>
                <w:szCs w:val="24"/>
              </w:rPr>
              <w:t>方案，根据方案进行评分：</w:t>
            </w:r>
          </w:p>
          <w:p w14:paraId="5C6F97A2">
            <w:pPr>
              <w:pStyle w:val="36"/>
              <w:spacing w:before="1" w:line="364" w:lineRule="auto"/>
              <w:ind w:left="108" w:right="149"/>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理赔服务方案要点非常齐全，出险报案和理赔的时效性强、</w:t>
            </w:r>
            <w:r>
              <w:rPr>
                <w:rFonts w:hint="eastAsia" w:ascii="宋体" w:hAnsi="宋体" w:eastAsia="宋体" w:cs="宋体"/>
                <w:color w:val="auto"/>
                <w:spacing w:val="-1"/>
                <w:sz w:val="24"/>
                <w:szCs w:val="24"/>
              </w:rPr>
              <w:t xml:space="preserve">理赔服务承诺非常全面、增值服务措施非常多，得 </w:t>
            </w:r>
            <w:r>
              <w:rPr>
                <w:rFonts w:hint="eastAsia" w:ascii="宋体" w:hAnsi="宋体" w:eastAsia="宋体" w:cs="宋体"/>
                <w:color w:val="auto"/>
                <w:sz w:val="24"/>
                <w:szCs w:val="24"/>
                <w:lang w:val="en-US" w:eastAsia="zh-CN"/>
              </w:rPr>
              <w:t>20</w:t>
            </w:r>
            <w:r>
              <w:rPr>
                <w:rFonts w:hint="eastAsia" w:ascii="宋体" w:hAnsi="宋体" w:eastAsia="宋体" w:cs="宋体"/>
                <w:color w:val="auto"/>
                <w:spacing w:val="-8"/>
                <w:sz w:val="24"/>
                <w:szCs w:val="24"/>
              </w:rPr>
              <w:t>分</w:t>
            </w:r>
            <w:r>
              <w:rPr>
                <w:rFonts w:hint="eastAsia" w:ascii="宋体" w:hAnsi="宋体" w:eastAsia="宋体" w:cs="宋体"/>
                <w:color w:val="auto"/>
                <w:spacing w:val="-8"/>
                <w:sz w:val="24"/>
                <w:szCs w:val="24"/>
                <w:lang w:eastAsia="zh-CN"/>
              </w:rPr>
              <w:t>；</w:t>
            </w:r>
            <w:r>
              <w:rPr>
                <w:rFonts w:hint="eastAsia" w:ascii="宋体" w:hAnsi="宋体" w:eastAsia="宋体" w:cs="宋体"/>
                <w:color w:val="auto"/>
                <w:sz w:val="24"/>
                <w:szCs w:val="24"/>
              </w:rPr>
              <w:t xml:space="preserve"> </w:t>
            </w:r>
          </w:p>
          <w:p w14:paraId="54794E6B">
            <w:pPr>
              <w:pStyle w:val="36"/>
              <w:spacing w:before="1" w:line="364" w:lineRule="auto"/>
              <w:ind w:left="108" w:right="149"/>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理赔服务方案要点比较齐全，出险报案和理赔的时效性比较</w:t>
            </w:r>
            <w:r>
              <w:rPr>
                <w:rFonts w:hint="eastAsia" w:ascii="宋体" w:hAnsi="宋体" w:eastAsia="宋体" w:cs="宋体"/>
                <w:color w:val="auto"/>
                <w:spacing w:val="-17"/>
                <w:sz w:val="24"/>
                <w:szCs w:val="24"/>
              </w:rPr>
              <w:t xml:space="preserve">强、理赔服务承诺比较全面、增值服务措施比较多得 </w:t>
            </w:r>
            <w:r>
              <w:rPr>
                <w:rFonts w:hint="eastAsia" w:ascii="宋体" w:hAnsi="宋体" w:eastAsia="宋体" w:cs="宋体"/>
                <w:color w:val="auto"/>
                <w:spacing w:val="-2"/>
                <w:sz w:val="24"/>
                <w:szCs w:val="24"/>
                <w:lang w:val="en-US" w:eastAsia="zh-CN"/>
              </w:rPr>
              <w:t>16</w:t>
            </w:r>
            <w:r>
              <w:rPr>
                <w:rFonts w:hint="eastAsia" w:ascii="宋体" w:hAnsi="宋体" w:eastAsia="宋体" w:cs="宋体"/>
                <w:color w:val="auto"/>
                <w:spacing w:val="-18"/>
                <w:sz w:val="24"/>
                <w:szCs w:val="24"/>
              </w:rPr>
              <w:t xml:space="preserve"> 分</w:t>
            </w:r>
            <w:r>
              <w:rPr>
                <w:rFonts w:hint="eastAsia" w:ascii="宋体" w:hAnsi="宋体" w:eastAsia="宋体" w:cs="宋体"/>
                <w:color w:val="auto"/>
                <w:spacing w:val="-18"/>
                <w:sz w:val="24"/>
                <w:szCs w:val="24"/>
                <w:lang w:eastAsia="zh-CN"/>
              </w:rPr>
              <w:t>；</w:t>
            </w:r>
            <w:r>
              <w:rPr>
                <w:rFonts w:hint="eastAsia" w:ascii="宋体" w:hAnsi="宋体" w:eastAsia="宋体" w:cs="宋体"/>
                <w:color w:val="auto"/>
                <w:spacing w:val="-2"/>
                <w:sz w:val="24"/>
                <w:szCs w:val="24"/>
              </w:rPr>
              <w:t xml:space="preserve"> </w:t>
            </w:r>
          </w:p>
          <w:p w14:paraId="7EC9F8EC">
            <w:pPr>
              <w:pStyle w:val="36"/>
              <w:spacing w:before="1" w:line="364" w:lineRule="auto"/>
              <w:ind w:left="108" w:right="14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3</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理赔服务方案要点不齐全，出险报案和理赔的时效性不强、</w:t>
            </w:r>
            <w:r>
              <w:rPr>
                <w:rFonts w:hint="eastAsia" w:ascii="宋体" w:hAnsi="宋体" w:eastAsia="宋体" w:cs="宋体"/>
                <w:color w:val="auto"/>
                <w:spacing w:val="-1"/>
                <w:sz w:val="24"/>
                <w:szCs w:val="24"/>
              </w:rPr>
              <w:t>理赔服务承诺不全面、增值服务措施较少，得</w:t>
            </w:r>
            <w:r>
              <w:rPr>
                <w:rFonts w:hint="eastAsia" w:ascii="宋体" w:hAnsi="宋体" w:eastAsia="宋体" w:cs="宋体"/>
                <w:color w:val="auto"/>
                <w:spacing w:val="-1"/>
                <w:sz w:val="24"/>
                <w:szCs w:val="24"/>
                <w:lang w:val="en-US" w:eastAsia="zh-CN"/>
              </w:rPr>
              <w:t>12</w:t>
            </w:r>
            <w:r>
              <w:rPr>
                <w:rFonts w:hint="eastAsia" w:ascii="宋体" w:hAnsi="宋体" w:eastAsia="宋体" w:cs="宋体"/>
                <w:color w:val="auto"/>
                <w:spacing w:val="-8"/>
                <w:sz w:val="24"/>
                <w:szCs w:val="24"/>
              </w:rPr>
              <w:t xml:space="preserve"> 分</w:t>
            </w:r>
            <w:r>
              <w:rPr>
                <w:rFonts w:hint="eastAsia" w:ascii="宋体" w:hAnsi="宋体" w:eastAsia="宋体" w:cs="宋体"/>
                <w:color w:val="auto"/>
                <w:spacing w:val="-8"/>
                <w:sz w:val="24"/>
                <w:szCs w:val="24"/>
                <w:lang w:eastAsia="zh-CN"/>
              </w:rPr>
              <w:t>；</w:t>
            </w:r>
          </w:p>
          <w:p w14:paraId="2C0EEDF2">
            <w:pPr>
              <w:pStyle w:val="36"/>
              <w:spacing w:line="304" w:lineRule="exact"/>
              <w:ind w:left="108" w:leftChars="0"/>
              <w:rPr>
                <w:rFonts w:hint="eastAsia" w:ascii="宋体" w:hAnsi="宋体" w:eastAsia="宋体" w:cs="宋体"/>
                <w:color w:val="auto"/>
                <w:kern w:val="0"/>
                <w:sz w:val="24"/>
                <w:szCs w:val="24"/>
                <w:highlight w:val="none"/>
                <w:lang w:val="en-GB" w:eastAsia="zh-CN" w:bidi="ar-SA"/>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rPr>
              <w:t>不提供不得分。</w:t>
            </w:r>
          </w:p>
        </w:tc>
        <w:tc>
          <w:tcPr>
            <w:tcW w:w="797" w:type="dxa"/>
            <w:tcBorders>
              <w:top w:val="nil"/>
              <w:left w:val="nil"/>
              <w:bottom w:val="single" w:color="auto" w:sz="4" w:space="0"/>
              <w:right w:val="single" w:color="auto" w:sz="4" w:space="0"/>
            </w:tcBorders>
            <w:shd w:val="clear" w:color="auto" w:fill="auto"/>
            <w:vAlign w:val="top"/>
          </w:tcPr>
          <w:p w14:paraId="70D0EFB4">
            <w:pPr>
              <w:pStyle w:val="36"/>
              <w:rPr>
                <w:rFonts w:hint="eastAsia" w:ascii="宋体" w:hAnsi="宋体" w:eastAsia="宋体" w:cs="宋体"/>
                <w:color w:val="auto"/>
                <w:sz w:val="24"/>
                <w:szCs w:val="24"/>
              </w:rPr>
            </w:pPr>
          </w:p>
          <w:p w14:paraId="27F03EB3">
            <w:pPr>
              <w:pStyle w:val="36"/>
              <w:rPr>
                <w:rFonts w:hint="eastAsia" w:ascii="宋体" w:hAnsi="宋体" w:eastAsia="宋体" w:cs="宋体"/>
                <w:color w:val="auto"/>
                <w:sz w:val="24"/>
                <w:szCs w:val="24"/>
              </w:rPr>
            </w:pPr>
          </w:p>
          <w:p w14:paraId="700E339D">
            <w:pPr>
              <w:pStyle w:val="36"/>
              <w:rPr>
                <w:rFonts w:hint="eastAsia" w:ascii="宋体" w:hAnsi="宋体" w:eastAsia="宋体" w:cs="宋体"/>
                <w:color w:val="auto"/>
                <w:sz w:val="24"/>
                <w:szCs w:val="24"/>
              </w:rPr>
            </w:pPr>
          </w:p>
          <w:p w14:paraId="3573AEE2">
            <w:pPr>
              <w:pStyle w:val="36"/>
              <w:spacing w:before="170"/>
              <w:rPr>
                <w:rFonts w:hint="eastAsia" w:ascii="宋体" w:hAnsi="宋体" w:eastAsia="宋体" w:cs="宋体"/>
                <w:color w:val="auto"/>
                <w:sz w:val="24"/>
                <w:szCs w:val="24"/>
              </w:rPr>
            </w:pPr>
          </w:p>
          <w:p w14:paraId="7B07EBB4">
            <w:pPr>
              <w:pStyle w:val="36"/>
              <w:ind w:left="107"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5"/>
                <w:sz w:val="24"/>
                <w:szCs w:val="24"/>
              </w:rPr>
              <w:t>20</w:t>
            </w:r>
          </w:p>
        </w:tc>
      </w:tr>
      <w:tr w14:paraId="225EE623">
        <w:tblPrEx>
          <w:tblCellMar>
            <w:top w:w="0" w:type="dxa"/>
            <w:left w:w="108" w:type="dxa"/>
            <w:bottom w:w="0" w:type="dxa"/>
            <w:right w:w="108" w:type="dxa"/>
          </w:tblCellMar>
        </w:tblPrEx>
        <w:trPr>
          <w:trHeight w:val="7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1538E0B">
            <w:pPr>
              <w:spacing w:line="400" w:lineRule="exact"/>
              <w:jc w:val="center"/>
              <w:rPr>
                <w:rFonts w:hint="eastAsia" w:ascii="宋体" w:hAnsi="宋体" w:cs="宋体"/>
                <w:sz w:val="24"/>
              </w:rPr>
            </w:pPr>
            <w:r>
              <w:rPr>
                <w:rFonts w:hint="eastAsia" w:ascii="宋体" w:hAnsi="宋体" w:cs="宋体"/>
                <w:sz w:val="24"/>
              </w:rPr>
              <w:t>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14:paraId="4921DCE7">
            <w:pPr>
              <w:pStyle w:val="36"/>
              <w:jc w:val="center"/>
              <w:rPr>
                <w:rFonts w:hint="eastAsia" w:ascii="宋体" w:hAnsi="宋体" w:eastAsia="宋体" w:cs="宋体"/>
                <w:color w:val="auto"/>
                <w:sz w:val="24"/>
                <w:szCs w:val="24"/>
              </w:rPr>
            </w:pPr>
          </w:p>
          <w:p w14:paraId="475AB016">
            <w:pPr>
              <w:pStyle w:val="36"/>
              <w:jc w:val="center"/>
              <w:rPr>
                <w:rFonts w:hint="eastAsia" w:ascii="宋体" w:hAnsi="宋体" w:eastAsia="宋体" w:cs="宋体"/>
                <w:color w:val="auto"/>
                <w:sz w:val="24"/>
                <w:szCs w:val="24"/>
              </w:rPr>
            </w:pPr>
          </w:p>
          <w:p w14:paraId="2C2D3F6E">
            <w:pPr>
              <w:pStyle w:val="36"/>
              <w:jc w:val="center"/>
              <w:rPr>
                <w:rFonts w:hint="eastAsia" w:ascii="宋体" w:hAnsi="宋体" w:eastAsia="宋体" w:cs="宋体"/>
                <w:color w:val="auto"/>
                <w:sz w:val="24"/>
                <w:szCs w:val="24"/>
              </w:rPr>
            </w:pPr>
          </w:p>
          <w:p w14:paraId="56E4D9B1">
            <w:pPr>
              <w:pStyle w:val="36"/>
              <w:spacing w:before="171"/>
              <w:jc w:val="center"/>
              <w:rPr>
                <w:rFonts w:hint="eastAsia" w:ascii="宋体" w:hAnsi="宋体" w:eastAsia="宋体" w:cs="宋体"/>
                <w:color w:val="auto"/>
                <w:sz w:val="24"/>
                <w:szCs w:val="24"/>
              </w:rPr>
            </w:pPr>
          </w:p>
          <w:p w14:paraId="039C828E">
            <w:pPr>
              <w:pStyle w:val="36"/>
              <w:spacing w:line="362" w:lineRule="auto"/>
              <w:ind w:left="108" w:leftChars="0" w:right="95"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6"/>
                <w:sz w:val="24"/>
                <w:szCs w:val="24"/>
              </w:rPr>
              <w:t>投诉处</w:t>
            </w:r>
            <w:r>
              <w:rPr>
                <w:rFonts w:hint="eastAsia" w:ascii="宋体" w:hAnsi="宋体" w:eastAsia="宋体" w:cs="宋体"/>
                <w:color w:val="auto"/>
                <w:spacing w:val="-4"/>
                <w:sz w:val="24"/>
                <w:szCs w:val="24"/>
              </w:rPr>
              <w:t>理方案</w:t>
            </w:r>
          </w:p>
        </w:tc>
        <w:tc>
          <w:tcPr>
            <w:tcW w:w="7303" w:type="dxa"/>
            <w:tcBorders>
              <w:top w:val="single" w:color="auto" w:sz="4" w:space="0"/>
              <w:left w:val="single" w:color="auto" w:sz="4" w:space="0"/>
              <w:bottom w:val="single" w:color="auto" w:sz="4" w:space="0"/>
              <w:right w:val="single" w:color="auto" w:sz="4" w:space="0"/>
            </w:tcBorders>
            <w:shd w:val="clear" w:color="auto" w:fill="auto"/>
            <w:vAlign w:val="top"/>
          </w:tcPr>
          <w:p w14:paraId="0D8F315E">
            <w:pPr>
              <w:pStyle w:val="36"/>
              <w:spacing w:before="2" w:line="362" w:lineRule="auto"/>
              <w:ind w:left="108" w:right="154"/>
              <w:rPr>
                <w:rFonts w:hint="eastAsia" w:ascii="宋体" w:hAnsi="宋体" w:eastAsia="宋体" w:cs="宋体"/>
                <w:color w:val="auto"/>
                <w:sz w:val="24"/>
                <w:szCs w:val="24"/>
              </w:rPr>
            </w:pPr>
            <w:r>
              <w:rPr>
                <w:rFonts w:hint="eastAsia" w:ascii="宋体" w:hAnsi="宋体" w:eastAsia="宋体" w:cs="宋体"/>
                <w:color w:val="auto"/>
                <w:spacing w:val="-2"/>
                <w:sz w:val="24"/>
                <w:szCs w:val="24"/>
              </w:rPr>
              <w:t>建立符合本项目特点和要求的投诉处理方案，根据投诉处理方案进行评分：</w:t>
            </w:r>
          </w:p>
          <w:p w14:paraId="7A284FDB">
            <w:pPr>
              <w:pStyle w:val="36"/>
              <w:spacing w:before="2" w:line="364" w:lineRule="auto"/>
              <w:ind w:left="108" w:right="156"/>
              <w:rPr>
                <w:rFonts w:hint="eastAsia" w:ascii="宋体" w:hAnsi="宋体" w:eastAsia="宋体" w:cs="宋体"/>
                <w:color w:val="auto"/>
                <w:sz w:val="24"/>
                <w:szCs w:val="24"/>
              </w:rPr>
            </w:pPr>
            <w:r>
              <w:rPr>
                <w:rFonts w:hint="eastAsia" w:ascii="宋体" w:hAnsi="宋体" w:eastAsia="宋体" w:cs="宋体"/>
                <w:color w:val="auto"/>
                <w:spacing w:val="-2"/>
                <w:sz w:val="24"/>
                <w:szCs w:val="24"/>
              </w:rPr>
              <w:t>1、投诉处理方案科学、合理、具体、全面，对本项目的适用</w:t>
            </w:r>
            <w:r>
              <w:rPr>
                <w:rFonts w:hint="eastAsia" w:ascii="宋体" w:hAnsi="宋体" w:eastAsia="宋体" w:cs="宋体"/>
                <w:color w:val="auto"/>
                <w:sz w:val="24"/>
                <w:szCs w:val="24"/>
              </w:rPr>
              <w:t>性强，内容详细、具体、可执行性强得 20 分；</w:t>
            </w:r>
          </w:p>
          <w:p w14:paraId="2D818F22">
            <w:pPr>
              <w:pStyle w:val="36"/>
              <w:spacing w:before="1" w:line="362" w:lineRule="auto"/>
              <w:ind w:left="108" w:right="156"/>
              <w:rPr>
                <w:rFonts w:hint="eastAsia" w:ascii="宋体" w:hAnsi="宋体" w:eastAsia="宋体" w:cs="宋体"/>
                <w:color w:val="auto"/>
                <w:sz w:val="24"/>
                <w:szCs w:val="24"/>
              </w:rPr>
            </w:pPr>
            <w:r>
              <w:rPr>
                <w:rFonts w:hint="eastAsia" w:ascii="宋体" w:hAnsi="宋体" w:eastAsia="宋体" w:cs="宋体"/>
                <w:color w:val="auto"/>
                <w:spacing w:val="-2"/>
                <w:sz w:val="24"/>
                <w:szCs w:val="24"/>
              </w:rPr>
              <w:t>2、投诉处理方案基本科学、合理、内容基本全面，具有一定</w:t>
            </w:r>
            <w:r>
              <w:rPr>
                <w:rFonts w:hint="eastAsia" w:ascii="宋体" w:hAnsi="宋体" w:eastAsia="宋体" w:cs="宋体"/>
                <w:color w:val="auto"/>
                <w:sz w:val="24"/>
                <w:szCs w:val="24"/>
              </w:rPr>
              <w:t xml:space="preserve">针对性，可执行性一般得 </w:t>
            </w:r>
            <w:r>
              <w:rPr>
                <w:rFonts w:hint="eastAsia" w:ascii="宋体" w:hAnsi="宋体" w:eastAsia="宋体" w:cs="宋体"/>
                <w:color w:val="auto"/>
                <w:sz w:val="24"/>
                <w:szCs w:val="24"/>
                <w:lang w:val="en-US" w:eastAsia="zh-CN"/>
              </w:rPr>
              <w:t>16</w:t>
            </w:r>
            <w:r>
              <w:rPr>
                <w:rFonts w:hint="eastAsia" w:ascii="宋体" w:hAnsi="宋体" w:eastAsia="宋体" w:cs="宋体"/>
                <w:color w:val="auto"/>
                <w:spacing w:val="-5"/>
                <w:sz w:val="24"/>
                <w:szCs w:val="24"/>
              </w:rPr>
              <w:t xml:space="preserve"> 分；</w:t>
            </w:r>
          </w:p>
          <w:p w14:paraId="7D59421E">
            <w:pPr>
              <w:pStyle w:val="36"/>
              <w:spacing w:before="5"/>
              <w:ind w:left="108"/>
              <w:rPr>
                <w:rFonts w:hint="eastAsia" w:ascii="宋体" w:hAnsi="宋体" w:eastAsia="宋体" w:cs="宋体"/>
                <w:color w:val="auto"/>
                <w:sz w:val="24"/>
                <w:szCs w:val="24"/>
              </w:rPr>
            </w:pPr>
            <w:r>
              <w:rPr>
                <w:rFonts w:hint="eastAsia" w:ascii="宋体" w:hAnsi="宋体" w:eastAsia="宋体" w:cs="宋体"/>
                <w:color w:val="auto"/>
                <w:spacing w:val="-2"/>
                <w:sz w:val="24"/>
                <w:szCs w:val="24"/>
              </w:rPr>
              <w:t>3</w:t>
            </w:r>
            <w:r>
              <w:rPr>
                <w:rFonts w:hint="eastAsia" w:ascii="宋体" w:hAnsi="宋体" w:eastAsia="宋体" w:cs="宋体"/>
                <w:color w:val="auto"/>
                <w:spacing w:val="-5"/>
                <w:sz w:val="24"/>
                <w:szCs w:val="24"/>
              </w:rPr>
              <w:t xml:space="preserve">、投诉处理方案内容不全面、针对性和可执行性弱得 </w:t>
            </w:r>
            <w:r>
              <w:rPr>
                <w:rFonts w:hint="eastAsia" w:ascii="宋体" w:hAnsi="宋体" w:eastAsia="宋体" w:cs="宋体"/>
                <w:color w:val="auto"/>
                <w:spacing w:val="-2"/>
                <w:sz w:val="24"/>
                <w:szCs w:val="24"/>
                <w:lang w:val="en-US" w:eastAsia="zh-CN"/>
              </w:rPr>
              <w:t>12</w:t>
            </w:r>
            <w:r>
              <w:rPr>
                <w:rFonts w:hint="eastAsia" w:ascii="宋体" w:hAnsi="宋体" w:eastAsia="宋体" w:cs="宋体"/>
                <w:color w:val="auto"/>
                <w:spacing w:val="-8"/>
                <w:sz w:val="24"/>
                <w:szCs w:val="24"/>
              </w:rPr>
              <w:t xml:space="preserve"> 分；</w:t>
            </w:r>
          </w:p>
          <w:p w14:paraId="0D31BF70">
            <w:pPr>
              <w:pStyle w:val="36"/>
              <w:spacing w:before="158"/>
              <w:ind w:left="108"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r>
              <w:rPr>
                <w:rFonts w:hint="eastAsia" w:ascii="宋体" w:hAnsi="宋体" w:eastAsia="宋体" w:cs="宋体"/>
                <w:color w:val="auto"/>
                <w:spacing w:val="-2"/>
                <w:sz w:val="24"/>
                <w:szCs w:val="24"/>
              </w:rPr>
              <w:t>、不提供不得分。</w:t>
            </w:r>
          </w:p>
        </w:tc>
        <w:tc>
          <w:tcPr>
            <w:tcW w:w="797" w:type="dxa"/>
            <w:tcBorders>
              <w:top w:val="nil"/>
              <w:left w:val="nil"/>
              <w:bottom w:val="single" w:color="auto" w:sz="4" w:space="0"/>
              <w:right w:val="single" w:color="auto" w:sz="4" w:space="0"/>
            </w:tcBorders>
            <w:shd w:val="clear" w:color="auto" w:fill="auto"/>
            <w:vAlign w:val="top"/>
          </w:tcPr>
          <w:p w14:paraId="476653D6">
            <w:pPr>
              <w:pStyle w:val="36"/>
              <w:rPr>
                <w:rFonts w:hint="eastAsia" w:ascii="宋体" w:hAnsi="宋体" w:eastAsia="宋体" w:cs="宋体"/>
                <w:color w:val="auto"/>
                <w:sz w:val="24"/>
                <w:szCs w:val="24"/>
              </w:rPr>
            </w:pPr>
          </w:p>
          <w:p w14:paraId="3C93BAB5">
            <w:pPr>
              <w:pStyle w:val="36"/>
              <w:rPr>
                <w:rFonts w:hint="eastAsia" w:ascii="宋体" w:hAnsi="宋体" w:eastAsia="宋体" w:cs="宋体"/>
                <w:color w:val="auto"/>
                <w:sz w:val="24"/>
                <w:szCs w:val="24"/>
              </w:rPr>
            </w:pPr>
          </w:p>
          <w:p w14:paraId="51F4DD68">
            <w:pPr>
              <w:pStyle w:val="36"/>
              <w:rPr>
                <w:rFonts w:hint="eastAsia" w:ascii="宋体" w:hAnsi="宋体" w:eastAsia="宋体" w:cs="宋体"/>
                <w:color w:val="auto"/>
                <w:sz w:val="24"/>
                <w:szCs w:val="24"/>
              </w:rPr>
            </w:pPr>
          </w:p>
          <w:p w14:paraId="625DE684">
            <w:pPr>
              <w:pStyle w:val="36"/>
              <w:rPr>
                <w:rFonts w:hint="eastAsia" w:ascii="宋体" w:hAnsi="宋体" w:eastAsia="宋体" w:cs="宋体"/>
                <w:color w:val="auto"/>
                <w:sz w:val="24"/>
                <w:szCs w:val="24"/>
              </w:rPr>
            </w:pPr>
          </w:p>
          <w:p w14:paraId="61A1D231">
            <w:pPr>
              <w:pStyle w:val="36"/>
              <w:spacing w:before="98"/>
              <w:rPr>
                <w:rFonts w:hint="eastAsia" w:ascii="宋体" w:hAnsi="宋体" w:eastAsia="宋体" w:cs="宋体"/>
                <w:color w:val="auto"/>
                <w:sz w:val="24"/>
                <w:szCs w:val="24"/>
              </w:rPr>
            </w:pPr>
          </w:p>
          <w:p w14:paraId="1727E3AA">
            <w:pPr>
              <w:pStyle w:val="36"/>
              <w:ind w:left="107"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5"/>
                <w:sz w:val="24"/>
                <w:szCs w:val="24"/>
              </w:rPr>
              <w:t>20</w:t>
            </w:r>
          </w:p>
        </w:tc>
      </w:tr>
      <w:tr w14:paraId="7B69FF73">
        <w:tblPrEx>
          <w:tblCellMar>
            <w:top w:w="0" w:type="dxa"/>
            <w:left w:w="108" w:type="dxa"/>
            <w:bottom w:w="0" w:type="dxa"/>
            <w:right w:w="108" w:type="dxa"/>
          </w:tblCellMar>
        </w:tblPrEx>
        <w:trPr>
          <w:trHeight w:val="77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DAF8C8E">
            <w:pPr>
              <w:spacing w:line="400" w:lineRule="exact"/>
              <w:jc w:val="center"/>
              <w:rPr>
                <w:rFonts w:hint="eastAsia" w:ascii="宋体" w:hAnsi="宋体" w:cs="宋体"/>
                <w:sz w:val="24"/>
              </w:rPr>
            </w:pPr>
            <w:r>
              <w:rPr>
                <w:rFonts w:hint="eastAsia" w:ascii="宋体" w:hAnsi="宋体" w:cs="宋体"/>
                <w:sz w:val="24"/>
              </w:rPr>
              <w:t>3</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14:paraId="028EDF9F">
            <w:pPr>
              <w:pStyle w:val="36"/>
              <w:jc w:val="center"/>
              <w:rPr>
                <w:rFonts w:hint="eastAsia" w:ascii="宋体" w:hAnsi="宋体" w:eastAsia="宋体" w:cs="宋体"/>
                <w:color w:val="auto"/>
                <w:sz w:val="24"/>
                <w:szCs w:val="24"/>
              </w:rPr>
            </w:pPr>
          </w:p>
          <w:p w14:paraId="2FD9BD12">
            <w:pPr>
              <w:pStyle w:val="36"/>
              <w:jc w:val="center"/>
              <w:rPr>
                <w:rFonts w:hint="eastAsia" w:ascii="宋体" w:hAnsi="宋体" w:eastAsia="宋体" w:cs="宋体"/>
                <w:color w:val="auto"/>
                <w:sz w:val="24"/>
                <w:szCs w:val="24"/>
              </w:rPr>
            </w:pPr>
          </w:p>
          <w:p w14:paraId="1C427460">
            <w:pPr>
              <w:pStyle w:val="36"/>
              <w:spacing w:before="45"/>
              <w:jc w:val="center"/>
              <w:rPr>
                <w:rFonts w:hint="eastAsia" w:ascii="宋体" w:hAnsi="宋体" w:eastAsia="宋体" w:cs="宋体"/>
                <w:color w:val="auto"/>
                <w:sz w:val="24"/>
                <w:szCs w:val="24"/>
              </w:rPr>
            </w:pPr>
          </w:p>
          <w:p w14:paraId="130E0515">
            <w:pPr>
              <w:pStyle w:val="36"/>
              <w:spacing w:before="1" w:line="362" w:lineRule="auto"/>
              <w:ind w:left="108" w:leftChars="0" w:right="95"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6"/>
                <w:sz w:val="24"/>
                <w:szCs w:val="24"/>
              </w:rPr>
              <w:t>偿付能</w:t>
            </w:r>
            <w:r>
              <w:rPr>
                <w:rFonts w:hint="eastAsia" w:ascii="宋体" w:hAnsi="宋体" w:eastAsia="宋体" w:cs="宋体"/>
                <w:color w:val="auto"/>
                <w:spacing w:val="-10"/>
                <w:sz w:val="24"/>
                <w:szCs w:val="24"/>
              </w:rPr>
              <w:t>力</w:t>
            </w:r>
          </w:p>
        </w:tc>
        <w:tc>
          <w:tcPr>
            <w:tcW w:w="7303" w:type="dxa"/>
            <w:tcBorders>
              <w:top w:val="single" w:color="auto" w:sz="4" w:space="0"/>
              <w:left w:val="single" w:color="auto" w:sz="4" w:space="0"/>
              <w:bottom w:val="single" w:color="auto" w:sz="4" w:space="0"/>
              <w:right w:val="single" w:color="auto" w:sz="4" w:space="0"/>
            </w:tcBorders>
            <w:shd w:val="clear" w:color="auto" w:fill="auto"/>
            <w:vAlign w:val="top"/>
          </w:tcPr>
          <w:p w14:paraId="38778521">
            <w:pPr>
              <w:pStyle w:val="36"/>
              <w:spacing w:before="34" w:line="364" w:lineRule="auto"/>
              <w:ind w:left="108" w:leftChars="0" w:right="34" w:rightChars="0"/>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供应商或其所属总公司公开披露的 </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4</w:t>
            </w:r>
            <w:r>
              <w:rPr>
                <w:rFonts w:hint="eastAsia" w:ascii="宋体" w:hAnsi="宋体" w:eastAsia="宋体" w:cs="宋体"/>
                <w:color w:val="auto"/>
                <w:spacing w:val="-4"/>
                <w:sz w:val="24"/>
                <w:szCs w:val="24"/>
              </w:rPr>
              <w:t xml:space="preserve"> 年</w:t>
            </w:r>
            <w:r>
              <w:rPr>
                <w:rFonts w:hint="eastAsia" w:ascii="宋体" w:hAnsi="宋体" w:eastAsia="宋体" w:cs="宋体"/>
                <w:color w:val="auto"/>
                <w:spacing w:val="-4"/>
                <w:sz w:val="24"/>
                <w:szCs w:val="24"/>
                <w:lang w:val="en-US" w:eastAsia="zh-CN"/>
              </w:rPr>
              <w:t>任意一个</w:t>
            </w:r>
            <w:r>
              <w:rPr>
                <w:rFonts w:hint="eastAsia" w:ascii="宋体" w:hAnsi="宋体" w:eastAsia="宋体" w:cs="宋体"/>
                <w:color w:val="auto"/>
                <w:spacing w:val="-4"/>
                <w:sz w:val="24"/>
                <w:szCs w:val="24"/>
              </w:rPr>
              <w:t>季度综合偿付</w:t>
            </w:r>
            <w:r>
              <w:rPr>
                <w:rFonts w:hint="eastAsia" w:ascii="宋体" w:hAnsi="宋体" w:eastAsia="宋体" w:cs="宋体"/>
                <w:color w:val="auto"/>
                <w:sz w:val="24"/>
                <w:szCs w:val="24"/>
              </w:rPr>
              <w:t xml:space="preserve">能力: </w:t>
            </w:r>
          </w:p>
          <w:p w14:paraId="0A065B3A">
            <w:pPr>
              <w:pStyle w:val="36"/>
              <w:spacing w:before="34" w:line="364" w:lineRule="auto"/>
              <w:ind w:left="108" w:leftChars="0" w:right="34" w:rightChars="0"/>
              <w:rPr>
                <w:rFonts w:hint="eastAsia" w:ascii="宋体" w:hAnsi="宋体" w:eastAsia="宋体" w:cs="宋体"/>
                <w:color w:val="auto"/>
                <w:spacing w:val="-12"/>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pacing w:val="-8"/>
                <w:sz w:val="24"/>
                <w:szCs w:val="24"/>
              </w:rPr>
              <w:t xml:space="preserve">充足率高于 </w:t>
            </w:r>
            <w:r>
              <w:rPr>
                <w:rFonts w:hint="eastAsia" w:ascii="宋体" w:hAnsi="宋体" w:eastAsia="宋体" w:cs="宋体"/>
                <w:color w:val="auto"/>
                <w:sz w:val="24"/>
                <w:szCs w:val="24"/>
              </w:rPr>
              <w:t>250%(</w:t>
            </w:r>
            <w:r>
              <w:rPr>
                <w:rFonts w:hint="eastAsia" w:ascii="宋体" w:hAnsi="宋体" w:eastAsia="宋体" w:cs="宋体"/>
                <w:color w:val="auto"/>
                <w:spacing w:val="-9"/>
                <w:sz w:val="24"/>
                <w:szCs w:val="24"/>
              </w:rPr>
              <w:t xml:space="preserve">不含)的得 </w:t>
            </w:r>
            <w:r>
              <w:rPr>
                <w:rFonts w:hint="eastAsia" w:ascii="宋体" w:hAnsi="宋体" w:eastAsia="宋体" w:cs="宋体"/>
                <w:color w:val="auto"/>
                <w:sz w:val="24"/>
                <w:szCs w:val="24"/>
              </w:rPr>
              <w:t>20</w:t>
            </w:r>
            <w:r>
              <w:rPr>
                <w:rFonts w:hint="eastAsia" w:ascii="宋体" w:hAnsi="宋体" w:eastAsia="宋体" w:cs="宋体"/>
                <w:color w:val="auto"/>
                <w:spacing w:val="-12"/>
                <w:sz w:val="24"/>
                <w:szCs w:val="24"/>
              </w:rPr>
              <w:t xml:space="preserve"> 分 </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12"/>
                <w:sz w:val="24"/>
                <w:szCs w:val="24"/>
              </w:rPr>
              <w:t xml:space="preserve"> </w:t>
            </w:r>
          </w:p>
          <w:p w14:paraId="6A8DE393">
            <w:pPr>
              <w:pStyle w:val="36"/>
              <w:spacing w:before="34" w:line="364" w:lineRule="auto"/>
              <w:ind w:left="108" w:leftChars="0" w:right="34" w:rightChars="0"/>
              <w:rPr>
                <w:rFonts w:hint="eastAsia" w:ascii="宋体" w:hAnsi="宋体" w:eastAsia="宋体" w:cs="宋体"/>
                <w:color w:val="auto"/>
                <w:spacing w:val="8"/>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充足率在 200%</w:t>
            </w:r>
            <w:r>
              <w:rPr>
                <w:rFonts w:hint="eastAsia" w:ascii="宋体" w:hAnsi="宋体" w:eastAsia="宋体" w:cs="宋体"/>
                <w:color w:val="auto"/>
                <w:spacing w:val="5"/>
                <w:sz w:val="24"/>
                <w:szCs w:val="24"/>
              </w:rPr>
              <w:t xml:space="preserve"> (不含)-</w:t>
            </w:r>
            <w:r>
              <w:rPr>
                <w:rFonts w:hint="eastAsia" w:ascii="宋体" w:hAnsi="宋体" w:eastAsia="宋体" w:cs="宋体"/>
                <w:color w:val="auto"/>
                <w:sz w:val="24"/>
                <w:szCs w:val="24"/>
              </w:rPr>
              <w:t>250%</w:t>
            </w:r>
            <w:r>
              <w:rPr>
                <w:rFonts w:hint="eastAsia" w:ascii="宋体" w:hAnsi="宋体" w:eastAsia="宋体" w:cs="宋体"/>
                <w:color w:val="auto"/>
                <w:spacing w:val="-5"/>
                <w:sz w:val="24"/>
                <w:szCs w:val="24"/>
              </w:rPr>
              <w:t xml:space="preserve">(含)的得 </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pacing w:val="8"/>
                <w:sz w:val="24"/>
                <w:szCs w:val="24"/>
              </w:rPr>
              <w:t xml:space="preserve"> 分</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 xml:space="preserve"> </w:t>
            </w:r>
          </w:p>
          <w:p w14:paraId="220ED9B6">
            <w:pPr>
              <w:pStyle w:val="36"/>
              <w:spacing w:before="34" w:line="364" w:lineRule="auto"/>
              <w:ind w:left="108" w:leftChars="0" w:right="34" w:rightChars="0"/>
              <w:rPr>
                <w:rFonts w:hint="eastAsia" w:ascii="宋体" w:hAnsi="宋体" w:eastAsia="宋体" w:cs="宋体"/>
                <w:color w:val="auto"/>
                <w:spacing w:val="-32"/>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 xml:space="preserve">充足率在 </w:t>
            </w:r>
            <w:r>
              <w:rPr>
                <w:rFonts w:hint="eastAsia" w:ascii="宋体" w:hAnsi="宋体" w:eastAsia="宋体" w:cs="宋体"/>
                <w:color w:val="auto"/>
                <w:sz w:val="24"/>
                <w:szCs w:val="24"/>
              </w:rPr>
              <w:t>150%</w:t>
            </w:r>
            <w:r>
              <w:rPr>
                <w:rFonts w:hint="eastAsia" w:ascii="宋体" w:hAnsi="宋体" w:eastAsia="宋体" w:cs="宋体"/>
                <w:color w:val="auto"/>
                <w:spacing w:val="3"/>
                <w:sz w:val="24"/>
                <w:szCs w:val="24"/>
              </w:rPr>
              <w:t>(不含)</w:t>
            </w:r>
            <w:r>
              <w:rPr>
                <w:rFonts w:hint="eastAsia" w:ascii="宋体" w:hAnsi="宋体" w:eastAsia="宋体" w:cs="宋体"/>
                <w:color w:val="auto"/>
                <w:spacing w:val="-36"/>
                <w:sz w:val="24"/>
                <w:szCs w:val="24"/>
              </w:rPr>
              <w:t xml:space="preserve">一 </w:t>
            </w:r>
            <w:r>
              <w:rPr>
                <w:rFonts w:hint="eastAsia" w:ascii="宋体" w:hAnsi="宋体" w:eastAsia="宋体" w:cs="宋体"/>
                <w:color w:val="auto"/>
                <w:sz w:val="24"/>
                <w:szCs w:val="24"/>
              </w:rPr>
              <w:t>200%(</w:t>
            </w:r>
            <w:r>
              <w:rPr>
                <w:rFonts w:hint="eastAsia" w:ascii="宋体" w:hAnsi="宋体" w:eastAsia="宋体" w:cs="宋体"/>
                <w:color w:val="auto"/>
                <w:spacing w:val="-15"/>
                <w:sz w:val="24"/>
                <w:szCs w:val="24"/>
              </w:rPr>
              <w:t xml:space="preserve">含)的得 </w:t>
            </w:r>
            <w:r>
              <w:rPr>
                <w:rFonts w:hint="eastAsia" w:ascii="宋体" w:hAnsi="宋体" w:eastAsia="宋体" w:cs="宋体"/>
                <w:color w:val="auto"/>
                <w:sz w:val="24"/>
                <w:szCs w:val="24"/>
                <w:lang w:val="en-US" w:eastAsia="zh-CN"/>
              </w:rPr>
              <w:t>12</w:t>
            </w:r>
            <w:r>
              <w:rPr>
                <w:rFonts w:hint="eastAsia" w:ascii="宋体" w:hAnsi="宋体" w:eastAsia="宋体" w:cs="宋体"/>
                <w:color w:val="auto"/>
                <w:spacing w:val="-32"/>
                <w:sz w:val="24"/>
                <w:szCs w:val="24"/>
              </w:rPr>
              <w:t xml:space="preserve"> 分</w:t>
            </w:r>
            <w:r>
              <w:rPr>
                <w:rFonts w:hint="eastAsia" w:ascii="宋体" w:hAnsi="宋体" w:eastAsia="宋体" w:cs="宋体"/>
                <w:color w:val="auto"/>
                <w:spacing w:val="-32"/>
                <w:sz w:val="24"/>
                <w:szCs w:val="24"/>
                <w:lang w:eastAsia="zh-CN"/>
              </w:rPr>
              <w:t>；</w:t>
            </w:r>
          </w:p>
          <w:p w14:paraId="5E368CE2">
            <w:pPr>
              <w:pStyle w:val="36"/>
              <w:spacing w:before="34" w:line="364" w:lineRule="auto"/>
              <w:ind w:left="108" w:leftChars="0" w:right="34" w:rightChars="0"/>
              <w:rPr>
                <w:rFonts w:hint="eastAsia" w:ascii="宋体" w:hAnsi="宋体" w:eastAsia="宋体" w:cs="宋体"/>
                <w:color w:val="auto"/>
                <w:spacing w:val="-20"/>
                <w:sz w:val="24"/>
                <w:szCs w:val="24"/>
              </w:rPr>
            </w:pPr>
            <w:r>
              <w:rPr>
                <w:rFonts w:hint="eastAsia" w:ascii="宋体" w:hAnsi="宋体" w:eastAsia="宋体" w:cs="宋体"/>
                <w:color w:val="auto"/>
                <w:spacing w:val="-32"/>
                <w:sz w:val="24"/>
                <w:szCs w:val="24"/>
              </w:rPr>
              <w:t xml:space="preserve"> </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pacing w:val="-11"/>
                <w:sz w:val="24"/>
                <w:szCs w:val="24"/>
              </w:rPr>
              <w:t xml:space="preserve">充足率在低于 </w:t>
            </w:r>
            <w:r>
              <w:rPr>
                <w:rFonts w:hint="eastAsia" w:ascii="宋体" w:hAnsi="宋体" w:eastAsia="宋体" w:cs="宋体"/>
                <w:color w:val="auto"/>
                <w:sz w:val="24"/>
                <w:szCs w:val="24"/>
              </w:rPr>
              <w:t>150%(</w:t>
            </w:r>
            <w:r>
              <w:rPr>
                <w:rFonts w:hint="eastAsia" w:ascii="宋体" w:hAnsi="宋体" w:eastAsia="宋体" w:cs="宋体"/>
                <w:color w:val="auto"/>
                <w:spacing w:val="-14"/>
                <w:sz w:val="24"/>
                <w:szCs w:val="24"/>
              </w:rPr>
              <w:t xml:space="preserve">含)的得 </w:t>
            </w:r>
            <w:r>
              <w:rPr>
                <w:rFonts w:hint="eastAsia" w:ascii="宋体" w:hAnsi="宋体" w:eastAsia="宋体" w:cs="宋体"/>
                <w:color w:val="auto"/>
                <w:sz w:val="24"/>
                <w:szCs w:val="24"/>
                <w:lang w:val="en-US" w:eastAsia="zh-CN"/>
              </w:rPr>
              <w:t>8</w:t>
            </w:r>
            <w:r>
              <w:rPr>
                <w:rFonts w:hint="eastAsia" w:ascii="宋体" w:hAnsi="宋体" w:eastAsia="宋体" w:cs="宋体"/>
                <w:color w:val="auto"/>
                <w:spacing w:val="-20"/>
                <w:sz w:val="24"/>
                <w:szCs w:val="24"/>
              </w:rPr>
              <w:t xml:space="preserve"> 分 。</w:t>
            </w:r>
          </w:p>
          <w:p w14:paraId="39D21932">
            <w:pPr>
              <w:pStyle w:val="36"/>
              <w:spacing w:before="34" w:line="364" w:lineRule="auto"/>
              <w:ind w:left="108" w:leftChars="0" w:right="34" w:righ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证明材料:提供官网网络数据即网址截图，或提供公开披露的 202</w:t>
            </w:r>
            <w:r>
              <w:rPr>
                <w:rFonts w:hint="eastAsia" w:ascii="宋体" w:hAnsi="宋体" w:eastAsia="宋体" w:cs="宋体"/>
                <w:color w:val="auto"/>
                <w:sz w:val="24"/>
                <w:szCs w:val="24"/>
                <w:lang w:val="en-US" w:eastAsia="zh-CN"/>
              </w:rPr>
              <w:t>4</w:t>
            </w:r>
            <w:r>
              <w:rPr>
                <w:rFonts w:hint="eastAsia" w:ascii="宋体" w:hAnsi="宋体" w:eastAsia="宋体" w:cs="宋体"/>
                <w:color w:val="auto"/>
                <w:spacing w:val="-8"/>
                <w:sz w:val="24"/>
                <w:szCs w:val="24"/>
              </w:rPr>
              <w:t xml:space="preserve"> 年</w:t>
            </w:r>
            <w:r>
              <w:rPr>
                <w:rFonts w:hint="eastAsia" w:ascii="宋体" w:hAnsi="宋体" w:eastAsia="宋体" w:cs="宋体"/>
                <w:color w:val="auto"/>
                <w:spacing w:val="-8"/>
                <w:sz w:val="24"/>
                <w:szCs w:val="24"/>
                <w:lang w:val="en-US" w:eastAsia="zh-CN"/>
              </w:rPr>
              <w:t>任意一个</w:t>
            </w:r>
            <w:r>
              <w:rPr>
                <w:rFonts w:hint="eastAsia" w:ascii="宋体" w:hAnsi="宋体" w:eastAsia="宋体" w:cs="宋体"/>
                <w:color w:val="auto"/>
                <w:spacing w:val="-4"/>
                <w:sz w:val="24"/>
                <w:szCs w:val="24"/>
              </w:rPr>
              <w:t>季度的偿付能力专题审计报告复印件加盖公章。</w:t>
            </w:r>
          </w:p>
        </w:tc>
        <w:tc>
          <w:tcPr>
            <w:tcW w:w="797" w:type="dxa"/>
            <w:tcBorders>
              <w:top w:val="nil"/>
              <w:left w:val="nil"/>
              <w:bottom w:val="single" w:color="auto" w:sz="4" w:space="0"/>
              <w:right w:val="single" w:color="auto" w:sz="4" w:space="0"/>
            </w:tcBorders>
            <w:shd w:val="clear" w:color="auto" w:fill="auto"/>
            <w:vAlign w:val="top"/>
          </w:tcPr>
          <w:p w14:paraId="1793EDC4">
            <w:pPr>
              <w:pStyle w:val="36"/>
              <w:rPr>
                <w:rFonts w:hint="eastAsia" w:ascii="宋体" w:hAnsi="宋体" w:eastAsia="宋体" w:cs="宋体"/>
                <w:color w:val="auto"/>
                <w:sz w:val="24"/>
                <w:szCs w:val="24"/>
              </w:rPr>
            </w:pPr>
          </w:p>
          <w:p w14:paraId="483BC2D0">
            <w:pPr>
              <w:pStyle w:val="36"/>
              <w:rPr>
                <w:rFonts w:hint="eastAsia" w:ascii="宋体" w:hAnsi="宋体" w:eastAsia="宋体" w:cs="宋体"/>
                <w:color w:val="auto"/>
                <w:sz w:val="24"/>
                <w:szCs w:val="24"/>
              </w:rPr>
            </w:pPr>
          </w:p>
          <w:p w14:paraId="131C0923">
            <w:pPr>
              <w:pStyle w:val="36"/>
              <w:spacing w:before="278"/>
              <w:rPr>
                <w:rFonts w:hint="eastAsia" w:ascii="宋体" w:hAnsi="宋体" w:eastAsia="宋体" w:cs="宋体"/>
                <w:color w:val="auto"/>
                <w:sz w:val="24"/>
                <w:szCs w:val="24"/>
              </w:rPr>
            </w:pPr>
          </w:p>
          <w:p w14:paraId="3E31F6D0">
            <w:pPr>
              <w:pStyle w:val="36"/>
              <w:ind w:left="107"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5"/>
                <w:sz w:val="24"/>
                <w:szCs w:val="24"/>
              </w:rPr>
              <w:t>20</w:t>
            </w:r>
          </w:p>
        </w:tc>
      </w:tr>
      <w:tr w14:paraId="7568009A">
        <w:tblPrEx>
          <w:tblCellMar>
            <w:top w:w="0" w:type="dxa"/>
            <w:left w:w="108" w:type="dxa"/>
            <w:bottom w:w="0" w:type="dxa"/>
            <w:right w:w="108" w:type="dxa"/>
          </w:tblCellMar>
        </w:tblPrEx>
        <w:trPr>
          <w:trHeight w:val="127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C79E952">
            <w:pPr>
              <w:spacing w:line="400" w:lineRule="exact"/>
              <w:jc w:val="center"/>
              <w:rPr>
                <w:rFonts w:hint="eastAsia" w:ascii="宋体" w:hAnsi="宋体" w:cs="宋体"/>
                <w:sz w:val="24"/>
              </w:rPr>
            </w:pPr>
            <w:r>
              <w:rPr>
                <w:rFonts w:hint="eastAsia" w:ascii="宋体" w:hAnsi="宋体" w:cs="宋体"/>
                <w:sz w:val="24"/>
              </w:rPr>
              <w:t>4</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14:paraId="6AC75077">
            <w:pPr>
              <w:pStyle w:val="36"/>
              <w:jc w:val="center"/>
              <w:rPr>
                <w:rFonts w:hint="eastAsia" w:ascii="宋体" w:hAnsi="宋体" w:eastAsia="宋体" w:cs="宋体"/>
                <w:color w:val="auto"/>
                <w:sz w:val="24"/>
                <w:szCs w:val="24"/>
              </w:rPr>
            </w:pPr>
          </w:p>
          <w:p w14:paraId="308B7231">
            <w:pPr>
              <w:pStyle w:val="36"/>
              <w:jc w:val="center"/>
              <w:rPr>
                <w:rFonts w:hint="eastAsia" w:ascii="宋体" w:hAnsi="宋体" w:eastAsia="宋体" w:cs="宋体"/>
                <w:color w:val="auto"/>
                <w:sz w:val="24"/>
                <w:szCs w:val="24"/>
              </w:rPr>
            </w:pPr>
          </w:p>
          <w:p w14:paraId="2DD236CF">
            <w:pPr>
              <w:pStyle w:val="36"/>
              <w:jc w:val="center"/>
              <w:rPr>
                <w:rFonts w:hint="eastAsia" w:ascii="宋体" w:hAnsi="宋体" w:eastAsia="宋体" w:cs="宋体"/>
                <w:color w:val="auto"/>
                <w:sz w:val="24"/>
                <w:szCs w:val="24"/>
              </w:rPr>
            </w:pPr>
          </w:p>
          <w:p w14:paraId="0C6A60FD">
            <w:pPr>
              <w:pStyle w:val="36"/>
              <w:jc w:val="center"/>
              <w:rPr>
                <w:rFonts w:hint="eastAsia" w:ascii="宋体" w:hAnsi="宋体" w:eastAsia="宋体" w:cs="宋体"/>
                <w:color w:val="auto"/>
                <w:sz w:val="24"/>
                <w:szCs w:val="24"/>
              </w:rPr>
            </w:pPr>
          </w:p>
          <w:p w14:paraId="5B6FEDD7">
            <w:pPr>
              <w:pStyle w:val="36"/>
              <w:spacing w:before="97"/>
              <w:jc w:val="center"/>
              <w:rPr>
                <w:rFonts w:hint="eastAsia" w:ascii="宋体" w:hAnsi="宋体" w:eastAsia="宋体" w:cs="宋体"/>
                <w:color w:val="auto"/>
                <w:sz w:val="24"/>
                <w:szCs w:val="24"/>
              </w:rPr>
            </w:pPr>
          </w:p>
          <w:p w14:paraId="1F47DE47">
            <w:pPr>
              <w:pStyle w:val="36"/>
              <w:spacing w:line="362" w:lineRule="auto"/>
              <w:ind w:left="108" w:leftChars="0" w:right="95" w:rightChars="0"/>
              <w:jc w:val="center"/>
              <w:rPr>
                <w:rFonts w:hint="eastAsia" w:ascii="宋体" w:hAnsi="宋体" w:eastAsia="宋体" w:cs="宋体"/>
                <w:color w:val="auto"/>
                <w:kern w:val="2"/>
                <w:sz w:val="24"/>
                <w:szCs w:val="24"/>
                <w:highlight w:val="none"/>
                <w:lang w:val="en-GB" w:eastAsia="zh-CN" w:bidi="ar-SA"/>
              </w:rPr>
            </w:pPr>
            <w:r>
              <w:rPr>
                <w:rFonts w:hint="eastAsia" w:ascii="宋体" w:hAnsi="宋体" w:eastAsia="宋体" w:cs="宋体"/>
                <w:color w:val="auto"/>
                <w:spacing w:val="6"/>
                <w:sz w:val="24"/>
                <w:szCs w:val="24"/>
              </w:rPr>
              <w:t>行政处</w:t>
            </w:r>
            <w:r>
              <w:rPr>
                <w:rFonts w:hint="eastAsia" w:ascii="宋体" w:hAnsi="宋体" w:eastAsia="宋体" w:cs="宋体"/>
                <w:color w:val="auto"/>
                <w:spacing w:val="-4"/>
                <w:sz w:val="24"/>
                <w:szCs w:val="24"/>
              </w:rPr>
              <w:t>罚评价</w:t>
            </w:r>
          </w:p>
        </w:tc>
        <w:tc>
          <w:tcPr>
            <w:tcW w:w="7303" w:type="dxa"/>
            <w:tcBorders>
              <w:top w:val="single" w:color="auto" w:sz="4" w:space="0"/>
              <w:left w:val="single" w:color="auto" w:sz="4" w:space="0"/>
              <w:bottom w:val="single" w:color="auto" w:sz="4" w:space="0"/>
              <w:right w:val="single" w:color="auto" w:sz="4" w:space="0"/>
            </w:tcBorders>
            <w:shd w:val="clear" w:color="auto" w:fill="auto"/>
            <w:vAlign w:val="top"/>
          </w:tcPr>
          <w:p w14:paraId="249530D5">
            <w:pPr>
              <w:pStyle w:val="36"/>
              <w:spacing w:before="2" w:line="362" w:lineRule="auto"/>
              <w:ind w:left="108" w:right="154"/>
              <w:jc w:val="both"/>
              <w:rPr>
                <w:rFonts w:hint="eastAsia" w:ascii="宋体" w:hAnsi="宋体" w:eastAsia="宋体" w:cs="宋体"/>
                <w:color w:val="auto"/>
                <w:spacing w:val="-17"/>
                <w:sz w:val="24"/>
                <w:szCs w:val="24"/>
                <w:lang w:eastAsia="zh-CN"/>
              </w:rPr>
            </w:pPr>
            <w:r>
              <w:rPr>
                <w:rFonts w:hint="eastAsia" w:ascii="宋体" w:hAnsi="宋体" w:eastAsia="宋体" w:cs="宋体"/>
                <w:color w:val="auto"/>
                <w:spacing w:val="4"/>
                <w:sz w:val="24"/>
                <w:szCs w:val="24"/>
              </w:rPr>
              <w:t>供应商近三年内</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2021</w:t>
            </w:r>
            <w:r>
              <w:rPr>
                <w:rFonts w:hint="eastAsia" w:ascii="宋体" w:hAnsi="宋体" w:eastAsia="宋体" w:cs="宋体"/>
                <w:color w:val="auto"/>
                <w:spacing w:val="4"/>
                <w:sz w:val="24"/>
                <w:szCs w:val="24"/>
              </w:rPr>
              <w:t xml:space="preserve"> 年</w:t>
            </w:r>
            <w:r>
              <w:rPr>
                <w:rFonts w:hint="eastAsia" w:ascii="宋体" w:hAnsi="宋体" w:eastAsia="宋体" w:cs="宋体"/>
                <w:color w:val="auto"/>
                <w:spacing w:val="4"/>
                <w:sz w:val="24"/>
                <w:szCs w:val="24"/>
                <w:lang w:val="en-US" w:eastAsia="zh-CN"/>
              </w:rPr>
              <w:t>10月</w:t>
            </w:r>
            <w:r>
              <w:rPr>
                <w:rFonts w:hint="eastAsia" w:ascii="宋体" w:hAnsi="宋体" w:eastAsia="宋体" w:cs="宋体"/>
                <w:color w:val="auto"/>
                <w:spacing w:val="4"/>
                <w:sz w:val="24"/>
                <w:szCs w:val="24"/>
              </w:rPr>
              <w:t>至今）</w:t>
            </w:r>
            <w:r>
              <w:rPr>
                <w:rFonts w:hint="eastAsia" w:ascii="宋体" w:hAnsi="宋体" w:eastAsia="宋体" w:cs="宋体"/>
                <w:color w:val="auto"/>
                <w:spacing w:val="3"/>
                <w:sz w:val="24"/>
                <w:szCs w:val="24"/>
              </w:rPr>
              <w:t>无国家金融监督管理总局或</w:t>
            </w:r>
            <w:r>
              <w:rPr>
                <w:rFonts w:hint="eastAsia" w:ascii="宋体" w:hAnsi="宋体" w:eastAsia="宋体" w:cs="宋体"/>
                <w:color w:val="auto"/>
                <w:spacing w:val="6"/>
                <w:sz w:val="24"/>
                <w:szCs w:val="24"/>
              </w:rPr>
              <w:t>(原)中国银行保险监督管理委员会或(原)中国保险监督管理委员会供应商所在地监管局行政处罚者得 6</w:t>
            </w:r>
            <w:r>
              <w:rPr>
                <w:rFonts w:hint="eastAsia" w:ascii="宋体" w:hAnsi="宋体" w:eastAsia="宋体" w:cs="宋体"/>
                <w:color w:val="auto"/>
                <w:spacing w:val="-17"/>
                <w:sz w:val="24"/>
                <w:szCs w:val="24"/>
              </w:rPr>
              <w:t xml:space="preserve"> 分</w:t>
            </w:r>
            <w:r>
              <w:rPr>
                <w:rFonts w:hint="eastAsia" w:ascii="宋体" w:hAnsi="宋体" w:eastAsia="宋体" w:cs="宋体"/>
                <w:color w:val="auto"/>
                <w:spacing w:val="-17"/>
                <w:sz w:val="24"/>
                <w:szCs w:val="24"/>
                <w:lang w:eastAsia="zh-CN"/>
              </w:rPr>
              <w:t>；</w:t>
            </w:r>
          </w:p>
          <w:p w14:paraId="36BA16B8">
            <w:pPr>
              <w:pStyle w:val="36"/>
              <w:spacing w:before="2" w:line="362" w:lineRule="auto"/>
              <w:ind w:left="108" w:right="154"/>
              <w:jc w:val="both"/>
              <w:rPr>
                <w:rFonts w:hint="eastAsia" w:ascii="宋体" w:hAnsi="宋体" w:eastAsia="宋体" w:cs="宋体"/>
                <w:color w:val="auto"/>
                <w:spacing w:val="-7"/>
                <w:sz w:val="24"/>
                <w:szCs w:val="24"/>
                <w:lang w:eastAsia="zh-CN"/>
              </w:rPr>
            </w:pPr>
            <w:r>
              <w:rPr>
                <w:rFonts w:hint="eastAsia" w:ascii="宋体" w:hAnsi="宋体" w:eastAsia="宋体" w:cs="宋体"/>
                <w:color w:val="auto"/>
                <w:spacing w:val="-17"/>
                <w:sz w:val="24"/>
                <w:szCs w:val="24"/>
              </w:rPr>
              <w:t>有行政处罚记</w:t>
            </w:r>
            <w:r>
              <w:rPr>
                <w:rFonts w:hint="eastAsia" w:ascii="宋体" w:hAnsi="宋体" w:eastAsia="宋体" w:cs="宋体"/>
                <w:color w:val="auto"/>
                <w:spacing w:val="2"/>
                <w:sz w:val="24"/>
                <w:szCs w:val="24"/>
              </w:rPr>
              <w:t xml:space="preserve">录 </w:t>
            </w:r>
            <w:r>
              <w:rPr>
                <w:rFonts w:hint="eastAsia" w:ascii="宋体" w:hAnsi="宋体" w:eastAsia="宋体" w:cs="宋体"/>
                <w:color w:val="auto"/>
                <w:sz w:val="24"/>
                <w:szCs w:val="24"/>
              </w:rPr>
              <w:t>1</w:t>
            </w:r>
            <w:r>
              <w:rPr>
                <w:rFonts w:hint="eastAsia" w:ascii="宋体" w:hAnsi="宋体" w:eastAsia="宋体" w:cs="宋体"/>
                <w:color w:val="auto"/>
                <w:spacing w:val="2"/>
                <w:sz w:val="24"/>
                <w:szCs w:val="24"/>
              </w:rPr>
              <w:t xml:space="preserve"> 条者得 </w:t>
            </w:r>
            <w:r>
              <w:rPr>
                <w:rFonts w:hint="eastAsia" w:ascii="宋体" w:hAnsi="宋体" w:eastAsia="宋体" w:cs="宋体"/>
                <w:color w:val="auto"/>
                <w:sz w:val="24"/>
                <w:szCs w:val="24"/>
              </w:rPr>
              <w:t>4</w:t>
            </w:r>
            <w:r>
              <w:rPr>
                <w:rFonts w:hint="eastAsia" w:ascii="宋体" w:hAnsi="宋体" w:eastAsia="宋体" w:cs="宋体"/>
                <w:color w:val="auto"/>
                <w:spacing w:val="-7"/>
                <w:sz w:val="24"/>
                <w:szCs w:val="24"/>
              </w:rPr>
              <w:t xml:space="preserve"> 分</w:t>
            </w:r>
            <w:r>
              <w:rPr>
                <w:rFonts w:hint="eastAsia" w:ascii="宋体" w:hAnsi="宋体" w:eastAsia="宋体" w:cs="宋体"/>
                <w:color w:val="auto"/>
                <w:spacing w:val="-7"/>
                <w:sz w:val="24"/>
                <w:szCs w:val="24"/>
                <w:lang w:eastAsia="zh-CN"/>
              </w:rPr>
              <w:t>；</w:t>
            </w:r>
          </w:p>
          <w:p w14:paraId="3EDCCF78">
            <w:pPr>
              <w:pStyle w:val="36"/>
              <w:spacing w:before="2" w:line="362" w:lineRule="auto"/>
              <w:ind w:left="108" w:right="154"/>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7"/>
                <w:sz w:val="24"/>
                <w:szCs w:val="24"/>
              </w:rPr>
              <w:t xml:space="preserve">有行政处罚记录 </w:t>
            </w:r>
            <w:r>
              <w:rPr>
                <w:rFonts w:hint="eastAsia" w:ascii="宋体" w:hAnsi="宋体" w:eastAsia="宋体" w:cs="宋体"/>
                <w:color w:val="auto"/>
                <w:sz w:val="24"/>
                <w:szCs w:val="24"/>
              </w:rPr>
              <w:t>2</w:t>
            </w:r>
            <w:r>
              <w:rPr>
                <w:rFonts w:hint="eastAsia" w:ascii="宋体" w:hAnsi="宋体" w:eastAsia="宋体" w:cs="宋体"/>
                <w:color w:val="auto"/>
                <w:spacing w:val="2"/>
                <w:sz w:val="24"/>
                <w:szCs w:val="24"/>
              </w:rPr>
              <w:t xml:space="preserve"> 条者得 </w:t>
            </w:r>
            <w:r>
              <w:rPr>
                <w:rFonts w:hint="eastAsia" w:ascii="宋体" w:hAnsi="宋体" w:eastAsia="宋体" w:cs="宋体"/>
                <w:color w:val="auto"/>
                <w:sz w:val="24"/>
                <w:szCs w:val="24"/>
              </w:rPr>
              <w:t>2</w:t>
            </w:r>
            <w:r>
              <w:rPr>
                <w:rFonts w:hint="eastAsia" w:ascii="宋体" w:hAnsi="宋体" w:eastAsia="宋体" w:cs="宋体"/>
                <w:color w:val="auto"/>
                <w:spacing w:val="-2"/>
                <w:sz w:val="24"/>
                <w:szCs w:val="24"/>
              </w:rPr>
              <w:t xml:space="preserve"> 分</w:t>
            </w:r>
            <w:r>
              <w:rPr>
                <w:rFonts w:hint="eastAsia" w:ascii="宋体" w:hAnsi="宋体" w:eastAsia="宋体" w:cs="宋体"/>
                <w:color w:val="auto"/>
                <w:spacing w:val="-2"/>
                <w:sz w:val="24"/>
                <w:szCs w:val="24"/>
                <w:lang w:eastAsia="zh-CN"/>
              </w:rPr>
              <w:t>；</w:t>
            </w:r>
          </w:p>
          <w:p w14:paraId="034FC332">
            <w:pPr>
              <w:pStyle w:val="36"/>
              <w:spacing w:before="2" w:line="362" w:lineRule="auto"/>
              <w:ind w:left="108" w:right="15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有行政</w:t>
            </w:r>
            <w:r>
              <w:rPr>
                <w:rFonts w:hint="eastAsia" w:ascii="宋体" w:hAnsi="宋体" w:eastAsia="宋体" w:cs="宋体"/>
                <w:color w:val="auto"/>
                <w:sz w:val="24"/>
                <w:szCs w:val="24"/>
              </w:rPr>
              <w:t>处罚记录 3 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含</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rPr>
              <w:t>以上者不得分。</w:t>
            </w:r>
          </w:p>
          <w:p w14:paraId="081DCAC9">
            <w:pPr>
              <w:pStyle w:val="36"/>
              <w:spacing w:before="158" w:line="364" w:lineRule="auto"/>
              <w:ind w:left="108" w:right="154"/>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pacing w:val="9"/>
                <w:sz w:val="24"/>
                <w:szCs w:val="24"/>
              </w:rPr>
              <w:t>（</w:t>
            </w:r>
            <w:r>
              <w:rPr>
                <w:rFonts w:hint="eastAsia" w:ascii="宋体" w:hAnsi="宋体" w:eastAsia="宋体" w:cs="宋体"/>
                <w:color w:val="auto"/>
                <w:spacing w:val="6"/>
                <w:sz w:val="24"/>
                <w:szCs w:val="24"/>
              </w:rPr>
              <w:t>需提供国家金融监督管理总局或中国银行保险监督管理委员会供应商所在地监管局或原中国保险监督管理委员会供应商所在地监管局行政处罚官网行政处罚决定书截图加盖单位</w:t>
            </w:r>
            <w:r>
              <w:rPr>
                <w:rFonts w:hint="eastAsia" w:ascii="宋体" w:hAnsi="宋体" w:eastAsia="宋体" w:cs="宋体"/>
                <w:color w:val="auto"/>
                <w:sz w:val="24"/>
                <w:szCs w:val="24"/>
              </w:rPr>
              <w:t>公章或其他有效章，不提供者不得分</w:t>
            </w:r>
            <w:r>
              <w:rPr>
                <w:rFonts w:hint="eastAsia" w:ascii="宋体" w:hAnsi="宋体" w:eastAsia="宋体" w:cs="宋体"/>
                <w:color w:val="auto"/>
                <w:spacing w:val="-10"/>
                <w:sz w:val="24"/>
                <w:szCs w:val="24"/>
              </w:rPr>
              <w:t>）</w:t>
            </w:r>
          </w:p>
        </w:tc>
        <w:tc>
          <w:tcPr>
            <w:tcW w:w="797" w:type="dxa"/>
            <w:tcBorders>
              <w:top w:val="single" w:color="auto" w:sz="4" w:space="0"/>
              <w:left w:val="single" w:color="auto" w:sz="4" w:space="0"/>
              <w:bottom w:val="single" w:color="auto" w:sz="4" w:space="0"/>
              <w:right w:val="single" w:color="auto" w:sz="4" w:space="0"/>
            </w:tcBorders>
            <w:shd w:val="clear" w:color="auto" w:fill="auto"/>
            <w:vAlign w:val="top"/>
          </w:tcPr>
          <w:p w14:paraId="22FAF121">
            <w:pPr>
              <w:pStyle w:val="36"/>
              <w:rPr>
                <w:rFonts w:hint="eastAsia" w:ascii="宋体" w:hAnsi="宋体" w:eastAsia="宋体" w:cs="宋体"/>
                <w:color w:val="auto"/>
                <w:sz w:val="24"/>
                <w:szCs w:val="24"/>
              </w:rPr>
            </w:pPr>
          </w:p>
          <w:p w14:paraId="139CFA97">
            <w:pPr>
              <w:pStyle w:val="36"/>
              <w:rPr>
                <w:rFonts w:hint="eastAsia" w:ascii="宋体" w:hAnsi="宋体" w:eastAsia="宋体" w:cs="宋体"/>
                <w:color w:val="auto"/>
                <w:sz w:val="24"/>
                <w:szCs w:val="24"/>
              </w:rPr>
            </w:pPr>
          </w:p>
          <w:p w14:paraId="6DBDC4DF">
            <w:pPr>
              <w:pStyle w:val="36"/>
              <w:rPr>
                <w:rFonts w:hint="eastAsia" w:ascii="宋体" w:hAnsi="宋体" w:eastAsia="宋体" w:cs="宋体"/>
                <w:color w:val="auto"/>
                <w:sz w:val="24"/>
                <w:szCs w:val="24"/>
              </w:rPr>
            </w:pPr>
          </w:p>
          <w:p w14:paraId="695B2B11">
            <w:pPr>
              <w:pStyle w:val="36"/>
              <w:rPr>
                <w:rFonts w:hint="eastAsia" w:ascii="宋体" w:hAnsi="宋体" w:eastAsia="宋体" w:cs="宋体"/>
                <w:color w:val="auto"/>
                <w:sz w:val="24"/>
                <w:szCs w:val="24"/>
              </w:rPr>
            </w:pPr>
          </w:p>
          <w:p w14:paraId="19C8EBEE">
            <w:pPr>
              <w:pStyle w:val="36"/>
              <w:rPr>
                <w:rFonts w:hint="eastAsia" w:ascii="宋体" w:hAnsi="宋体" w:eastAsia="宋体" w:cs="宋体"/>
                <w:color w:val="auto"/>
                <w:sz w:val="24"/>
                <w:szCs w:val="24"/>
              </w:rPr>
            </w:pPr>
          </w:p>
          <w:p w14:paraId="23580AA1">
            <w:pPr>
              <w:pStyle w:val="36"/>
              <w:spacing w:before="25"/>
              <w:rPr>
                <w:rFonts w:hint="eastAsia" w:ascii="宋体" w:hAnsi="宋体" w:eastAsia="宋体" w:cs="宋体"/>
                <w:color w:val="auto"/>
                <w:sz w:val="24"/>
                <w:szCs w:val="24"/>
              </w:rPr>
            </w:pPr>
          </w:p>
          <w:p w14:paraId="2BF50EFE">
            <w:pPr>
              <w:pStyle w:val="36"/>
              <w:ind w:left="107"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0"/>
                <w:sz w:val="24"/>
                <w:szCs w:val="24"/>
              </w:rPr>
              <w:t>6</w:t>
            </w:r>
          </w:p>
        </w:tc>
      </w:tr>
      <w:tr w14:paraId="354327C2">
        <w:tblPrEx>
          <w:tblCellMar>
            <w:top w:w="0" w:type="dxa"/>
            <w:left w:w="108" w:type="dxa"/>
            <w:bottom w:w="0" w:type="dxa"/>
            <w:right w:w="108" w:type="dxa"/>
          </w:tblCellMar>
        </w:tblPrEx>
        <w:trPr>
          <w:trHeight w:val="127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AEC683B">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14:paraId="4F07226C">
            <w:pPr>
              <w:pStyle w:val="36"/>
              <w:jc w:val="center"/>
              <w:rPr>
                <w:rFonts w:hint="eastAsia" w:ascii="宋体" w:hAnsi="宋体" w:eastAsia="宋体" w:cs="宋体"/>
                <w:color w:val="auto"/>
                <w:sz w:val="24"/>
                <w:szCs w:val="24"/>
              </w:rPr>
            </w:pPr>
          </w:p>
          <w:p w14:paraId="18CED041">
            <w:pPr>
              <w:pStyle w:val="36"/>
              <w:spacing w:before="86"/>
              <w:jc w:val="center"/>
              <w:rPr>
                <w:rFonts w:hint="eastAsia" w:ascii="宋体" w:hAnsi="宋体" w:eastAsia="宋体" w:cs="宋体"/>
                <w:color w:val="auto"/>
                <w:sz w:val="24"/>
                <w:szCs w:val="24"/>
              </w:rPr>
            </w:pPr>
          </w:p>
          <w:p w14:paraId="5925CF41">
            <w:pPr>
              <w:pStyle w:val="36"/>
              <w:spacing w:line="364" w:lineRule="auto"/>
              <w:ind w:left="108" w:leftChars="0" w:right="95" w:rightChars="0"/>
              <w:jc w:val="center"/>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sz w:val="24"/>
                <w:szCs w:val="24"/>
              </w:rPr>
              <w:t>保险项目负责</w:t>
            </w:r>
            <w:r>
              <w:rPr>
                <w:rFonts w:hint="eastAsia" w:ascii="宋体" w:hAnsi="宋体" w:eastAsia="宋体" w:cs="宋体"/>
                <w:color w:val="auto"/>
                <w:spacing w:val="-10"/>
                <w:sz w:val="24"/>
                <w:szCs w:val="24"/>
              </w:rPr>
              <w:t>人</w:t>
            </w:r>
          </w:p>
        </w:tc>
        <w:tc>
          <w:tcPr>
            <w:tcW w:w="7303" w:type="dxa"/>
            <w:tcBorders>
              <w:top w:val="single" w:color="auto" w:sz="4" w:space="0"/>
              <w:left w:val="single" w:color="auto" w:sz="4" w:space="0"/>
              <w:bottom w:val="single" w:color="auto" w:sz="4" w:space="0"/>
              <w:right w:val="single" w:color="auto" w:sz="4" w:space="0"/>
            </w:tcBorders>
            <w:shd w:val="clear" w:color="auto" w:fill="auto"/>
            <w:vAlign w:val="top"/>
          </w:tcPr>
          <w:p w14:paraId="55BB67F3">
            <w:pPr>
              <w:pStyle w:val="36"/>
              <w:spacing w:line="364" w:lineRule="auto"/>
              <w:ind w:right="96" w:rightChars="0"/>
              <w:rPr>
                <w:rFonts w:hint="eastAsia" w:ascii="宋体" w:hAnsi="宋体" w:eastAsia="宋体" w:cs="宋体"/>
                <w:color w:val="auto"/>
                <w:spacing w:val="-10"/>
                <w:sz w:val="24"/>
                <w:szCs w:val="24"/>
                <w:lang w:eastAsia="zh-CN"/>
              </w:rPr>
            </w:pPr>
            <w:r>
              <w:rPr>
                <w:rFonts w:hint="eastAsia" w:ascii="宋体" w:hAnsi="宋体" w:eastAsia="宋体" w:cs="宋体"/>
                <w:color w:val="auto"/>
                <w:spacing w:val="-2"/>
                <w:sz w:val="24"/>
                <w:szCs w:val="24"/>
              </w:rPr>
              <w:t>根据供应商拟投入项目负责人情况进行评审:</w:t>
            </w:r>
            <w:r>
              <w:rPr>
                <w:rFonts w:hint="eastAsia" w:ascii="宋体" w:hAnsi="宋体" w:eastAsia="宋体" w:cs="宋体"/>
                <w:color w:val="auto"/>
                <w:spacing w:val="6"/>
                <w:sz w:val="24"/>
                <w:szCs w:val="24"/>
              </w:rPr>
              <w:t>项目负责人具有 1.</w:t>
            </w:r>
            <w:r>
              <w:rPr>
                <w:rFonts w:hint="eastAsia" w:ascii="宋体" w:hAnsi="宋体" w:eastAsia="宋体" w:cs="宋体"/>
                <w:color w:val="auto"/>
                <w:spacing w:val="-2"/>
                <w:sz w:val="24"/>
                <w:szCs w:val="24"/>
              </w:rPr>
              <w:t>高级或以上职称的</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2.能证明其保险从业经验\水平能力等相关证书及证明材料的</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 xml:space="preserve">每满足一项的得 </w:t>
            </w:r>
            <w:r>
              <w:rPr>
                <w:rFonts w:hint="eastAsia" w:ascii="宋体" w:hAnsi="宋体" w:eastAsia="宋体" w:cs="宋体"/>
                <w:color w:val="auto"/>
                <w:sz w:val="24"/>
                <w:szCs w:val="24"/>
              </w:rPr>
              <w:t>2</w:t>
            </w:r>
            <w:r>
              <w:rPr>
                <w:rFonts w:hint="eastAsia" w:ascii="宋体" w:hAnsi="宋体" w:eastAsia="宋体" w:cs="宋体"/>
                <w:color w:val="auto"/>
                <w:spacing w:val="-9"/>
                <w:sz w:val="24"/>
                <w:szCs w:val="24"/>
              </w:rPr>
              <w:t xml:space="preserve"> 分,最高得 </w:t>
            </w:r>
            <w:r>
              <w:rPr>
                <w:rFonts w:hint="eastAsia" w:ascii="宋体" w:hAnsi="宋体" w:eastAsia="宋体" w:cs="宋体"/>
                <w:color w:val="auto"/>
                <w:sz w:val="24"/>
                <w:szCs w:val="24"/>
              </w:rPr>
              <w:t>4</w:t>
            </w:r>
            <w:r>
              <w:rPr>
                <w:rFonts w:hint="eastAsia" w:ascii="宋体" w:hAnsi="宋体" w:eastAsia="宋体" w:cs="宋体"/>
                <w:color w:val="auto"/>
                <w:spacing w:val="-10"/>
                <w:sz w:val="24"/>
                <w:szCs w:val="24"/>
              </w:rPr>
              <w:t xml:space="preserve"> 分</w:t>
            </w:r>
            <w:r>
              <w:rPr>
                <w:rFonts w:hint="eastAsia" w:ascii="宋体" w:hAnsi="宋体" w:eastAsia="宋体" w:cs="宋体"/>
                <w:color w:val="auto"/>
                <w:spacing w:val="-10"/>
                <w:sz w:val="24"/>
                <w:szCs w:val="24"/>
                <w:lang w:eastAsia="zh-CN"/>
              </w:rPr>
              <w:t>。</w:t>
            </w:r>
          </w:p>
          <w:p w14:paraId="09F59EF6">
            <w:pPr>
              <w:pStyle w:val="36"/>
              <w:spacing w:line="364" w:lineRule="auto"/>
              <w:ind w:right="96" w:righ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2"/>
                <w:sz w:val="24"/>
                <w:szCs w:val="24"/>
              </w:rPr>
              <w:t>备注</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需同时提供</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1.相关证书复印件</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2.该员工在投标人处的</w:t>
            </w:r>
            <w:r>
              <w:rPr>
                <w:rFonts w:hint="eastAsia" w:ascii="宋体" w:hAnsi="宋体" w:eastAsia="宋体" w:cs="宋体"/>
                <w:color w:val="auto"/>
                <w:spacing w:val="-5"/>
                <w:sz w:val="24"/>
                <w:szCs w:val="24"/>
              </w:rPr>
              <w:t>社保记录(</w:t>
            </w:r>
            <w:r>
              <w:rPr>
                <w:rFonts w:hint="eastAsia" w:ascii="宋体" w:hAnsi="宋体" w:eastAsia="宋体" w:cs="宋体"/>
                <w:color w:val="auto"/>
                <w:spacing w:val="-5"/>
                <w:sz w:val="24"/>
                <w:szCs w:val="24"/>
                <w:lang w:val="en-US" w:eastAsia="zh-CN"/>
              </w:rPr>
              <w:t>2024年</w:t>
            </w:r>
            <w:r>
              <w:rPr>
                <w:rFonts w:hint="eastAsia" w:ascii="宋体" w:hAnsi="宋体" w:eastAsia="宋体" w:cs="宋体"/>
                <w:color w:val="auto"/>
                <w:spacing w:val="-15"/>
                <w:sz w:val="24"/>
                <w:szCs w:val="24"/>
              </w:rPr>
              <w:t>任意</w:t>
            </w:r>
            <w:r>
              <w:rPr>
                <w:rFonts w:hint="eastAsia" w:ascii="宋体" w:hAnsi="宋体" w:eastAsia="宋体" w:cs="宋体"/>
                <w:color w:val="auto"/>
                <w:sz w:val="24"/>
                <w:szCs w:val="24"/>
              </w:rPr>
              <w:t>1</w:t>
            </w:r>
            <w:r>
              <w:rPr>
                <w:rFonts w:hint="eastAsia" w:ascii="宋体" w:hAnsi="宋体" w:eastAsia="宋体" w:cs="宋体"/>
                <w:color w:val="auto"/>
                <w:spacing w:val="-8"/>
                <w:sz w:val="24"/>
                <w:szCs w:val="24"/>
              </w:rPr>
              <w:t>个月</w:t>
            </w:r>
            <w:r>
              <w:rPr>
                <w:rFonts w:hint="eastAsia" w:ascii="宋体" w:hAnsi="宋体" w:eastAsia="宋体" w:cs="宋体"/>
                <w:color w:val="auto"/>
                <w:spacing w:val="-8"/>
                <w:sz w:val="24"/>
                <w:szCs w:val="24"/>
                <w:lang w:val="en-US" w:eastAsia="zh-CN"/>
              </w:rPr>
              <w:t>社保缴纳</w:t>
            </w:r>
            <w:r>
              <w:rPr>
                <w:rFonts w:hint="eastAsia" w:ascii="宋体" w:hAnsi="宋体" w:eastAsia="宋体" w:cs="宋体"/>
                <w:color w:val="auto"/>
                <w:spacing w:val="-8"/>
                <w:sz w:val="24"/>
                <w:szCs w:val="24"/>
              </w:rPr>
              <w:t>记录)资料不</w:t>
            </w:r>
            <w:r>
              <w:rPr>
                <w:rFonts w:hint="eastAsia" w:ascii="宋体" w:hAnsi="宋体" w:eastAsia="宋体" w:cs="宋体"/>
                <w:color w:val="auto"/>
                <w:spacing w:val="-1"/>
                <w:sz w:val="24"/>
                <w:szCs w:val="24"/>
              </w:rPr>
              <w:t>全或者不提供不得分。</w:t>
            </w:r>
          </w:p>
        </w:tc>
        <w:tc>
          <w:tcPr>
            <w:tcW w:w="797" w:type="dxa"/>
            <w:tcBorders>
              <w:top w:val="single" w:color="auto" w:sz="4" w:space="0"/>
              <w:left w:val="single" w:color="auto" w:sz="4" w:space="0"/>
              <w:bottom w:val="single" w:color="auto" w:sz="4" w:space="0"/>
              <w:right w:val="single" w:color="auto" w:sz="4" w:space="0"/>
            </w:tcBorders>
            <w:shd w:val="clear" w:color="auto" w:fill="auto"/>
            <w:vAlign w:val="top"/>
          </w:tcPr>
          <w:p w14:paraId="0A36BC97">
            <w:pPr>
              <w:pStyle w:val="36"/>
              <w:rPr>
                <w:rFonts w:hint="eastAsia" w:ascii="宋体" w:hAnsi="宋体" w:eastAsia="宋体" w:cs="宋体"/>
                <w:color w:val="auto"/>
                <w:sz w:val="24"/>
                <w:szCs w:val="24"/>
              </w:rPr>
            </w:pPr>
          </w:p>
          <w:p w14:paraId="217A9CC7">
            <w:pPr>
              <w:pStyle w:val="36"/>
              <w:rPr>
                <w:rFonts w:hint="eastAsia" w:ascii="宋体" w:hAnsi="宋体" w:eastAsia="宋体" w:cs="宋体"/>
                <w:color w:val="auto"/>
                <w:sz w:val="24"/>
                <w:szCs w:val="24"/>
              </w:rPr>
            </w:pPr>
          </w:p>
          <w:p w14:paraId="13D7D976">
            <w:pPr>
              <w:pStyle w:val="36"/>
              <w:spacing w:before="246"/>
              <w:rPr>
                <w:rFonts w:hint="eastAsia" w:ascii="宋体" w:hAnsi="宋体" w:eastAsia="宋体" w:cs="宋体"/>
                <w:color w:val="auto"/>
                <w:sz w:val="24"/>
                <w:szCs w:val="24"/>
              </w:rPr>
            </w:pPr>
          </w:p>
          <w:p w14:paraId="6633ED33">
            <w:pPr>
              <w:pStyle w:val="36"/>
              <w:ind w:left="107" w:leftChars="0"/>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sz w:val="24"/>
                <w:szCs w:val="24"/>
              </w:rPr>
              <w:t>4</w:t>
            </w:r>
          </w:p>
        </w:tc>
      </w:tr>
      <w:tr w14:paraId="79F756FD">
        <w:tblPrEx>
          <w:tblCellMar>
            <w:top w:w="0" w:type="dxa"/>
            <w:left w:w="108" w:type="dxa"/>
            <w:bottom w:w="0" w:type="dxa"/>
            <w:right w:w="108" w:type="dxa"/>
          </w:tblCellMar>
        </w:tblPrEx>
        <w:trPr>
          <w:trHeight w:val="127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9977584">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top"/>
          </w:tcPr>
          <w:p w14:paraId="4DE50CA3">
            <w:pPr>
              <w:pStyle w:val="36"/>
              <w:jc w:val="center"/>
              <w:rPr>
                <w:rFonts w:hint="eastAsia" w:ascii="宋体" w:hAnsi="宋体" w:eastAsia="宋体" w:cs="宋体"/>
                <w:color w:val="auto"/>
                <w:sz w:val="24"/>
                <w:szCs w:val="24"/>
              </w:rPr>
            </w:pPr>
          </w:p>
          <w:p w14:paraId="45E27EA2">
            <w:pPr>
              <w:pStyle w:val="36"/>
              <w:spacing w:before="88"/>
              <w:jc w:val="center"/>
              <w:rPr>
                <w:rFonts w:hint="eastAsia" w:ascii="宋体" w:hAnsi="宋体" w:eastAsia="宋体" w:cs="宋体"/>
                <w:color w:val="auto"/>
                <w:sz w:val="24"/>
                <w:szCs w:val="24"/>
              </w:rPr>
            </w:pPr>
          </w:p>
          <w:p w14:paraId="0679EE76">
            <w:pPr>
              <w:pStyle w:val="36"/>
              <w:spacing w:line="362" w:lineRule="auto"/>
              <w:ind w:left="108" w:leftChars="0" w:right="95"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6"/>
                <w:sz w:val="24"/>
                <w:szCs w:val="24"/>
              </w:rPr>
              <w:t>企业业</w:t>
            </w:r>
            <w:r>
              <w:rPr>
                <w:rFonts w:hint="eastAsia" w:ascii="宋体" w:hAnsi="宋体" w:eastAsia="宋体" w:cs="宋体"/>
                <w:color w:val="auto"/>
                <w:spacing w:val="-10"/>
                <w:sz w:val="24"/>
                <w:szCs w:val="24"/>
              </w:rPr>
              <w:t>绩</w:t>
            </w:r>
          </w:p>
        </w:tc>
        <w:tc>
          <w:tcPr>
            <w:tcW w:w="7303" w:type="dxa"/>
            <w:tcBorders>
              <w:top w:val="single" w:color="auto" w:sz="4" w:space="0"/>
              <w:left w:val="single" w:color="auto" w:sz="4" w:space="0"/>
              <w:bottom w:val="single" w:color="auto" w:sz="4" w:space="0"/>
              <w:right w:val="single" w:color="auto" w:sz="4" w:space="0"/>
            </w:tcBorders>
            <w:shd w:val="clear" w:color="auto" w:fill="auto"/>
            <w:vAlign w:val="top"/>
          </w:tcPr>
          <w:p w14:paraId="5507FAC4">
            <w:pPr>
              <w:pStyle w:val="36"/>
              <w:spacing w:line="364" w:lineRule="auto"/>
              <w:ind w:right="96" w:rightChars="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供应商近 3 年</w:t>
            </w:r>
            <w:r>
              <w:rPr>
                <w:rFonts w:hint="eastAsia" w:cs="宋体"/>
                <w:color w:val="auto"/>
                <w:spacing w:val="-2"/>
                <w:sz w:val="24"/>
                <w:szCs w:val="24"/>
                <w:lang w:eastAsia="zh-CN"/>
              </w:rPr>
              <w:t>（</w:t>
            </w:r>
            <w:r>
              <w:rPr>
                <w:rFonts w:hint="eastAsia" w:cs="宋体"/>
                <w:color w:val="auto"/>
                <w:spacing w:val="-2"/>
                <w:sz w:val="24"/>
                <w:szCs w:val="24"/>
                <w:lang w:val="en-US" w:eastAsia="zh-CN"/>
              </w:rPr>
              <w:t>2021年10月至今</w:t>
            </w:r>
            <w:r>
              <w:rPr>
                <w:rFonts w:hint="eastAsia" w:cs="宋体"/>
                <w:color w:val="auto"/>
                <w:spacing w:val="-2"/>
                <w:sz w:val="24"/>
                <w:szCs w:val="24"/>
                <w:lang w:eastAsia="zh-CN"/>
              </w:rPr>
              <w:t>）</w:t>
            </w:r>
            <w:r>
              <w:rPr>
                <w:rFonts w:hint="eastAsia" w:ascii="宋体" w:hAnsi="宋体" w:eastAsia="宋体" w:cs="宋体"/>
                <w:color w:val="auto"/>
                <w:spacing w:val="-2"/>
                <w:sz w:val="24"/>
                <w:szCs w:val="24"/>
              </w:rPr>
              <w:t>承担过类似保险项目业绩每具有 1 项类似业绩得 2 分</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最高得 10 分。（只限于投标公司项目业绩，不包含总公司及其他分公司业绩）</w:t>
            </w:r>
          </w:p>
          <w:p w14:paraId="7F9E9AF8">
            <w:pPr>
              <w:pStyle w:val="36"/>
              <w:spacing w:line="364" w:lineRule="auto"/>
              <w:ind w:right="96" w:righ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2"/>
                <w:sz w:val="24"/>
                <w:szCs w:val="24"/>
              </w:rPr>
              <w:t>证明材料:提供保单或合同或合作协议复印件加盖公章作为证明材料。</w:t>
            </w:r>
          </w:p>
        </w:tc>
        <w:tc>
          <w:tcPr>
            <w:tcW w:w="797" w:type="dxa"/>
            <w:tcBorders>
              <w:top w:val="single" w:color="auto" w:sz="4" w:space="0"/>
              <w:left w:val="single" w:color="auto" w:sz="4" w:space="0"/>
              <w:bottom w:val="single" w:color="auto" w:sz="4" w:space="0"/>
              <w:right w:val="single" w:color="auto" w:sz="4" w:space="0"/>
            </w:tcBorders>
            <w:shd w:val="clear" w:color="auto" w:fill="auto"/>
            <w:vAlign w:val="top"/>
          </w:tcPr>
          <w:p w14:paraId="1D3A6DB9">
            <w:pPr>
              <w:pStyle w:val="36"/>
              <w:rPr>
                <w:rFonts w:hint="eastAsia" w:ascii="宋体" w:hAnsi="宋体" w:eastAsia="宋体" w:cs="宋体"/>
                <w:color w:val="auto"/>
                <w:sz w:val="24"/>
                <w:szCs w:val="24"/>
              </w:rPr>
            </w:pPr>
          </w:p>
          <w:p w14:paraId="3F480F3E">
            <w:pPr>
              <w:pStyle w:val="36"/>
              <w:rPr>
                <w:rFonts w:hint="eastAsia" w:ascii="宋体" w:hAnsi="宋体" w:eastAsia="宋体" w:cs="宋体"/>
                <w:color w:val="auto"/>
                <w:sz w:val="24"/>
                <w:szCs w:val="24"/>
              </w:rPr>
            </w:pPr>
          </w:p>
          <w:p w14:paraId="5C5AC36F">
            <w:pPr>
              <w:pStyle w:val="36"/>
              <w:spacing w:before="13"/>
              <w:rPr>
                <w:rFonts w:hint="eastAsia" w:ascii="宋体" w:hAnsi="宋体" w:eastAsia="宋体" w:cs="宋体"/>
                <w:color w:val="auto"/>
                <w:sz w:val="24"/>
                <w:szCs w:val="24"/>
              </w:rPr>
            </w:pPr>
          </w:p>
          <w:p w14:paraId="5BEF805F">
            <w:pPr>
              <w:pStyle w:val="36"/>
              <w:ind w:left="107"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5"/>
                <w:sz w:val="24"/>
                <w:szCs w:val="24"/>
              </w:rPr>
              <w:t>10</w:t>
            </w:r>
          </w:p>
        </w:tc>
      </w:tr>
      <w:tr w14:paraId="0059404E">
        <w:tblPrEx>
          <w:tblCellMar>
            <w:top w:w="0" w:type="dxa"/>
            <w:left w:w="108" w:type="dxa"/>
            <w:bottom w:w="0" w:type="dxa"/>
            <w:right w:w="108" w:type="dxa"/>
          </w:tblCellMar>
        </w:tblPrEx>
        <w:trPr>
          <w:trHeight w:val="285" w:hRule="atLeast"/>
          <w:jc w:val="center"/>
        </w:trPr>
        <w:tc>
          <w:tcPr>
            <w:tcW w:w="9371" w:type="dxa"/>
            <w:gridSpan w:val="3"/>
            <w:tcBorders>
              <w:top w:val="single" w:color="auto" w:sz="4" w:space="0"/>
              <w:left w:val="single" w:color="auto" w:sz="4" w:space="0"/>
              <w:bottom w:val="single" w:color="auto" w:sz="4" w:space="0"/>
              <w:right w:val="single" w:color="auto" w:sz="4" w:space="0"/>
            </w:tcBorders>
            <w:vAlign w:val="center"/>
          </w:tcPr>
          <w:p w14:paraId="31EBFFB2">
            <w:pPr>
              <w:spacing w:line="400" w:lineRule="exact"/>
              <w:rPr>
                <w:rFonts w:hint="eastAsia" w:ascii="宋体" w:hAnsi="宋体" w:cs="宋体"/>
                <w:sz w:val="24"/>
              </w:rPr>
            </w:pPr>
            <w:r>
              <w:rPr>
                <w:rFonts w:hint="eastAsia" w:ascii="宋体" w:hAnsi="宋体" w:cs="宋体"/>
                <w:bCs/>
                <w:sz w:val="24"/>
              </w:rPr>
              <w:t>二、价格部分</w:t>
            </w:r>
            <w:r>
              <w:rPr>
                <w:rFonts w:hint="eastAsia" w:ascii="宋体" w:hAnsi="宋体" w:cs="宋体"/>
                <w:sz w:val="24"/>
              </w:rPr>
              <w:t>　</w:t>
            </w:r>
          </w:p>
        </w:tc>
        <w:tc>
          <w:tcPr>
            <w:tcW w:w="797" w:type="dxa"/>
            <w:tcBorders>
              <w:top w:val="single" w:color="auto" w:sz="4" w:space="0"/>
              <w:left w:val="nil"/>
              <w:bottom w:val="single" w:color="auto" w:sz="4" w:space="0"/>
              <w:right w:val="single" w:color="auto" w:sz="4" w:space="0"/>
            </w:tcBorders>
            <w:vAlign w:val="center"/>
          </w:tcPr>
          <w:p w14:paraId="45BD0AEF">
            <w:pPr>
              <w:spacing w:line="400" w:lineRule="exact"/>
              <w:jc w:val="center"/>
              <w:rPr>
                <w:rFonts w:hint="eastAsia" w:ascii="宋体" w:hAnsi="宋体" w:cs="宋体"/>
                <w:bCs/>
                <w:sz w:val="24"/>
              </w:rPr>
            </w:pPr>
            <w:r>
              <w:rPr>
                <w:rFonts w:hint="eastAsia" w:ascii="宋体" w:hAnsi="宋体" w:cs="宋体"/>
                <w:bCs/>
                <w:sz w:val="24"/>
              </w:rPr>
              <w:t>20</w:t>
            </w:r>
          </w:p>
        </w:tc>
      </w:tr>
      <w:tr w14:paraId="224A5C56">
        <w:tblPrEx>
          <w:tblCellMar>
            <w:top w:w="0" w:type="dxa"/>
            <w:left w:w="108" w:type="dxa"/>
            <w:bottom w:w="0" w:type="dxa"/>
            <w:right w:w="108" w:type="dxa"/>
          </w:tblCellMar>
        </w:tblPrEx>
        <w:trPr>
          <w:trHeight w:val="720" w:hRule="atLeast"/>
          <w:jc w:val="center"/>
        </w:trPr>
        <w:tc>
          <w:tcPr>
            <w:tcW w:w="733" w:type="dxa"/>
            <w:tcBorders>
              <w:top w:val="nil"/>
              <w:left w:val="single" w:color="auto" w:sz="4" w:space="0"/>
              <w:bottom w:val="single" w:color="auto" w:sz="4" w:space="0"/>
              <w:right w:val="single" w:color="auto" w:sz="4" w:space="0"/>
            </w:tcBorders>
            <w:vAlign w:val="center"/>
          </w:tcPr>
          <w:p w14:paraId="7B049CC4">
            <w:pPr>
              <w:spacing w:line="400" w:lineRule="exact"/>
              <w:jc w:val="center"/>
              <w:rPr>
                <w:rFonts w:hint="eastAsia" w:ascii="宋体" w:hAnsi="宋体" w:cs="宋体"/>
                <w:sz w:val="24"/>
              </w:rPr>
            </w:pPr>
            <w:r>
              <w:rPr>
                <w:rFonts w:hint="eastAsia" w:ascii="宋体" w:hAnsi="宋体" w:cs="宋体"/>
                <w:sz w:val="24"/>
              </w:rPr>
              <w:t>1</w:t>
            </w:r>
          </w:p>
        </w:tc>
        <w:tc>
          <w:tcPr>
            <w:tcW w:w="1335" w:type="dxa"/>
            <w:tcBorders>
              <w:top w:val="nil"/>
              <w:left w:val="nil"/>
              <w:bottom w:val="single" w:color="auto" w:sz="4" w:space="0"/>
              <w:right w:val="single" w:color="auto" w:sz="4" w:space="0"/>
            </w:tcBorders>
            <w:vAlign w:val="center"/>
          </w:tcPr>
          <w:p w14:paraId="7AFF0064">
            <w:pPr>
              <w:spacing w:line="400" w:lineRule="exact"/>
              <w:jc w:val="center"/>
              <w:rPr>
                <w:rFonts w:hint="eastAsia" w:ascii="宋体" w:hAnsi="宋体" w:cs="宋体"/>
                <w:sz w:val="24"/>
              </w:rPr>
            </w:pPr>
            <w:r>
              <w:rPr>
                <w:rFonts w:hint="eastAsia" w:ascii="宋体" w:hAnsi="宋体" w:cs="宋体"/>
                <w:sz w:val="24"/>
              </w:rPr>
              <w:t>价格分</w:t>
            </w:r>
          </w:p>
        </w:tc>
        <w:tc>
          <w:tcPr>
            <w:tcW w:w="7303" w:type="dxa"/>
            <w:tcBorders>
              <w:top w:val="nil"/>
              <w:left w:val="nil"/>
              <w:bottom w:val="single" w:color="auto" w:sz="4" w:space="0"/>
              <w:right w:val="single" w:color="auto" w:sz="4" w:space="0"/>
            </w:tcBorders>
            <w:vAlign w:val="center"/>
          </w:tcPr>
          <w:p w14:paraId="23BEE7DA">
            <w:pPr>
              <w:spacing w:line="400" w:lineRule="exact"/>
              <w:rPr>
                <w:rFonts w:hint="eastAsia" w:ascii="宋体" w:hAnsi="宋体" w:cs="宋体"/>
                <w:sz w:val="24"/>
              </w:rPr>
            </w:pPr>
            <w:r>
              <w:rPr>
                <w:rFonts w:hint="eastAsia" w:ascii="宋体" w:hAnsi="宋体" w:cs="宋体"/>
                <w:sz w:val="24"/>
              </w:rPr>
              <w:t>满足招标文件要求且价格最低的投标价为基准价，其价格分为满分。其他投标人的价格分统一按照下列公式计算：</w:t>
            </w:r>
          </w:p>
          <w:p w14:paraId="6DD162D8">
            <w:pPr>
              <w:spacing w:line="400" w:lineRule="exact"/>
              <w:rPr>
                <w:rFonts w:hint="eastAsia" w:ascii="宋体" w:hAnsi="宋体" w:cs="宋体"/>
                <w:sz w:val="24"/>
              </w:rPr>
            </w:pPr>
            <w:r>
              <w:rPr>
                <w:rFonts w:hint="eastAsia" w:ascii="宋体" w:hAnsi="宋体" w:cs="宋体"/>
                <w:sz w:val="24"/>
              </w:rPr>
              <w:t>价格分=(基准价／投标报价)×价格权值×100</w:t>
            </w:r>
          </w:p>
        </w:tc>
        <w:tc>
          <w:tcPr>
            <w:tcW w:w="797" w:type="dxa"/>
            <w:tcBorders>
              <w:top w:val="nil"/>
              <w:left w:val="nil"/>
              <w:bottom w:val="single" w:color="auto" w:sz="4" w:space="0"/>
              <w:right w:val="single" w:color="auto" w:sz="4" w:space="0"/>
            </w:tcBorders>
            <w:vAlign w:val="center"/>
          </w:tcPr>
          <w:p w14:paraId="14C9F1B5">
            <w:pPr>
              <w:spacing w:line="400" w:lineRule="exact"/>
              <w:jc w:val="center"/>
              <w:rPr>
                <w:rFonts w:hint="eastAsia" w:ascii="宋体" w:hAnsi="宋体" w:cs="宋体"/>
                <w:sz w:val="24"/>
              </w:rPr>
            </w:pPr>
            <w:r>
              <w:rPr>
                <w:rFonts w:hint="eastAsia" w:ascii="宋体" w:hAnsi="宋体" w:cs="宋体"/>
                <w:sz w:val="24"/>
              </w:rPr>
              <w:t>20</w:t>
            </w:r>
          </w:p>
        </w:tc>
      </w:tr>
      <w:tr w14:paraId="5FF8DCAD">
        <w:tblPrEx>
          <w:tblCellMar>
            <w:top w:w="0" w:type="dxa"/>
            <w:left w:w="108" w:type="dxa"/>
            <w:bottom w:w="0" w:type="dxa"/>
            <w:right w:w="108" w:type="dxa"/>
          </w:tblCellMar>
        </w:tblPrEx>
        <w:trPr>
          <w:trHeight w:val="462" w:hRule="atLeast"/>
          <w:jc w:val="center"/>
        </w:trPr>
        <w:tc>
          <w:tcPr>
            <w:tcW w:w="2068" w:type="dxa"/>
            <w:gridSpan w:val="2"/>
            <w:tcBorders>
              <w:top w:val="single" w:color="auto" w:sz="4" w:space="0"/>
              <w:left w:val="single" w:color="auto" w:sz="4" w:space="0"/>
              <w:bottom w:val="single" w:color="auto" w:sz="4" w:space="0"/>
              <w:right w:val="single" w:color="auto" w:sz="4" w:space="0"/>
            </w:tcBorders>
            <w:vAlign w:val="center"/>
          </w:tcPr>
          <w:p w14:paraId="19C50FD5">
            <w:pPr>
              <w:spacing w:line="400" w:lineRule="exact"/>
              <w:jc w:val="center"/>
              <w:rPr>
                <w:rFonts w:hint="eastAsia" w:ascii="宋体" w:hAnsi="宋体" w:cs="宋体"/>
                <w:bCs/>
                <w:sz w:val="24"/>
              </w:rPr>
            </w:pPr>
            <w:r>
              <w:rPr>
                <w:rFonts w:hint="eastAsia" w:ascii="宋体" w:hAnsi="宋体" w:cs="宋体"/>
                <w:bCs/>
                <w:sz w:val="24"/>
              </w:rPr>
              <w:t>总  分</w:t>
            </w:r>
          </w:p>
        </w:tc>
        <w:tc>
          <w:tcPr>
            <w:tcW w:w="7303" w:type="dxa"/>
            <w:tcBorders>
              <w:top w:val="nil"/>
              <w:left w:val="nil"/>
              <w:bottom w:val="single" w:color="auto" w:sz="4" w:space="0"/>
              <w:right w:val="single" w:color="auto" w:sz="4" w:space="0"/>
            </w:tcBorders>
            <w:vAlign w:val="center"/>
          </w:tcPr>
          <w:p w14:paraId="37FD27E2">
            <w:pPr>
              <w:spacing w:line="400" w:lineRule="exact"/>
              <w:rPr>
                <w:rFonts w:hint="eastAsia" w:ascii="宋体" w:hAnsi="宋体" w:cs="宋体"/>
                <w:bCs/>
                <w:sz w:val="24"/>
              </w:rPr>
            </w:pPr>
            <w:r>
              <w:rPr>
                <w:rFonts w:hint="eastAsia" w:ascii="宋体" w:hAnsi="宋体" w:cs="宋体"/>
                <w:bCs/>
                <w:sz w:val="24"/>
              </w:rPr>
              <w:t>　</w:t>
            </w:r>
          </w:p>
        </w:tc>
        <w:tc>
          <w:tcPr>
            <w:tcW w:w="797" w:type="dxa"/>
            <w:tcBorders>
              <w:top w:val="nil"/>
              <w:left w:val="nil"/>
              <w:bottom w:val="single" w:color="auto" w:sz="4" w:space="0"/>
              <w:right w:val="single" w:color="auto" w:sz="4" w:space="0"/>
            </w:tcBorders>
            <w:vAlign w:val="center"/>
          </w:tcPr>
          <w:p w14:paraId="05EFEA36">
            <w:pPr>
              <w:spacing w:line="400" w:lineRule="exact"/>
              <w:jc w:val="center"/>
              <w:rPr>
                <w:rFonts w:hint="eastAsia" w:ascii="宋体" w:hAnsi="宋体" w:cs="宋体"/>
                <w:bCs/>
                <w:sz w:val="24"/>
              </w:rPr>
            </w:pPr>
            <w:r>
              <w:rPr>
                <w:rFonts w:hint="eastAsia" w:ascii="宋体" w:hAnsi="宋体" w:cs="宋体"/>
                <w:bCs/>
                <w:sz w:val="24"/>
              </w:rPr>
              <w:t>100</w:t>
            </w:r>
          </w:p>
        </w:tc>
      </w:tr>
    </w:tbl>
    <w:p w14:paraId="4C7AE092">
      <w:pPr>
        <w:rPr>
          <w:rFonts w:hint="eastAsia" w:ascii="宋体" w:hAnsi="宋体" w:cs="宋体"/>
          <w:sz w:val="24"/>
        </w:rPr>
      </w:pPr>
    </w:p>
    <w:p w14:paraId="75B655F9">
      <w:pPr>
        <w:jc w:val="center"/>
        <w:outlineLvl w:val="0"/>
        <w:rPr>
          <w:rStyle w:val="29"/>
        </w:rPr>
      </w:pPr>
      <w:bookmarkStart w:id="172" w:name="_Toc13611"/>
      <w:bookmarkStart w:id="173" w:name="_Toc25750"/>
      <w:bookmarkStart w:id="174" w:name="_Toc212102881"/>
      <w:bookmarkStart w:id="175" w:name="_Toc4697"/>
      <w:bookmarkStart w:id="176" w:name="_Toc317237629"/>
      <w:r>
        <w:rPr>
          <w:rFonts w:hint="eastAsia" w:ascii="宋体" w:hAnsi="宋体" w:cs="宋体"/>
          <w:b/>
          <w:sz w:val="48"/>
          <w:szCs w:val="48"/>
        </w:rPr>
        <w:br w:type="page"/>
      </w:r>
      <w:bookmarkStart w:id="177" w:name="_Toc32275"/>
      <w:r>
        <w:rPr>
          <w:rStyle w:val="29"/>
          <w:rFonts w:hint="eastAsia"/>
        </w:rPr>
        <w:t>第六部分  响应文件格式</w:t>
      </w:r>
      <w:bookmarkEnd w:id="172"/>
      <w:bookmarkEnd w:id="173"/>
      <w:bookmarkEnd w:id="174"/>
      <w:bookmarkEnd w:id="175"/>
      <w:bookmarkEnd w:id="176"/>
      <w:bookmarkEnd w:id="177"/>
    </w:p>
    <w:p w14:paraId="6F0D273E">
      <w:pPr>
        <w:pStyle w:val="46"/>
        <w:ind w:firstLine="480"/>
      </w:pPr>
    </w:p>
    <w:p w14:paraId="66A7640A">
      <w:pPr>
        <w:pStyle w:val="31"/>
        <w:spacing w:line="400" w:lineRule="atLeast"/>
        <w:ind w:firstLine="235"/>
        <w:rPr>
          <w:rFonts w:hint="eastAsia" w:ascii="宋体" w:hAnsi="宋体" w:cs="宋体"/>
          <w:b/>
          <w:bCs/>
          <w:sz w:val="24"/>
          <w:szCs w:val="24"/>
        </w:rPr>
      </w:pPr>
      <w:r>
        <w:rPr>
          <w:rFonts w:hint="eastAsia" w:ascii="宋体" w:hAnsi="宋体" w:cs="宋体"/>
          <w:b/>
          <w:bCs/>
          <w:sz w:val="24"/>
          <w:szCs w:val="24"/>
        </w:rPr>
        <w:t>请供应商按照以下要求的格式、内容、顺序制作响应文件，并请编制目录及页码，否则可能将影响对响应文件的评价。</w:t>
      </w:r>
    </w:p>
    <w:p w14:paraId="3EB5D0D7">
      <w:pPr>
        <w:rPr>
          <w:rFonts w:hint="eastAsia" w:ascii="宋体" w:hAnsi="宋体" w:cs="宋体"/>
        </w:rPr>
      </w:pPr>
    </w:p>
    <w:p w14:paraId="60198F96">
      <w:pPr>
        <w:jc w:val="center"/>
        <w:rPr>
          <w:rFonts w:hint="eastAsia" w:ascii="宋体" w:hAnsi="宋体" w:cs="宋体"/>
          <w:b/>
          <w:sz w:val="28"/>
          <w:szCs w:val="28"/>
        </w:rPr>
      </w:pPr>
      <w:r>
        <w:rPr>
          <w:rFonts w:hint="eastAsia" w:ascii="宋体" w:hAnsi="宋体" w:cs="宋体"/>
        </w:rPr>
        <w:br w:type="page"/>
      </w:r>
      <w:r>
        <w:rPr>
          <w:rFonts w:hint="eastAsia" w:ascii="宋体" w:hAnsi="宋体" w:cs="宋体"/>
          <w:b/>
          <w:sz w:val="28"/>
          <w:szCs w:val="28"/>
        </w:rPr>
        <w:t>（正本/副本）</w:t>
      </w:r>
    </w:p>
    <w:p w14:paraId="4FA65245">
      <w:pPr>
        <w:rPr>
          <w:rFonts w:hint="eastAsia" w:ascii="宋体" w:hAnsi="宋体" w:cs="宋体"/>
        </w:rPr>
      </w:pPr>
    </w:p>
    <w:p w14:paraId="3AAF06AB">
      <w:pPr>
        <w:rPr>
          <w:rFonts w:hint="eastAsia" w:ascii="宋体" w:hAnsi="宋体" w:cs="宋体"/>
        </w:rPr>
      </w:pPr>
    </w:p>
    <w:p w14:paraId="679FB3A6">
      <w:pPr>
        <w:jc w:val="center"/>
        <w:rPr>
          <w:rFonts w:hint="eastAsia" w:ascii="宋体" w:hAnsi="宋体" w:eastAsia="宋体" w:cs="宋体"/>
          <w:b/>
          <w:bCs/>
          <w:sz w:val="56"/>
          <w:szCs w:val="56"/>
          <w:lang w:eastAsia="zh-CN"/>
        </w:rPr>
      </w:pPr>
      <w:r>
        <w:rPr>
          <w:rFonts w:hint="eastAsia" w:ascii="宋体" w:hAnsi="宋体" w:cs="宋体"/>
          <w:b/>
          <w:bCs/>
          <w:sz w:val="56"/>
          <w:szCs w:val="56"/>
          <w:lang w:eastAsia="zh-CN"/>
        </w:rPr>
        <w:t>2024年医疗机构责任保险服务项目</w:t>
      </w:r>
    </w:p>
    <w:p w14:paraId="74BBC5DC">
      <w:pPr>
        <w:jc w:val="center"/>
        <w:rPr>
          <w:rFonts w:hint="eastAsia" w:ascii="宋体" w:hAnsi="宋体" w:eastAsia="宋体" w:cs="宋体"/>
          <w:sz w:val="28"/>
          <w:szCs w:val="28"/>
          <w:lang w:eastAsia="zh-CN"/>
        </w:rPr>
      </w:pPr>
      <w:r>
        <w:rPr>
          <w:rFonts w:hint="eastAsia" w:ascii="宋体" w:hAnsi="宋体" w:cs="宋体"/>
          <w:b/>
          <w:sz w:val="30"/>
          <w:szCs w:val="30"/>
        </w:rPr>
        <w:t>编号：</w:t>
      </w:r>
      <w:r>
        <w:rPr>
          <w:rFonts w:hint="eastAsia" w:ascii="宋体" w:hAnsi="宋体" w:cs="宋体"/>
          <w:b/>
          <w:sz w:val="30"/>
          <w:szCs w:val="30"/>
          <w:lang w:eastAsia="zh-CN"/>
        </w:rPr>
        <w:t>HNJY2024【118】</w:t>
      </w:r>
    </w:p>
    <w:p w14:paraId="62A291F7">
      <w:pPr>
        <w:pStyle w:val="46"/>
        <w:ind w:firstLine="480"/>
      </w:pPr>
    </w:p>
    <w:p w14:paraId="11C6931D">
      <w:pPr>
        <w:rPr>
          <w:rFonts w:hint="eastAsia" w:ascii="宋体" w:hAnsi="宋体" w:cs="宋体"/>
        </w:rPr>
      </w:pPr>
    </w:p>
    <w:p w14:paraId="0A0685F9">
      <w:pPr>
        <w:rPr>
          <w:rFonts w:hint="eastAsia" w:ascii="宋体" w:hAnsi="宋体" w:cs="宋体"/>
        </w:rPr>
      </w:pPr>
    </w:p>
    <w:p w14:paraId="374E4B0B">
      <w:pPr>
        <w:jc w:val="center"/>
        <w:rPr>
          <w:rFonts w:hint="eastAsia" w:ascii="宋体" w:hAnsi="宋体" w:cs="宋体"/>
          <w:b/>
          <w:spacing w:val="120"/>
          <w:sz w:val="72"/>
          <w:szCs w:val="72"/>
        </w:rPr>
      </w:pPr>
    </w:p>
    <w:p w14:paraId="51A1B791">
      <w:pPr>
        <w:jc w:val="center"/>
        <w:rPr>
          <w:rFonts w:hint="eastAsia" w:ascii="宋体" w:hAnsi="宋体" w:cs="宋体"/>
          <w:sz w:val="72"/>
          <w:szCs w:val="72"/>
        </w:rPr>
      </w:pPr>
      <w:r>
        <w:rPr>
          <w:rFonts w:hint="eastAsia" w:ascii="宋体" w:hAnsi="宋体" w:cs="宋体"/>
          <w:b/>
          <w:spacing w:val="120"/>
          <w:sz w:val="72"/>
          <w:szCs w:val="72"/>
        </w:rPr>
        <w:t>竞争性磋商</w:t>
      </w:r>
    </w:p>
    <w:p w14:paraId="440C15F5">
      <w:pPr>
        <w:rPr>
          <w:rFonts w:hint="eastAsia" w:ascii="宋体" w:hAnsi="宋体" w:cs="宋体"/>
        </w:rPr>
      </w:pPr>
    </w:p>
    <w:p w14:paraId="1EB34181">
      <w:pPr>
        <w:pStyle w:val="46"/>
        <w:ind w:firstLine="480"/>
      </w:pPr>
    </w:p>
    <w:p w14:paraId="5DE4C21C">
      <w:pPr>
        <w:jc w:val="center"/>
        <w:rPr>
          <w:rFonts w:hint="eastAsia" w:ascii="宋体" w:hAnsi="宋体" w:cs="宋体"/>
          <w:b/>
          <w:sz w:val="116"/>
          <w:szCs w:val="116"/>
        </w:rPr>
      </w:pPr>
      <w:r>
        <w:rPr>
          <w:rFonts w:hint="eastAsia" w:ascii="宋体" w:hAnsi="宋体" w:cs="宋体"/>
          <w:b/>
          <w:spacing w:val="120"/>
          <w:sz w:val="116"/>
          <w:szCs w:val="116"/>
        </w:rPr>
        <w:t>响应文</w:t>
      </w:r>
      <w:r>
        <w:rPr>
          <w:rFonts w:hint="eastAsia" w:ascii="宋体" w:hAnsi="宋体" w:cs="宋体"/>
          <w:b/>
          <w:sz w:val="116"/>
          <w:szCs w:val="116"/>
        </w:rPr>
        <w:t>件</w:t>
      </w:r>
    </w:p>
    <w:p w14:paraId="2BF79A9E">
      <w:pPr>
        <w:rPr>
          <w:rFonts w:hint="eastAsia" w:ascii="宋体" w:hAnsi="宋体" w:cs="宋体"/>
          <w:b/>
          <w:sz w:val="28"/>
          <w:szCs w:val="28"/>
        </w:rPr>
      </w:pPr>
    </w:p>
    <w:p w14:paraId="54F36F32">
      <w:pPr>
        <w:spacing w:line="360" w:lineRule="auto"/>
        <w:rPr>
          <w:rFonts w:hint="eastAsia" w:ascii="宋体" w:hAnsi="宋体" w:cs="宋体"/>
          <w:b/>
        </w:rPr>
      </w:pPr>
    </w:p>
    <w:p w14:paraId="19FDBC2A">
      <w:pPr>
        <w:spacing w:line="360" w:lineRule="auto"/>
        <w:rPr>
          <w:rFonts w:hint="eastAsia" w:ascii="宋体" w:hAnsi="宋体" w:cs="宋体"/>
          <w:b/>
        </w:rPr>
      </w:pPr>
    </w:p>
    <w:p w14:paraId="3628596C">
      <w:pPr>
        <w:ind w:firstLine="1684" w:firstLineChars="559"/>
        <w:jc w:val="left"/>
        <w:rPr>
          <w:rFonts w:hint="eastAsia" w:ascii="宋体" w:hAnsi="宋体" w:cs="宋体"/>
          <w:b/>
          <w:sz w:val="30"/>
          <w:szCs w:val="30"/>
        </w:rPr>
      </w:pPr>
      <w:r>
        <w:rPr>
          <w:rFonts w:hint="eastAsia" w:ascii="宋体" w:hAnsi="宋体" w:cs="宋体"/>
          <w:b/>
          <w:sz w:val="30"/>
          <w:szCs w:val="30"/>
        </w:rPr>
        <w:t>供应商名称：（盖章）</w:t>
      </w:r>
    </w:p>
    <w:p w14:paraId="44FB469F">
      <w:pPr>
        <w:ind w:firstLine="1687" w:firstLineChars="600"/>
        <w:rPr>
          <w:rFonts w:hint="eastAsia" w:ascii="宋体" w:hAnsi="宋体" w:cs="宋体"/>
          <w:b/>
          <w:bCs/>
          <w:sz w:val="28"/>
          <w:szCs w:val="28"/>
        </w:rPr>
      </w:pPr>
      <w:r>
        <w:rPr>
          <w:rFonts w:hint="eastAsia" w:ascii="宋体" w:hAnsi="宋体" w:cs="宋体"/>
          <w:b/>
          <w:bCs/>
          <w:sz w:val="28"/>
          <w:szCs w:val="28"/>
        </w:rPr>
        <w:t>法定代表人或被授权代表：（签字或签章）</w:t>
      </w:r>
    </w:p>
    <w:p w14:paraId="76D1190D">
      <w:pPr>
        <w:ind w:firstLine="1684" w:firstLineChars="559"/>
        <w:jc w:val="left"/>
        <w:rPr>
          <w:rFonts w:hint="eastAsia" w:ascii="宋体" w:hAnsi="宋体" w:cs="宋体"/>
          <w:b/>
          <w:sz w:val="30"/>
          <w:szCs w:val="30"/>
        </w:rPr>
      </w:pPr>
      <w:r>
        <w:rPr>
          <w:rFonts w:hint="eastAsia" w:ascii="宋体" w:hAnsi="宋体" w:cs="宋体"/>
          <w:b/>
          <w:sz w:val="30"/>
          <w:szCs w:val="30"/>
        </w:rPr>
        <w:t>日  期：   年    月   日</w:t>
      </w:r>
    </w:p>
    <w:p w14:paraId="4EBAF903">
      <w:pPr>
        <w:jc w:val="left"/>
        <w:rPr>
          <w:rFonts w:hint="eastAsia" w:ascii="宋体" w:hAnsi="宋体" w:cs="宋体"/>
          <w:b/>
        </w:rPr>
      </w:pPr>
      <w:r>
        <w:rPr>
          <w:rFonts w:hint="eastAsia" w:ascii="宋体" w:hAnsi="宋体" w:cs="宋体"/>
          <w:b/>
        </w:rPr>
        <w:br w:type="page"/>
      </w:r>
    </w:p>
    <w:p w14:paraId="75EFDA81">
      <w:pPr>
        <w:jc w:val="center"/>
        <w:rPr>
          <w:rFonts w:hint="eastAsia" w:ascii="宋体" w:hAnsi="宋体" w:cs="宋体"/>
          <w:sz w:val="44"/>
          <w:szCs w:val="44"/>
        </w:rPr>
      </w:pPr>
      <w:bookmarkStart w:id="178" w:name="_Toc22936"/>
      <w:bookmarkStart w:id="179" w:name="_Toc6155"/>
      <w:bookmarkStart w:id="180" w:name="_Toc729"/>
      <w:bookmarkStart w:id="181" w:name="_Toc317237630"/>
      <w:bookmarkStart w:id="182" w:name="_Toc8959"/>
      <w:bookmarkStart w:id="183" w:name="_Toc24224"/>
      <w:bookmarkStart w:id="184" w:name="_Toc30205"/>
      <w:bookmarkStart w:id="185" w:name="_Toc212102882"/>
      <w:r>
        <w:rPr>
          <w:rFonts w:hint="eastAsia" w:ascii="宋体" w:hAnsi="宋体" w:cs="宋体"/>
          <w:sz w:val="44"/>
          <w:szCs w:val="44"/>
        </w:rPr>
        <w:t>目录</w:t>
      </w:r>
    </w:p>
    <w:p w14:paraId="0D9E6EB8">
      <w:pPr>
        <w:pStyle w:val="6"/>
        <w:overflowPunct w:val="0"/>
        <w:spacing w:line="560" w:lineRule="exact"/>
        <w:ind w:firstLine="0"/>
        <w:jc w:val="center"/>
        <w:rPr>
          <w:rFonts w:hint="eastAsia" w:ascii="宋体" w:hAnsi="宋体" w:eastAsia="宋体" w:cs="宋体"/>
          <w:b/>
          <w:sz w:val="36"/>
          <w:szCs w:val="36"/>
        </w:rPr>
      </w:pPr>
    </w:p>
    <w:p w14:paraId="120A3308">
      <w:pPr>
        <w:pStyle w:val="46"/>
        <w:ind w:firstLine="420"/>
      </w:pPr>
      <w:r>
        <w:rPr>
          <w:rFonts w:hint="eastAsia"/>
          <w:sz w:val="21"/>
          <w:szCs w:val="21"/>
        </w:rPr>
        <w:t>（注：按以下格式顺序自行编辑目录）</w:t>
      </w:r>
      <w:r>
        <w:rPr>
          <w:rFonts w:hint="eastAsia"/>
        </w:rPr>
        <w:t xml:space="preserve">                 </w:t>
      </w:r>
    </w:p>
    <w:p w14:paraId="2C547780">
      <w:pPr>
        <w:pStyle w:val="3"/>
        <w:pageBreakBefore/>
        <w:jc w:val="center"/>
        <w:rPr>
          <w:rFonts w:hint="eastAsia" w:ascii="宋体" w:cs="宋体"/>
          <w:b w:val="0"/>
          <w:sz w:val="28"/>
          <w:szCs w:val="28"/>
        </w:rPr>
      </w:pPr>
      <w:r>
        <w:rPr>
          <w:rFonts w:hint="eastAsia" w:hAnsi="Calibri"/>
          <w:sz w:val="28"/>
          <w:szCs w:val="28"/>
        </w:rPr>
        <w:t>一</w:t>
      </w:r>
      <w:r>
        <w:rPr>
          <w:rFonts w:hint="eastAsia"/>
          <w:sz w:val="28"/>
          <w:szCs w:val="28"/>
        </w:rPr>
        <w:t>、响 应 函</w:t>
      </w:r>
    </w:p>
    <w:p w14:paraId="3F7928D1">
      <w:pPr>
        <w:pStyle w:val="32"/>
        <w:spacing w:line="500" w:lineRule="exact"/>
        <w:rPr>
          <w:rFonts w:hint="eastAsia" w:hAnsi="宋体" w:eastAsia="宋体" w:cs="宋体"/>
          <w:sz w:val="24"/>
          <w:szCs w:val="24"/>
        </w:rPr>
      </w:pPr>
      <w:r>
        <w:rPr>
          <w:rFonts w:hint="eastAsia" w:hAnsi="宋体" w:eastAsia="宋体" w:cs="宋体"/>
          <w:sz w:val="24"/>
          <w:szCs w:val="24"/>
          <w:u w:val="single"/>
        </w:rPr>
        <w:t>乐东黎族自治县第二人民医院</w:t>
      </w:r>
      <w:r>
        <w:rPr>
          <w:rFonts w:hint="eastAsia" w:hAnsi="宋体" w:eastAsia="宋体" w:cs="宋体"/>
          <w:sz w:val="24"/>
          <w:szCs w:val="24"/>
        </w:rPr>
        <w:t>：</w:t>
      </w:r>
    </w:p>
    <w:p w14:paraId="261FA010">
      <w:pPr>
        <w:pStyle w:val="32"/>
        <w:spacing w:line="360" w:lineRule="auto"/>
        <w:ind w:firstLine="480" w:firstLineChars="200"/>
        <w:rPr>
          <w:rFonts w:hint="eastAsia" w:hAnsi="宋体" w:eastAsia="宋体" w:cs="宋体"/>
          <w:sz w:val="24"/>
          <w:szCs w:val="24"/>
        </w:rPr>
      </w:pPr>
      <w:r>
        <w:rPr>
          <w:rFonts w:hint="eastAsia" w:hAnsi="宋体" w:eastAsia="宋体" w:cs="宋体"/>
          <w:sz w:val="24"/>
          <w:szCs w:val="24"/>
        </w:rPr>
        <w:t>我们仔细阅读并全面研究了</w:t>
      </w:r>
      <w:r>
        <w:rPr>
          <w:rFonts w:hint="eastAsia" w:hAnsi="宋体" w:eastAsia="宋体" w:cs="宋体"/>
          <w:sz w:val="24"/>
          <w:szCs w:val="24"/>
          <w:u w:val="single"/>
          <w:lang w:eastAsia="zh-CN"/>
        </w:rPr>
        <w:t>2024年医疗机构责任保险服务项目</w:t>
      </w:r>
      <w:r>
        <w:rPr>
          <w:rFonts w:hint="eastAsia" w:hAnsi="宋体" w:eastAsia="宋体" w:cs="宋体"/>
          <w:iCs/>
          <w:sz w:val="24"/>
          <w:szCs w:val="21"/>
        </w:rPr>
        <w:t>（项目编号：</w:t>
      </w:r>
      <w:r>
        <w:rPr>
          <w:rFonts w:hint="eastAsia" w:hAnsi="宋体" w:eastAsia="宋体" w:cs="宋体"/>
          <w:iCs/>
          <w:sz w:val="24"/>
          <w:szCs w:val="21"/>
          <w:lang w:eastAsia="zh-CN"/>
        </w:rPr>
        <w:t>HNJY2024【118】</w:t>
      </w:r>
      <w:r>
        <w:rPr>
          <w:rFonts w:hint="eastAsia" w:hAnsi="宋体" w:eastAsia="宋体" w:cs="宋体"/>
          <w:iCs/>
          <w:sz w:val="24"/>
          <w:szCs w:val="21"/>
        </w:rPr>
        <w:t>）</w:t>
      </w:r>
      <w:r>
        <w:rPr>
          <w:rFonts w:hint="eastAsia" w:hAnsi="宋体" w:eastAsia="宋体" w:cs="宋体"/>
          <w:sz w:val="24"/>
          <w:szCs w:val="24"/>
        </w:rPr>
        <w:t>磋商文件，决定响应磋商文件的邀请，参与本项目。</w:t>
      </w:r>
    </w:p>
    <w:p w14:paraId="264C39E4">
      <w:pPr>
        <w:spacing w:line="360" w:lineRule="auto"/>
        <w:ind w:firstLine="480" w:firstLineChars="200"/>
        <w:rPr>
          <w:rFonts w:hint="eastAsia" w:ascii="宋体" w:hAnsi="宋体" w:cs="宋体"/>
          <w:sz w:val="24"/>
        </w:rPr>
      </w:pPr>
      <w:r>
        <w:rPr>
          <w:rFonts w:hint="eastAsia" w:ascii="宋体" w:hAnsi="宋体" w:cs="宋体"/>
          <w:sz w:val="24"/>
        </w:rPr>
        <w:t>1、我方接受磋商文件的所有的条款和规定，自愿按照磋商文件规定的各项要求向采购人提供所需货物及伴随服务。我们提供的《报价一览表》的报价，包括了材料、安装、人工、机械、保险、劳保、各种税费以及质保等完成该项目全部内容的一切费用。我们的磋商总价为人民币(大写）</w:t>
      </w:r>
      <w:r>
        <w:rPr>
          <w:rFonts w:hint="eastAsia" w:ascii="宋体" w:hAnsi="宋体" w:cs="宋体"/>
          <w:sz w:val="24"/>
          <w:u w:val="single"/>
        </w:rPr>
        <w:t xml:space="preserve">                 (</w:t>
      </w:r>
      <w:r>
        <w:rPr>
          <w:rFonts w:ascii="Arial" w:hAnsi="Arial" w:cs="Arial"/>
          <w:sz w:val="24"/>
        </w:rPr>
        <w:t>¥</w:t>
      </w:r>
      <w:r>
        <w:rPr>
          <w:rFonts w:hint="eastAsia" w:ascii="宋体" w:hAnsi="宋体" w:cs="宋体"/>
          <w:sz w:val="24"/>
        </w:rPr>
        <w:t xml:space="preserve">        ）。</w:t>
      </w:r>
    </w:p>
    <w:p w14:paraId="55559C85">
      <w:pPr>
        <w:pStyle w:val="32"/>
        <w:spacing w:line="360" w:lineRule="auto"/>
        <w:ind w:firstLine="480" w:firstLineChars="200"/>
        <w:rPr>
          <w:rFonts w:hint="eastAsia" w:hAnsi="宋体" w:eastAsia="宋体" w:cs="宋体"/>
          <w:sz w:val="24"/>
          <w:szCs w:val="24"/>
        </w:rPr>
      </w:pPr>
      <w:r>
        <w:rPr>
          <w:rFonts w:hint="eastAsia" w:hAnsi="宋体" w:eastAsia="宋体" w:cs="宋体"/>
          <w:sz w:val="24"/>
          <w:szCs w:val="24"/>
        </w:rPr>
        <w:t>2、如果我们被授予合同，我们将严格履行合同规定的责任和义务，保证按期、按质、按量完成合同义务。</w:t>
      </w:r>
    </w:p>
    <w:p w14:paraId="5062791A">
      <w:pPr>
        <w:pStyle w:val="32"/>
        <w:spacing w:line="360" w:lineRule="auto"/>
        <w:ind w:firstLine="480" w:firstLineChars="200"/>
        <w:rPr>
          <w:rFonts w:hint="eastAsia" w:hAnsi="宋体" w:eastAsia="宋体" w:cs="宋体"/>
          <w:sz w:val="24"/>
          <w:szCs w:val="24"/>
        </w:rPr>
      </w:pPr>
      <w:r>
        <w:rPr>
          <w:rFonts w:hint="eastAsia" w:hAnsi="宋体" w:eastAsia="宋体" w:cs="宋体"/>
          <w:sz w:val="24"/>
          <w:szCs w:val="24"/>
        </w:rPr>
        <w:t>3、我们同意按磋商文件中的规定，本响应文件的有效期限为开启响应文件</w:t>
      </w:r>
      <w:r>
        <w:rPr>
          <w:rFonts w:hint="eastAsia" w:hAnsi="宋体" w:eastAsia="宋体" w:cs="宋体"/>
          <w:sz w:val="24"/>
          <w:szCs w:val="24"/>
          <w:u w:val="single"/>
        </w:rPr>
        <w:t xml:space="preserve">   </w:t>
      </w:r>
      <w:r>
        <w:rPr>
          <w:rFonts w:hint="eastAsia" w:hAnsi="宋体" w:eastAsia="宋体" w:cs="宋体"/>
          <w:sz w:val="24"/>
          <w:szCs w:val="24"/>
        </w:rPr>
        <w:t>天。</w:t>
      </w:r>
    </w:p>
    <w:p w14:paraId="6CCCABAA">
      <w:pPr>
        <w:pStyle w:val="32"/>
        <w:spacing w:line="360" w:lineRule="auto"/>
        <w:ind w:firstLine="480" w:firstLineChars="200"/>
        <w:rPr>
          <w:rFonts w:hint="eastAsia" w:hAnsi="宋体" w:eastAsia="宋体" w:cs="宋体"/>
          <w:sz w:val="24"/>
          <w:szCs w:val="24"/>
        </w:rPr>
      </w:pPr>
      <w:r>
        <w:rPr>
          <w:rFonts w:hint="eastAsia" w:hAnsi="宋体" w:eastAsia="宋体" w:cs="宋体"/>
          <w:sz w:val="24"/>
          <w:szCs w:val="24"/>
        </w:rPr>
        <w:t>4、我们愿意提供采购方在磋商文件中要求的所有资料。</w:t>
      </w:r>
    </w:p>
    <w:p w14:paraId="02E29511">
      <w:pPr>
        <w:pStyle w:val="32"/>
        <w:spacing w:line="360" w:lineRule="auto"/>
        <w:ind w:firstLine="480" w:firstLineChars="200"/>
        <w:rPr>
          <w:rFonts w:hint="eastAsia" w:hAnsi="宋体" w:eastAsia="宋体" w:cs="宋体"/>
          <w:sz w:val="24"/>
          <w:szCs w:val="24"/>
        </w:rPr>
      </w:pPr>
      <w:r>
        <w:rPr>
          <w:rFonts w:hint="eastAsia" w:hAnsi="宋体" w:eastAsia="宋体" w:cs="宋体"/>
          <w:sz w:val="24"/>
          <w:szCs w:val="24"/>
        </w:rPr>
        <w:t>5、我们愿意遵守采购公告及磋商文件中明示的收费标准。</w:t>
      </w:r>
    </w:p>
    <w:p w14:paraId="497D6DD7">
      <w:pPr>
        <w:pStyle w:val="32"/>
        <w:spacing w:line="360" w:lineRule="auto"/>
        <w:ind w:firstLine="480" w:firstLineChars="200"/>
        <w:rPr>
          <w:rFonts w:hint="eastAsia" w:hAnsi="宋体" w:eastAsia="宋体" w:cs="宋体"/>
          <w:sz w:val="24"/>
          <w:szCs w:val="24"/>
        </w:rPr>
      </w:pPr>
      <w:r>
        <w:rPr>
          <w:rFonts w:hint="eastAsia" w:hAnsi="宋体" w:eastAsia="宋体" w:cs="宋体"/>
          <w:sz w:val="24"/>
          <w:szCs w:val="24"/>
        </w:rPr>
        <w:t>6、我们承诺响应文件在提交响应文件截止时间后至磋商有效期截止前保持有效，不作任何更改和变动。</w:t>
      </w:r>
    </w:p>
    <w:p w14:paraId="6BEBA194">
      <w:pPr>
        <w:pStyle w:val="32"/>
        <w:spacing w:line="360" w:lineRule="auto"/>
        <w:ind w:firstLine="480" w:firstLineChars="200"/>
        <w:rPr>
          <w:rFonts w:hint="eastAsia" w:hAnsi="宋体" w:eastAsia="宋体" w:cs="宋体"/>
          <w:sz w:val="24"/>
          <w:szCs w:val="24"/>
        </w:rPr>
      </w:pPr>
      <w:r>
        <w:rPr>
          <w:rFonts w:hint="eastAsia" w:hAnsi="宋体" w:eastAsia="宋体" w:cs="宋体"/>
          <w:sz w:val="24"/>
          <w:szCs w:val="24"/>
        </w:rPr>
        <w:t>7、我方承诺遵守《中华人民共和国劳动法》关于性别平等的相关规定和《中华人民共和国妇女权益保障法》中关于“劳动和社会保障权益”的有关要求。</w:t>
      </w:r>
    </w:p>
    <w:p w14:paraId="49A29EC1">
      <w:pPr>
        <w:pStyle w:val="32"/>
        <w:spacing w:line="360" w:lineRule="auto"/>
        <w:rPr>
          <w:rFonts w:hint="eastAsia" w:hAnsi="宋体" w:eastAsia="宋体" w:cs="宋体"/>
          <w:sz w:val="24"/>
          <w:szCs w:val="24"/>
        </w:rPr>
      </w:pPr>
      <w:r>
        <w:rPr>
          <w:rFonts w:hint="eastAsia" w:hAnsi="宋体" w:eastAsia="宋体" w:cs="宋体"/>
          <w:sz w:val="24"/>
          <w:szCs w:val="24"/>
        </w:rPr>
        <w:t>供应商全称（公章）：</w:t>
      </w:r>
    </w:p>
    <w:p w14:paraId="7EB132D8">
      <w:pPr>
        <w:pStyle w:val="32"/>
        <w:spacing w:line="360" w:lineRule="auto"/>
        <w:rPr>
          <w:rFonts w:hint="eastAsia" w:hAnsi="宋体" w:eastAsia="宋体" w:cs="宋体"/>
          <w:iCs/>
          <w:sz w:val="24"/>
          <w:szCs w:val="21"/>
        </w:rPr>
      </w:pPr>
      <w:r>
        <w:rPr>
          <w:rFonts w:hint="eastAsia" w:hAnsi="宋体" w:eastAsia="宋体" w:cs="宋体"/>
          <w:sz w:val="24"/>
          <w:szCs w:val="24"/>
        </w:rPr>
        <w:t>法定代表人或被授权代表：</w:t>
      </w:r>
      <w:r>
        <w:rPr>
          <w:rFonts w:hint="eastAsia" w:hAnsi="宋体" w:eastAsia="宋体" w:cs="宋体"/>
          <w:iCs/>
          <w:sz w:val="24"/>
          <w:szCs w:val="21"/>
        </w:rPr>
        <w:t>（签字或盖章）</w:t>
      </w:r>
    </w:p>
    <w:p w14:paraId="6EF87569">
      <w:pPr>
        <w:pStyle w:val="32"/>
        <w:spacing w:line="360" w:lineRule="auto"/>
        <w:rPr>
          <w:rFonts w:hint="eastAsia" w:hAnsi="宋体" w:eastAsia="宋体" w:cs="宋体"/>
          <w:sz w:val="24"/>
          <w:szCs w:val="24"/>
        </w:rPr>
      </w:pPr>
      <w:r>
        <w:rPr>
          <w:rFonts w:hint="eastAsia" w:hAnsi="宋体" w:eastAsia="宋体" w:cs="宋体"/>
          <w:sz w:val="24"/>
          <w:szCs w:val="24"/>
        </w:rPr>
        <w:t>地址：邮政编码：</w:t>
      </w:r>
    </w:p>
    <w:p w14:paraId="4CBD418B">
      <w:pPr>
        <w:pStyle w:val="32"/>
        <w:spacing w:line="360" w:lineRule="auto"/>
        <w:rPr>
          <w:rFonts w:hint="eastAsia" w:hAnsi="宋体" w:eastAsia="宋体" w:cs="宋体"/>
          <w:sz w:val="24"/>
          <w:szCs w:val="24"/>
        </w:rPr>
      </w:pPr>
      <w:r>
        <w:rPr>
          <w:rFonts w:hint="eastAsia" w:hAnsi="宋体" w:eastAsia="宋体" w:cs="宋体"/>
          <w:sz w:val="24"/>
          <w:szCs w:val="24"/>
        </w:rPr>
        <w:t>联系人：联系电话：</w:t>
      </w:r>
    </w:p>
    <w:p w14:paraId="138849D7">
      <w:pPr>
        <w:pStyle w:val="32"/>
        <w:spacing w:line="360" w:lineRule="auto"/>
        <w:rPr>
          <w:rFonts w:hint="eastAsia" w:hAnsi="宋体" w:eastAsia="宋体" w:cs="宋体"/>
          <w:sz w:val="24"/>
          <w:szCs w:val="24"/>
        </w:rPr>
      </w:pPr>
      <w:r>
        <w:rPr>
          <w:rFonts w:hint="eastAsia" w:hAnsi="宋体" w:eastAsia="宋体" w:cs="宋体"/>
          <w:sz w:val="24"/>
          <w:szCs w:val="24"/>
        </w:rPr>
        <w:t>电子邮件：</w:t>
      </w:r>
      <w:r>
        <w:rPr>
          <w:rFonts w:hint="eastAsia" w:hAnsi="宋体" w:eastAsia="宋体" w:cs="宋体"/>
          <w:sz w:val="24"/>
          <w:szCs w:val="24"/>
        </w:rPr>
        <w:tab/>
      </w:r>
      <w:r>
        <w:rPr>
          <w:rFonts w:hint="eastAsia" w:hAnsi="宋体" w:eastAsia="宋体" w:cs="宋体"/>
          <w:sz w:val="24"/>
          <w:szCs w:val="24"/>
        </w:rPr>
        <w:t>传真：</w:t>
      </w:r>
    </w:p>
    <w:p w14:paraId="6E85767F">
      <w:pPr>
        <w:pStyle w:val="32"/>
        <w:jc w:val="right"/>
        <w:rPr>
          <w:rFonts w:hint="eastAsia" w:hAnsi="宋体" w:eastAsia="宋体" w:cs="宋体"/>
          <w:sz w:val="24"/>
          <w:szCs w:val="24"/>
        </w:rPr>
      </w:pPr>
      <w:r>
        <w:rPr>
          <w:rFonts w:hint="eastAsia" w:hAnsi="宋体" w:eastAsia="宋体" w:cs="宋体"/>
          <w:sz w:val="24"/>
          <w:szCs w:val="24"/>
        </w:rPr>
        <w:t>日期：  年     月     日</w:t>
      </w:r>
    </w:p>
    <w:p w14:paraId="4E242175">
      <w:pPr>
        <w:pStyle w:val="32"/>
        <w:rPr>
          <w:rFonts w:hint="eastAsia" w:hAnsi="宋体" w:eastAsia="宋体" w:cs="宋体"/>
          <w:sz w:val="24"/>
          <w:szCs w:val="24"/>
        </w:rPr>
        <w:sectPr>
          <w:footerReference r:id="rId10" w:type="first"/>
          <w:footerReference r:id="rId9" w:type="default"/>
          <w:pgSz w:w="11906" w:h="16838"/>
          <w:pgMar w:top="1247" w:right="1247" w:bottom="1134" w:left="1644" w:header="851" w:footer="851" w:gutter="0"/>
          <w:cols w:space="720" w:num="1"/>
          <w:titlePg/>
          <w:docGrid w:type="lines" w:linePitch="312" w:charSpace="0"/>
        </w:sectPr>
      </w:pPr>
    </w:p>
    <w:p w14:paraId="109DA04D">
      <w:pPr>
        <w:pStyle w:val="3"/>
        <w:pageBreakBefore/>
        <w:jc w:val="center"/>
        <w:rPr>
          <w:rFonts w:hAnsi="Calibri"/>
          <w:sz w:val="28"/>
          <w:szCs w:val="28"/>
        </w:rPr>
      </w:pPr>
      <w:bookmarkStart w:id="186" w:name="_Toc5925"/>
      <w:r>
        <w:rPr>
          <w:rFonts w:hint="eastAsia" w:hAnsi="Calibri"/>
          <w:sz w:val="28"/>
          <w:szCs w:val="28"/>
        </w:rPr>
        <w:t>二、法定代表人身份证明和授权委托书格式</w:t>
      </w:r>
      <w:bookmarkEnd w:id="178"/>
      <w:bookmarkEnd w:id="179"/>
      <w:bookmarkEnd w:id="186"/>
    </w:p>
    <w:p w14:paraId="0A1B7667">
      <w:pPr>
        <w:pStyle w:val="6"/>
        <w:overflowPunct w:val="0"/>
        <w:spacing w:line="560" w:lineRule="exact"/>
        <w:ind w:firstLine="0"/>
        <w:jc w:val="center"/>
        <w:rPr>
          <w:rFonts w:hint="eastAsia" w:ascii="宋体" w:hAnsi="宋体" w:eastAsia="宋体" w:cs="宋体"/>
          <w:b/>
          <w:sz w:val="28"/>
          <w:szCs w:val="28"/>
        </w:rPr>
      </w:pPr>
      <w:r>
        <w:rPr>
          <w:rFonts w:hint="eastAsia" w:ascii="宋体" w:hAnsi="宋体" w:eastAsia="宋体" w:cs="宋体"/>
          <w:b/>
          <w:sz w:val="28"/>
          <w:szCs w:val="28"/>
        </w:rPr>
        <w:t>1.法定代表人身份证明</w:t>
      </w:r>
    </w:p>
    <w:p w14:paraId="5A9A0B62">
      <w:pPr>
        <w:spacing w:line="440" w:lineRule="exact"/>
        <w:rPr>
          <w:rFonts w:hint="eastAsia" w:ascii="宋体" w:hAnsi="宋体" w:cs="宋体"/>
          <w:szCs w:val="21"/>
        </w:rPr>
      </w:pPr>
    </w:p>
    <w:p w14:paraId="62B390C1">
      <w:pPr>
        <w:spacing w:line="480" w:lineRule="auto"/>
        <w:rPr>
          <w:rFonts w:hint="eastAsia" w:ascii="宋体" w:hAnsi="宋体" w:cs="宋体"/>
          <w:sz w:val="24"/>
        </w:rPr>
      </w:pPr>
      <w:r>
        <w:rPr>
          <w:rFonts w:hint="eastAsia" w:ascii="宋体" w:hAnsi="宋体" w:cs="宋体"/>
          <w:sz w:val="24"/>
        </w:rPr>
        <w:t>供应商名称：</w:t>
      </w:r>
    </w:p>
    <w:p w14:paraId="1DC53A5F">
      <w:pPr>
        <w:spacing w:line="480" w:lineRule="auto"/>
        <w:rPr>
          <w:rFonts w:hint="eastAsia" w:ascii="宋体" w:hAnsi="宋体" w:cs="宋体"/>
          <w:sz w:val="24"/>
        </w:rPr>
      </w:pPr>
      <w:r>
        <w:rPr>
          <w:rFonts w:hint="eastAsia" w:ascii="宋体" w:hAnsi="宋体" w:cs="宋体"/>
          <w:sz w:val="24"/>
        </w:rPr>
        <w:t>单位性质：</w:t>
      </w:r>
    </w:p>
    <w:p w14:paraId="325D0476">
      <w:pPr>
        <w:spacing w:line="480" w:lineRule="auto"/>
        <w:rPr>
          <w:rFonts w:hint="eastAsia" w:ascii="宋体" w:hAnsi="宋体" w:cs="宋体"/>
          <w:sz w:val="24"/>
        </w:rPr>
      </w:pPr>
      <w:r>
        <w:rPr>
          <w:rFonts w:hint="eastAsia" w:ascii="宋体" w:hAnsi="宋体" w:cs="宋体"/>
          <w:sz w:val="24"/>
        </w:rPr>
        <w:t>地址：</w:t>
      </w:r>
    </w:p>
    <w:p w14:paraId="3580F451">
      <w:pPr>
        <w:spacing w:line="480" w:lineRule="auto"/>
        <w:rPr>
          <w:rFonts w:hint="eastAsia" w:ascii="宋体" w:hAnsi="宋体" w:cs="宋体"/>
          <w:sz w:val="24"/>
        </w:rPr>
      </w:pPr>
      <w:r>
        <w:rPr>
          <w:rFonts w:hint="eastAsia" w:ascii="宋体" w:hAnsi="宋体" w:cs="宋体"/>
          <w:sz w:val="24"/>
        </w:rPr>
        <w:t>成立时间： 年  月  日</w:t>
      </w:r>
    </w:p>
    <w:p w14:paraId="2F298BE9">
      <w:pPr>
        <w:spacing w:line="480" w:lineRule="auto"/>
        <w:rPr>
          <w:rFonts w:hint="eastAsia" w:ascii="宋体" w:hAnsi="宋体" w:cs="宋体"/>
          <w:sz w:val="24"/>
        </w:rPr>
      </w:pPr>
      <w:r>
        <w:rPr>
          <w:rFonts w:hint="eastAsia" w:ascii="宋体" w:hAnsi="宋体" w:cs="宋体"/>
          <w:sz w:val="24"/>
        </w:rPr>
        <w:t>经营期限：</w:t>
      </w:r>
    </w:p>
    <w:p w14:paraId="67E9443B">
      <w:pPr>
        <w:spacing w:line="480" w:lineRule="auto"/>
        <w:rPr>
          <w:rFonts w:hint="eastAsia" w:ascii="宋体" w:hAnsi="宋体" w:cs="宋体"/>
          <w:sz w:val="24"/>
        </w:rPr>
      </w:pPr>
      <w:r>
        <w:rPr>
          <w:rFonts w:hint="eastAsia" w:ascii="宋体" w:hAnsi="宋体" w:cs="宋体"/>
          <w:sz w:val="24"/>
        </w:rPr>
        <w:t>姓名： 性别：年龄：职务：</w:t>
      </w:r>
    </w:p>
    <w:p w14:paraId="7AEB7C6C">
      <w:pPr>
        <w:spacing w:line="480" w:lineRule="auto"/>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37113824">
      <w:pPr>
        <w:spacing w:line="480" w:lineRule="auto"/>
        <w:ind w:firstLine="480" w:firstLineChars="200"/>
        <w:rPr>
          <w:rFonts w:hint="eastAsia" w:ascii="宋体" w:hAnsi="宋体" w:cs="宋体"/>
          <w:sz w:val="24"/>
        </w:rPr>
      </w:pPr>
      <w:r>
        <w:rPr>
          <w:rFonts w:hint="eastAsia" w:ascii="宋体" w:hAnsi="宋体" w:cs="宋体"/>
          <w:sz w:val="24"/>
        </w:rPr>
        <w:t>特此证明。</w:t>
      </w:r>
    </w:p>
    <w:p w14:paraId="2AA38F20">
      <w:pPr>
        <w:spacing w:line="360" w:lineRule="auto"/>
        <w:rPr>
          <w:rFonts w:hint="eastAsia" w:ascii="宋体" w:hAnsi="宋体" w:cs="宋体"/>
          <w:sz w:val="24"/>
        </w:rPr>
      </w:pPr>
    </w:p>
    <w:p w14:paraId="5FB6947E">
      <w:pPr>
        <w:spacing w:line="360" w:lineRule="auto"/>
        <w:rPr>
          <w:rFonts w:hint="eastAsia" w:ascii="宋体" w:hAnsi="宋体" w:cs="宋体"/>
          <w:sz w:val="24"/>
        </w:rPr>
      </w:pPr>
    </w:p>
    <w:p w14:paraId="7A6B85C1">
      <w:pPr>
        <w:spacing w:line="360" w:lineRule="auto"/>
        <w:rPr>
          <w:rFonts w:hint="eastAsia" w:ascii="宋体" w:hAnsi="宋体" w:cs="宋体"/>
          <w:sz w:val="24"/>
        </w:rPr>
      </w:pPr>
    </w:p>
    <w:p w14:paraId="09F7311B">
      <w:pPr>
        <w:spacing w:line="360" w:lineRule="auto"/>
        <w:jc w:val="right"/>
        <w:rPr>
          <w:rFonts w:hint="eastAsia" w:ascii="宋体" w:hAnsi="宋体" w:cs="宋体"/>
          <w:sz w:val="24"/>
        </w:rPr>
      </w:pPr>
      <w:r>
        <w:rPr>
          <w:rFonts w:hint="eastAsia" w:ascii="宋体" w:hAnsi="宋体" w:cs="宋体"/>
          <w:sz w:val="24"/>
        </w:rPr>
        <w:t xml:space="preserve">                               供应商：（填写单位名称盖单位章）</w:t>
      </w:r>
    </w:p>
    <w:p w14:paraId="6B23932D">
      <w:pPr>
        <w:pStyle w:val="6"/>
        <w:overflowPunct w:val="0"/>
        <w:spacing w:line="360" w:lineRule="auto"/>
        <w:jc w:val="right"/>
        <w:rPr>
          <w:rFonts w:hint="eastAsia" w:ascii="宋体" w:hAnsi="宋体" w:eastAsia="宋体" w:cs="宋体"/>
          <w:szCs w:val="24"/>
        </w:rPr>
      </w:pPr>
      <w:r>
        <w:rPr>
          <w:rFonts w:hint="eastAsia" w:ascii="宋体" w:hAnsi="宋体" w:eastAsia="宋体" w:cs="宋体"/>
          <w:szCs w:val="24"/>
        </w:rPr>
        <w:t>年  月  日</w:t>
      </w:r>
    </w:p>
    <w:p w14:paraId="4ED2124B">
      <w:pPr>
        <w:pStyle w:val="6"/>
        <w:overflowPunct w:val="0"/>
        <w:spacing w:line="460" w:lineRule="exact"/>
        <w:jc w:val="both"/>
        <w:rPr>
          <w:rFonts w:hint="eastAsia" w:ascii="宋体" w:hAnsi="宋体" w:eastAsia="宋体" w:cs="宋体"/>
          <w:szCs w:val="24"/>
        </w:rPr>
      </w:pPr>
    </w:p>
    <w:p w14:paraId="6C14A547">
      <w:pPr>
        <w:pStyle w:val="6"/>
        <w:overflowPunct w:val="0"/>
        <w:spacing w:line="460" w:lineRule="exact"/>
        <w:jc w:val="both"/>
        <w:rPr>
          <w:rFonts w:hint="eastAsia" w:ascii="宋体" w:hAnsi="宋体" w:eastAsia="宋体" w:cs="宋体"/>
          <w:szCs w:val="24"/>
        </w:rPr>
      </w:pPr>
    </w:p>
    <w:p w14:paraId="6F15936B">
      <w:pPr>
        <w:pStyle w:val="46"/>
        <w:ind w:firstLine="480"/>
        <w:rPr>
          <w:b/>
        </w:rPr>
      </w:pPr>
      <w:bookmarkStart w:id="187" w:name="_Toc24406"/>
      <w:bookmarkStart w:id="188" w:name="_Toc13847"/>
      <w:bookmarkStart w:id="189" w:name="_Toc27511918"/>
      <w:r>
        <w:rPr>
          <w:rFonts w:hint="eastAsia"/>
        </w:rPr>
        <w:t>附：法定代表人身份证正反面复印件。</w:t>
      </w:r>
      <w:bookmarkEnd w:id="187"/>
      <w:bookmarkEnd w:id="188"/>
      <w:bookmarkEnd w:id="189"/>
    </w:p>
    <w:p w14:paraId="29C56F2D">
      <w:pPr>
        <w:pStyle w:val="6"/>
        <w:overflowPunct w:val="0"/>
        <w:spacing w:line="560" w:lineRule="exact"/>
        <w:ind w:firstLine="0"/>
        <w:jc w:val="center"/>
        <w:rPr>
          <w:rFonts w:hint="eastAsia" w:ascii="宋体" w:hAnsi="宋体" w:eastAsia="宋体" w:cs="宋体"/>
          <w:b/>
          <w:sz w:val="28"/>
          <w:szCs w:val="28"/>
        </w:rPr>
      </w:pPr>
      <w:r>
        <w:rPr>
          <w:rFonts w:hint="eastAsia" w:ascii="宋体" w:hAnsi="宋体" w:eastAsia="宋体" w:cs="宋体"/>
          <w:b/>
          <w:sz w:val="32"/>
          <w:szCs w:val="32"/>
        </w:rPr>
        <w:br w:type="page"/>
      </w:r>
      <w:r>
        <w:rPr>
          <w:rFonts w:hint="eastAsia" w:ascii="宋体" w:hAnsi="宋体" w:eastAsia="宋体" w:cs="宋体"/>
          <w:b/>
          <w:sz w:val="28"/>
          <w:szCs w:val="28"/>
        </w:rPr>
        <w:t>2.授权委托书</w:t>
      </w:r>
    </w:p>
    <w:p w14:paraId="1646DC34">
      <w:pPr>
        <w:pStyle w:val="6"/>
        <w:overflowPunct w:val="0"/>
        <w:spacing w:line="360" w:lineRule="auto"/>
        <w:jc w:val="center"/>
        <w:rPr>
          <w:rFonts w:hint="eastAsia" w:ascii="宋体" w:hAnsi="宋体" w:eastAsia="宋体" w:cs="宋体"/>
          <w:b/>
          <w:szCs w:val="24"/>
        </w:rPr>
      </w:pPr>
    </w:p>
    <w:p w14:paraId="377A7BFA">
      <w:pPr>
        <w:pStyle w:val="6"/>
        <w:overflowPunct w:val="0"/>
        <w:spacing w:line="360" w:lineRule="auto"/>
        <w:ind w:firstLine="480" w:firstLineChars="200"/>
        <w:jc w:val="both"/>
        <w:rPr>
          <w:rFonts w:hint="eastAsia" w:ascii="宋体" w:hAnsi="宋体" w:eastAsia="宋体" w:cs="宋体"/>
          <w:szCs w:val="24"/>
        </w:rPr>
      </w:pPr>
      <w:r>
        <w:rPr>
          <w:rFonts w:hint="eastAsia" w:ascii="宋体" w:hAnsi="宋体" w:eastAsia="宋体" w:cs="宋体"/>
          <w:szCs w:val="24"/>
        </w:rPr>
        <w:t xml:space="preserve">本授权委托书声明：我 </w:t>
      </w:r>
      <w:r>
        <w:rPr>
          <w:rFonts w:hint="eastAsia" w:ascii="宋体" w:hAnsi="宋体" w:eastAsia="宋体" w:cs="宋体"/>
          <w:iCs/>
          <w:szCs w:val="21"/>
          <w:u w:val="single"/>
        </w:rPr>
        <w:t xml:space="preserve">  （姓名）  </w:t>
      </w:r>
      <w:r>
        <w:rPr>
          <w:rFonts w:hint="eastAsia" w:ascii="宋体" w:hAnsi="宋体" w:eastAsia="宋体" w:cs="宋体"/>
          <w:szCs w:val="24"/>
        </w:rPr>
        <w:t>系</w:t>
      </w:r>
      <w:r>
        <w:rPr>
          <w:rFonts w:hint="eastAsia" w:ascii="宋体" w:hAnsi="宋体" w:eastAsia="宋体" w:cs="宋体"/>
          <w:iCs/>
          <w:szCs w:val="21"/>
          <w:u w:val="single"/>
        </w:rPr>
        <w:t xml:space="preserve">   （供应商名称）  </w:t>
      </w:r>
      <w:r>
        <w:rPr>
          <w:rFonts w:hint="eastAsia" w:ascii="宋体" w:hAnsi="宋体" w:eastAsia="宋体" w:cs="宋体"/>
          <w:szCs w:val="24"/>
        </w:rPr>
        <w:t>的法定代表人，现授权委托</w:t>
      </w:r>
      <w:r>
        <w:rPr>
          <w:rFonts w:hint="eastAsia" w:ascii="宋体" w:hAnsi="宋体" w:eastAsia="宋体" w:cs="宋体"/>
          <w:iCs/>
          <w:szCs w:val="21"/>
          <w:u w:val="single"/>
        </w:rPr>
        <w:t xml:space="preserve">  （被授权人姓名及身份证号码）  </w:t>
      </w:r>
      <w:r>
        <w:rPr>
          <w:rFonts w:hint="eastAsia" w:ascii="宋体" w:hAnsi="宋体" w:eastAsia="宋体" w:cs="宋体"/>
          <w:szCs w:val="24"/>
        </w:rPr>
        <w:t>为我公司的代理人，以本公司的名义参加海南建云项目管理有限公司组织的编号为</w:t>
      </w:r>
      <w:r>
        <w:rPr>
          <w:rFonts w:hint="eastAsia" w:ascii="宋体" w:hAnsi="宋体" w:eastAsia="宋体" w:cs="宋体"/>
          <w:szCs w:val="24"/>
          <w:u w:val="single"/>
          <w:lang w:eastAsia="zh-CN"/>
        </w:rPr>
        <w:t>HNJY2024【118】</w:t>
      </w:r>
      <w:r>
        <w:rPr>
          <w:rFonts w:hint="eastAsia" w:ascii="宋体" w:hAnsi="宋体" w:eastAsia="宋体" w:cs="宋体"/>
          <w:szCs w:val="24"/>
        </w:rPr>
        <w:t>的采购活动，处理与本招标活动有关的一切事务。被授权人在开标、评标、合同签订过程中所签署的一切文件，我均予以承认。</w:t>
      </w:r>
    </w:p>
    <w:p w14:paraId="70F2EB6D">
      <w:pPr>
        <w:pStyle w:val="6"/>
        <w:overflowPunct w:val="0"/>
        <w:spacing w:line="360" w:lineRule="auto"/>
        <w:ind w:firstLine="480" w:firstLineChars="200"/>
        <w:jc w:val="both"/>
        <w:rPr>
          <w:rFonts w:hint="eastAsia" w:ascii="宋体" w:hAnsi="宋体" w:eastAsia="宋体" w:cs="宋体"/>
          <w:szCs w:val="24"/>
        </w:rPr>
      </w:pPr>
      <w:r>
        <w:rPr>
          <w:rFonts w:hint="eastAsia" w:ascii="宋体" w:hAnsi="宋体" w:eastAsia="宋体" w:cs="宋体"/>
          <w:szCs w:val="24"/>
        </w:rPr>
        <w:t>与本项目有关的质疑、投诉事项，我将亲自处理或另行特别授权。</w:t>
      </w:r>
    </w:p>
    <w:p w14:paraId="323EAAFC">
      <w:pPr>
        <w:pStyle w:val="6"/>
        <w:overflowPunct w:val="0"/>
        <w:spacing w:line="360" w:lineRule="auto"/>
        <w:ind w:firstLine="480" w:firstLineChars="200"/>
        <w:jc w:val="both"/>
        <w:rPr>
          <w:rFonts w:hint="eastAsia" w:ascii="宋体" w:hAnsi="宋体" w:eastAsia="宋体" w:cs="宋体"/>
          <w:szCs w:val="24"/>
        </w:rPr>
      </w:pPr>
      <w:r>
        <w:rPr>
          <w:rFonts w:hint="eastAsia" w:ascii="宋体" w:hAnsi="宋体" w:eastAsia="宋体" w:cs="宋体"/>
          <w:szCs w:val="24"/>
        </w:rPr>
        <w:t>本授权委托书的效力自签署日起至合同履行完毕止。</w:t>
      </w:r>
    </w:p>
    <w:p w14:paraId="29325F17">
      <w:pPr>
        <w:pStyle w:val="6"/>
        <w:overflowPunct w:val="0"/>
        <w:spacing w:line="360" w:lineRule="auto"/>
        <w:ind w:firstLine="480" w:firstLineChars="200"/>
        <w:jc w:val="both"/>
        <w:rPr>
          <w:rFonts w:hint="eastAsia" w:ascii="宋体" w:hAnsi="宋体" w:eastAsia="宋体" w:cs="宋体"/>
          <w:szCs w:val="24"/>
        </w:rPr>
      </w:pPr>
      <w:r>
        <w:rPr>
          <w:rFonts w:hint="eastAsia" w:ascii="宋体" w:hAnsi="宋体" w:eastAsia="宋体" w:cs="宋体"/>
          <w:szCs w:val="24"/>
        </w:rPr>
        <w:t>被授权人无转委托权。特此委托。</w:t>
      </w:r>
    </w:p>
    <w:p w14:paraId="0C76AB28">
      <w:pPr>
        <w:pStyle w:val="6"/>
        <w:overflowPunct w:val="0"/>
        <w:spacing w:line="360" w:lineRule="auto"/>
        <w:ind w:firstLine="480" w:firstLineChars="200"/>
        <w:jc w:val="both"/>
        <w:rPr>
          <w:rFonts w:hint="eastAsia" w:ascii="宋体" w:hAnsi="宋体" w:eastAsia="宋体" w:cs="宋体"/>
          <w:szCs w:val="24"/>
        </w:rPr>
      </w:pPr>
    </w:p>
    <w:p w14:paraId="3F90E10B">
      <w:pPr>
        <w:pStyle w:val="6"/>
        <w:overflowPunct w:val="0"/>
        <w:spacing w:line="460" w:lineRule="exact"/>
        <w:jc w:val="both"/>
        <w:rPr>
          <w:rFonts w:hint="eastAsia" w:ascii="宋体" w:hAnsi="宋体" w:eastAsia="宋体" w:cs="宋体"/>
          <w:szCs w:val="24"/>
        </w:rPr>
      </w:pPr>
      <w:r>
        <w:rPr>
          <w:rFonts w:hint="eastAsia" w:ascii="宋体" w:hAnsi="宋体" w:eastAsia="宋体" w:cs="宋体"/>
          <w:szCs w:val="24"/>
        </w:rPr>
        <w:t>本授权书于</w:t>
      </w:r>
      <w:r>
        <w:rPr>
          <w:rFonts w:hint="eastAsia" w:ascii="宋体" w:hAnsi="宋体" w:eastAsia="宋体" w:cs="宋体"/>
          <w:szCs w:val="24"/>
          <w:u w:val="single"/>
        </w:rPr>
        <w:t xml:space="preserve">  </w:t>
      </w:r>
      <w:r>
        <w:rPr>
          <w:rFonts w:hint="eastAsia" w:ascii="宋体" w:hAnsi="宋体" w:eastAsia="宋体" w:cs="宋体"/>
          <w:szCs w:val="24"/>
        </w:rPr>
        <w:t>年</w:t>
      </w:r>
      <w:r>
        <w:rPr>
          <w:rFonts w:hint="eastAsia" w:ascii="宋体" w:hAnsi="宋体" w:eastAsia="宋体" w:cs="宋体"/>
          <w:szCs w:val="24"/>
          <w:u w:val="single"/>
        </w:rPr>
        <w:t xml:space="preserve">  </w:t>
      </w:r>
      <w:r>
        <w:rPr>
          <w:rFonts w:hint="eastAsia" w:ascii="宋体" w:hAnsi="宋体" w:eastAsia="宋体" w:cs="宋体"/>
          <w:szCs w:val="24"/>
        </w:rPr>
        <w:t>月</w:t>
      </w:r>
      <w:r>
        <w:rPr>
          <w:rFonts w:hint="eastAsia" w:ascii="宋体" w:hAnsi="宋体" w:eastAsia="宋体" w:cs="宋体"/>
          <w:szCs w:val="24"/>
          <w:u w:val="single"/>
        </w:rPr>
        <w:t xml:space="preserve">  </w:t>
      </w:r>
      <w:r>
        <w:rPr>
          <w:rFonts w:hint="eastAsia" w:ascii="宋体" w:hAnsi="宋体" w:eastAsia="宋体" w:cs="宋体"/>
          <w:szCs w:val="24"/>
        </w:rPr>
        <w:t>日签字生效，特此证明。</w:t>
      </w:r>
    </w:p>
    <w:p w14:paraId="34162FB9">
      <w:pPr>
        <w:pStyle w:val="6"/>
        <w:overflowPunct w:val="0"/>
        <w:spacing w:line="460" w:lineRule="exact"/>
        <w:jc w:val="both"/>
        <w:rPr>
          <w:rFonts w:hint="eastAsia" w:ascii="宋体" w:hAnsi="宋体" w:eastAsia="宋体" w:cs="宋体"/>
          <w:szCs w:val="24"/>
        </w:rPr>
      </w:pPr>
    </w:p>
    <w:p w14:paraId="5231A60C">
      <w:pPr>
        <w:pStyle w:val="6"/>
        <w:overflowPunct w:val="0"/>
        <w:spacing w:line="460" w:lineRule="exact"/>
        <w:jc w:val="both"/>
        <w:rPr>
          <w:rFonts w:hint="eastAsia" w:ascii="宋体" w:hAnsi="宋体" w:eastAsia="宋体" w:cs="宋体"/>
          <w:szCs w:val="24"/>
        </w:rPr>
      </w:pPr>
      <w:r>
        <w:rPr>
          <w:rFonts w:hint="eastAsia" w:ascii="宋体" w:hAnsi="宋体" w:eastAsia="宋体" w:cs="宋体"/>
        </w:rPr>
        <w:t>供应商：（填写名称并盖章）</w:t>
      </w:r>
    </w:p>
    <w:p w14:paraId="55BBEC08">
      <w:pPr>
        <w:pStyle w:val="6"/>
        <w:overflowPunct w:val="0"/>
        <w:spacing w:line="460" w:lineRule="exact"/>
        <w:jc w:val="both"/>
        <w:rPr>
          <w:rFonts w:hint="eastAsia" w:ascii="宋体" w:hAnsi="宋体" w:eastAsia="宋体" w:cs="宋体"/>
          <w:szCs w:val="24"/>
        </w:rPr>
      </w:pPr>
    </w:p>
    <w:p w14:paraId="255AC84C">
      <w:pPr>
        <w:pStyle w:val="6"/>
        <w:overflowPunct w:val="0"/>
        <w:spacing w:line="460" w:lineRule="exact"/>
        <w:jc w:val="both"/>
        <w:rPr>
          <w:rFonts w:hint="eastAsia" w:ascii="宋体" w:hAnsi="宋体" w:eastAsia="宋体" w:cs="宋体"/>
          <w:szCs w:val="24"/>
        </w:rPr>
      </w:pPr>
      <w:r>
        <w:rPr>
          <w:rFonts w:hint="eastAsia" w:ascii="宋体" w:hAnsi="宋体" w:eastAsia="宋体" w:cs="宋体"/>
          <w:szCs w:val="24"/>
        </w:rPr>
        <w:t>法定代表人：</w:t>
      </w:r>
      <w:r>
        <w:rPr>
          <w:rFonts w:hint="eastAsia" w:ascii="宋体" w:hAnsi="宋体" w:eastAsia="宋体" w:cs="宋体"/>
          <w:iCs/>
          <w:szCs w:val="21"/>
        </w:rPr>
        <w:t>（签字或盖章）</w:t>
      </w:r>
    </w:p>
    <w:p w14:paraId="26C2D9D6">
      <w:pPr>
        <w:pStyle w:val="6"/>
        <w:overflowPunct w:val="0"/>
        <w:spacing w:line="460" w:lineRule="exact"/>
        <w:jc w:val="both"/>
        <w:rPr>
          <w:rFonts w:hint="eastAsia" w:ascii="宋体" w:hAnsi="宋体" w:eastAsia="宋体" w:cs="宋体"/>
          <w:szCs w:val="24"/>
        </w:rPr>
      </w:pPr>
    </w:p>
    <w:p w14:paraId="1C2BB27F">
      <w:pPr>
        <w:pStyle w:val="6"/>
        <w:overflowPunct w:val="0"/>
        <w:spacing w:line="460" w:lineRule="exact"/>
        <w:jc w:val="both"/>
        <w:rPr>
          <w:rFonts w:hint="eastAsia" w:ascii="宋体" w:hAnsi="宋体" w:eastAsia="宋体" w:cs="宋体"/>
          <w:szCs w:val="24"/>
        </w:rPr>
      </w:pPr>
      <w:r>
        <w:rPr>
          <w:rFonts w:hint="eastAsia" w:ascii="宋体" w:hAnsi="宋体" w:eastAsia="宋体" w:cs="宋体"/>
          <w:szCs w:val="24"/>
        </w:rPr>
        <w:t>被授权代表：</w:t>
      </w:r>
      <w:r>
        <w:rPr>
          <w:rFonts w:hint="eastAsia" w:ascii="宋体" w:hAnsi="宋体" w:eastAsia="宋体" w:cs="宋体"/>
          <w:iCs/>
          <w:szCs w:val="21"/>
        </w:rPr>
        <w:t>（签字或盖章）</w:t>
      </w:r>
    </w:p>
    <w:p w14:paraId="536B7E1D">
      <w:pPr>
        <w:pStyle w:val="6"/>
        <w:overflowPunct w:val="0"/>
        <w:spacing w:line="460" w:lineRule="exact"/>
        <w:jc w:val="both"/>
        <w:rPr>
          <w:rFonts w:hint="eastAsia" w:ascii="宋体" w:hAnsi="宋体" w:eastAsia="宋体" w:cs="宋体"/>
          <w:szCs w:val="24"/>
        </w:rPr>
      </w:pPr>
    </w:p>
    <w:p w14:paraId="5DD1FF6A">
      <w:pPr>
        <w:pStyle w:val="6"/>
        <w:overflowPunct w:val="0"/>
        <w:spacing w:line="460" w:lineRule="exact"/>
        <w:jc w:val="both"/>
        <w:rPr>
          <w:rFonts w:hint="eastAsia" w:ascii="宋体" w:hAnsi="宋体" w:eastAsia="宋体" w:cs="宋体"/>
          <w:szCs w:val="24"/>
        </w:rPr>
      </w:pPr>
    </w:p>
    <w:p w14:paraId="5C408064">
      <w:pPr>
        <w:pStyle w:val="6"/>
        <w:overflowPunct w:val="0"/>
        <w:spacing w:line="460" w:lineRule="exact"/>
        <w:jc w:val="both"/>
        <w:rPr>
          <w:rFonts w:hint="eastAsia" w:ascii="宋体" w:hAnsi="宋体" w:eastAsia="宋体" w:cs="宋体"/>
          <w:szCs w:val="24"/>
        </w:rPr>
      </w:pPr>
    </w:p>
    <w:p w14:paraId="318A51F9">
      <w:pPr>
        <w:spacing w:line="360" w:lineRule="auto"/>
        <w:rPr>
          <w:rFonts w:hint="eastAsia" w:ascii="宋体" w:hAnsi="宋体" w:cs="宋体"/>
          <w:sz w:val="24"/>
        </w:rPr>
      </w:pPr>
      <w:r>
        <w:rPr>
          <w:rFonts w:hint="eastAsia" w:ascii="宋体" w:hAnsi="宋体" w:cs="宋体"/>
          <w:sz w:val="24"/>
        </w:rPr>
        <w:t>附 ：</w:t>
      </w:r>
      <w:bookmarkStart w:id="190" w:name="_Toc32762"/>
      <w:bookmarkStart w:id="191" w:name="_Toc2528"/>
      <w:r>
        <w:rPr>
          <w:rFonts w:hint="eastAsia" w:ascii="宋体" w:hAnsi="宋体" w:cs="宋体"/>
          <w:sz w:val="24"/>
        </w:rPr>
        <w:t>被授权代表身份证</w:t>
      </w:r>
      <w:r>
        <w:rPr>
          <w:rFonts w:hint="eastAsia" w:ascii="宋体" w:hAnsi="宋体" w:cs="宋体"/>
          <w:bCs/>
          <w:sz w:val="24"/>
        </w:rPr>
        <w:t>正反面</w:t>
      </w:r>
      <w:r>
        <w:rPr>
          <w:rFonts w:hint="eastAsia" w:ascii="宋体" w:hAnsi="宋体" w:cs="宋体"/>
          <w:sz w:val="24"/>
        </w:rPr>
        <w:t>复印件。</w:t>
      </w:r>
      <w:bookmarkEnd w:id="190"/>
      <w:bookmarkEnd w:id="191"/>
    </w:p>
    <w:bookmarkEnd w:id="180"/>
    <w:bookmarkEnd w:id="181"/>
    <w:bookmarkEnd w:id="182"/>
    <w:bookmarkEnd w:id="183"/>
    <w:bookmarkEnd w:id="184"/>
    <w:p w14:paraId="2277888A">
      <w:pPr>
        <w:pStyle w:val="46"/>
        <w:ind w:firstLine="480"/>
      </w:pPr>
    </w:p>
    <w:p w14:paraId="5EBDC9C2">
      <w:pPr>
        <w:rPr>
          <w:rFonts w:hint="eastAsia" w:ascii="宋体" w:hAnsi="宋体" w:cs="宋体"/>
        </w:rPr>
      </w:pPr>
    </w:p>
    <w:p w14:paraId="31F1F716">
      <w:pPr>
        <w:pStyle w:val="3"/>
        <w:pageBreakBefore/>
        <w:jc w:val="center"/>
        <w:rPr>
          <w:rFonts w:hint="eastAsia" w:ascii="宋体" w:cs="宋体"/>
          <w:b w:val="0"/>
          <w:sz w:val="28"/>
          <w:szCs w:val="28"/>
        </w:rPr>
      </w:pPr>
      <w:r>
        <w:rPr>
          <w:rFonts w:hint="eastAsia" w:hAnsi="Calibri"/>
          <w:sz w:val="28"/>
          <w:szCs w:val="28"/>
        </w:rPr>
        <w:t>三、报价一览表</w:t>
      </w:r>
    </w:p>
    <w:p w14:paraId="2AA0D824">
      <w:pPr>
        <w:pStyle w:val="32"/>
        <w:rPr>
          <w:rFonts w:hint="eastAsia" w:hAnsi="宋体" w:eastAsia="宋体" w:cs="宋体"/>
          <w:sz w:val="21"/>
          <w:szCs w:val="21"/>
        </w:rPr>
      </w:pPr>
    </w:p>
    <w:tbl>
      <w:tblPr>
        <w:tblStyle w:val="2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81"/>
      </w:tblGrid>
      <w:tr w14:paraId="27F2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790AC0D">
            <w:pPr>
              <w:spacing w:line="440" w:lineRule="exact"/>
              <w:jc w:val="center"/>
              <w:rPr>
                <w:rFonts w:hint="eastAsia" w:ascii="宋体" w:hAnsi="宋体" w:cs="宋体"/>
                <w:b/>
                <w:bCs/>
                <w:szCs w:val="21"/>
                <w:lang w:val="en-GB"/>
              </w:rPr>
            </w:pPr>
            <w:r>
              <w:rPr>
                <w:rFonts w:hint="eastAsia" w:ascii="宋体" w:hAnsi="宋体" w:cs="宋体"/>
                <w:b/>
                <w:bCs/>
                <w:szCs w:val="21"/>
                <w:lang w:val="en-GB"/>
              </w:rPr>
              <w:t>项目名称</w:t>
            </w:r>
          </w:p>
        </w:tc>
        <w:tc>
          <w:tcPr>
            <w:tcW w:w="7081" w:type="dxa"/>
          </w:tcPr>
          <w:p w14:paraId="042559CD">
            <w:pPr>
              <w:spacing w:before="156" w:beforeLines="50" w:after="156" w:afterLines="50" w:line="440" w:lineRule="exact"/>
              <w:jc w:val="center"/>
              <w:rPr>
                <w:rFonts w:hint="eastAsia" w:ascii="宋体" w:hAnsi="宋体" w:cs="宋体"/>
                <w:b/>
                <w:bCs/>
                <w:szCs w:val="21"/>
                <w:lang w:val="en-GB"/>
              </w:rPr>
            </w:pPr>
          </w:p>
        </w:tc>
      </w:tr>
      <w:tr w14:paraId="54C4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462D8A9">
            <w:pPr>
              <w:spacing w:line="440" w:lineRule="exact"/>
              <w:jc w:val="center"/>
              <w:rPr>
                <w:rFonts w:hint="eastAsia" w:ascii="宋体" w:hAnsi="宋体" w:cs="宋体"/>
                <w:b/>
                <w:bCs/>
                <w:szCs w:val="21"/>
              </w:rPr>
            </w:pPr>
            <w:r>
              <w:rPr>
                <w:rFonts w:hint="eastAsia" w:ascii="宋体" w:hAnsi="宋体" w:cs="宋体"/>
                <w:b/>
                <w:bCs/>
                <w:szCs w:val="21"/>
              </w:rPr>
              <w:t>项目编号</w:t>
            </w:r>
          </w:p>
        </w:tc>
        <w:tc>
          <w:tcPr>
            <w:tcW w:w="7081" w:type="dxa"/>
          </w:tcPr>
          <w:p w14:paraId="7F1E9EF0">
            <w:pPr>
              <w:spacing w:before="156" w:beforeLines="50" w:after="156" w:afterLines="50" w:line="440" w:lineRule="exact"/>
              <w:jc w:val="center"/>
              <w:rPr>
                <w:rFonts w:hint="eastAsia" w:ascii="宋体" w:hAnsi="宋体" w:cs="宋体"/>
                <w:b/>
                <w:bCs/>
                <w:szCs w:val="21"/>
                <w:lang w:val="en-GB"/>
              </w:rPr>
            </w:pPr>
          </w:p>
        </w:tc>
      </w:tr>
      <w:tr w14:paraId="5DE5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098AD652">
            <w:pPr>
              <w:spacing w:before="312" w:beforeLines="100" w:after="312" w:afterLines="100" w:line="440" w:lineRule="exact"/>
              <w:jc w:val="center"/>
              <w:rPr>
                <w:rFonts w:hint="eastAsia" w:ascii="宋体" w:hAnsi="宋体" w:cs="宋体"/>
                <w:b/>
                <w:bCs/>
                <w:szCs w:val="21"/>
                <w:lang w:val="en-GB"/>
              </w:rPr>
            </w:pPr>
            <w:r>
              <w:rPr>
                <w:rFonts w:hint="eastAsia" w:ascii="宋体" w:hAnsi="宋体" w:cs="宋体"/>
                <w:b/>
                <w:bCs/>
                <w:szCs w:val="21"/>
                <w:lang w:val="en-GB"/>
              </w:rPr>
              <w:t>投标报价总计</w:t>
            </w:r>
          </w:p>
        </w:tc>
        <w:tc>
          <w:tcPr>
            <w:tcW w:w="7081" w:type="dxa"/>
          </w:tcPr>
          <w:p w14:paraId="2E4CC47B">
            <w:pPr>
              <w:spacing w:before="312" w:beforeLines="100" w:after="312" w:afterLines="100" w:line="440" w:lineRule="exact"/>
              <w:rPr>
                <w:rFonts w:hint="eastAsia" w:ascii="宋体" w:hAnsi="宋体" w:cs="宋体"/>
                <w:szCs w:val="21"/>
                <w:u w:val="single"/>
                <w:lang w:val="en-GB"/>
              </w:rPr>
            </w:pPr>
            <w:r>
              <w:rPr>
                <w:rFonts w:hint="eastAsia" w:ascii="宋体" w:hAnsi="宋体" w:cs="宋体"/>
                <w:szCs w:val="21"/>
                <w:lang w:val="en-GB"/>
              </w:rPr>
              <w:t>（小写）：</w:t>
            </w:r>
          </w:p>
          <w:p w14:paraId="521A8178">
            <w:pPr>
              <w:spacing w:before="312" w:beforeLines="100" w:after="312" w:afterLines="100" w:line="440" w:lineRule="exact"/>
              <w:rPr>
                <w:rFonts w:hint="eastAsia" w:ascii="宋体" w:hAnsi="宋体" w:cs="宋体"/>
                <w:szCs w:val="21"/>
                <w:lang w:val="en-GB"/>
              </w:rPr>
            </w:pPr>
            <w:r>
              <w:rPr>
                <w:rFonts w:hint="eastAsia" w:ascii="宋体" w:hAnsi="宋体" w:cs="宋体"/>
                <w:szCs w:val="21"/>
                <w:lang w:val="en-GB"/>
              </w:rPr>
              <w:t>（大写）：</w:t>
            </w:r>
          </w:p>
        </w:tc>
      </w:tr>
      <w:tr w14:paraId="6945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4EB08CDE">
            <w:pPr>
              <w:spacing w:line="440" w:lineRule="exact"/>
              <w:jc w:val="center"/>
              <w:rPr>
                <w:rFonts w:hint="eastAsia" w:ascii="宋体" w:hAnsi="宋体" w:cs="宋体"/>
                <w:b/>
                <w:bCs/>
                <w:szCs w:val="21"/>
                <w:lang w:val="en-GB"/>
              </w:rPr>
            </w:pPr>
            <w:r>
              <w:rPr>
                <w:rFonts w:hint="eastAsia" w:ascii="宋体" w:hAnsi="宋体" w:cs="宋体"/>
                <w:b/>
                <w:bCs/>
                <w:szCs w:val="21"/>
                <w:lang w:val="en-GB"/>
              </w:rPr>
              <w:t>合同履行期限（服务期）</w:t>
            </w:r>
          </w:p>
        </w:tc>
        <w:tc>
          <w:tcPr>
            <w:tcW w:w="7081" w:type="dxa"/>
          </w:tcPr>
          <w:p w14:paraId="66190799">
            <w:pPr>
              <w:spacing w:before="156" w:beforeLines="50" w:after="156" w:afterLines="50" w:line="440" w:lineRule="exact"/>
              <w:rPr>
                <w:rFonts w:hint="eastAsia" w:ascii="宋体" w:hAnsi="宋体" w:cs="宋体"/>
                <w:szCs w:val="21"/>
                <w:lang w:val="en-GB"/>
              </w:rPr>
            </w:pPr>
          </w:p>
        </w:tc>
      </w:tr>
      <w:tr w14:paraId="5594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6C4E4E3">
            <w:pPr>
              <w:spacing w:line="440" w:lineRule="exact"/>
              <w:jc w:val="center"/>
              <w:rPr>
                <w:rFonts w:hint="eastAsia" w:ascii="宋体" w:hAnsi="宋体" w:cs="宋体"/>
                <w:b/>
                <w:bCs/>
                <w:szCs w:val="21"/>
                <w:lang w:val="en-GB"/>
              </w:rPr>
            </w:pPr>
            <w:r>
              <w:rPr>
                <w:rFonts w:hint="eastAsia" w:ascii="宋体" w:hAnsi="宋体" w:cs="宋体"/>
                <w:b/>
                <w:bCs/>
                <w:szCs w:val="21"/>
                <w:lang w:val="en-GB"/>
              </w:rPr>
              <w:t>备注</w:t>
            </w:r>
          </w:p>
        </w:tc>
        <w:tc>
          <w:tcPr>
            <w:tcW w:w="7081" w:type="dxa"/>
          </w:tcPr>
          <w:p w14:paraId="6A8D9B86">
            <w:pPr>
              <w:spacing w:before="156" w:beforeLines="50" w:after="156" w:afterLines="50" w:line="440" w:lineRule="exact"/>
              <w:rPr>
                <w:rFonts w:hint="eastAsia" w:ascii="宋体" w:hAnsi="宋体" w:cs="宋体"/>
                <w:szCs w:val="21"/>
                <w:lang w:val="en-GB"/>
              </w:rPr>
            </w:pPr>
          </w:p>
        </w:tc>
      </w:tr>
      <w:tr w14:paraId="51E9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61" w:type="dxa"/>
            <w:gridSpan w:val="2"/>
            <w:vAlign w:val="center"/>
          </w:tcPr>
          <w:p w14:paraId="364D635B">
            <w:pPr>
              <w:rPr>
                <w:rFonts w:hint="eastAsia" w:ascii="宋体" w:hAnsi="宋体" w:cs="宋体"/>
                <w:szCs w:val="21"/>
                <w:lang w:val="en-GB"/>
              </w:rPr>
            </w:pPr>
            <w:r>
              <w:rPr>
                <w:szCs w:val="21"/>
              </w:rPr>
              <w:t>1、供应商企业</w:t>
            </w:r>
            <w:r>
              <w:rPr>
                <w:rFonts w:hint="eastAsia"/>
                <w:szCs w:val="21"/>
              </w:rPr>
              <w:t>类型：大型</w:t>
            </w:r>
            <w:r>
              <w:rPr>
                <w:szCs w:val="21"/>
              </w:rPr>
              <w:t>（）中型（）小型（）微型（）</w:t>
            </w:r>
          </w:p>
        </w:tc>
      </w:tr>
      <w:tr w14:paraId="170F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061" w:type="dxa"/>
            <w:gridSpan w:val="2"/>
            <w:vAlign w:val="center"/>
          </w:tcPr>
          <w:p w14:paraId="02808235">
            <w:pPr>
              <w:rPr>
                <w:rFonts w:hint="eastAsia" w:ascii="宋体" w:hAnsi="宋体" w:cs="宋体"/>
                <w:szCs w:val="21"/>
                <w:lang w:val="en-GB"/>
              </w:rPr>
            </w:pPr>
            <w:r>
              <w:rPr>
                <w:rFonts w:hint="eastAsia"/>
                <w:szCs w:val="21"/>
              </w:rPr>
              <w:t>2、供应商是否为监狱企业：是（）否（）</w:t>
            </w:r>
          </w:p>
        </w:tc>
      </w:tr>
      <w:tr w14:paraId="53F8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061" w:type="dxa"/>
            <w:gridSpan w:val="2"/>
            <w:vAlign w:val="center"/>
          </w:tcPr>
          <w:p w14:paraId="566AA2E9">
            <w:pPr>
              <w:rPr>
                <w:szCs w:val="21"/>
              </w:rPr>
            </w:pPr>
            <w:r>
              <w:rPr>
                <w:rFonts w:hint="eastAsia"/>
                <w:szCs w:val="21"/>
              </w:rPr>
              <w:t>3、供应商是否为残疾人福利性单位：是（）否（）</w:t>
            </w:r>
          </w:p>
        </w:tc>
      </w:tr>
    </w:tbl>
    <w:p w14:paraId="03D94D3D">
      <w:pPr>
        <w:spacing w:line="360" w:lineRule="auto"/>
        <w:rPr>
          <w:rFonts w:hint="eastAsia" w:ascii="宋体" w:hAnsi="宋体" w:cs="宋体"/>
          <w:bCs/>
          <w:sz w:val="24"/>
        </w:rPr>
      </w:pPr>
      <w:r>
        <w:rPr>
          <w:rFonts w:hint="eastAsia" w:ascii="宋体" w:hAnsi="宋体" w:cs="宋体"/>
          <w:bCs/>
          <w:sz w:val="24"/>
        </w:rPr>
        <w:t>供应商全称（公章）：</w:t>
      </w:r>
    </w:p>
    <w:p w14:paraId="4274E0AC">
      <w:pPr>
        <w:spacing w:line="360" w:lineRule="auto"/>
        <w:rPr>
          <w:rFonts w:hint="eastAsia" w:ascii="宋体" w:hAnsi="宋体" w:cs="宋体"/>
          <w:sz w:val="24"/>
        </w:rPr>
      </w:pPr>
      <w:r>
        <w:rPr>
          <w:rFonts w:hint="eastAsia" w:ascii="宋体" w:hAnsi="宋体" w:cs="宋体"/>
          <w:sz w:val="24"/>
        </w:rPr>
        <w:t>法定代表人或被授权代表：</w:t>
      </w:r>
      <w:r>
        <w:rPr>
          <w:rFonts w:hint="eastAsia" w:ascii="宋体" w:hAnsi="宋体" w:cs="宋体"/>
          <w:iCs/>
          <w:sz w:val="24"/>
          <w:szCs w:val="21"/>
        </w:rPr>
        <w:t>（签字或盖章）</w:t>
      </w:r>
    </w:p>
    <w:p w14:paraId="18DBF337">
      <w:pPr>
        <w:spacing w:line="360" w:lineRule="auto"/>
        <w:rPr>
          <w:rFonts w:hint="eastAsia" w:ascii="宋体" w:hAnsi="宋体" w:cs="宋体"/>
          <w:sz w:val="24"/>
        </w:rPr>
      </w:pPr>
    </w:p>
    <w:p w14:paraId="490E3875">
      <w:pPr>
        <w:spacing w:line="360" w:lineRule="auto"/>
        <w:rPr>
          <w:rFonts w:hint="eastAsia" w:ascii="宋体" w:hAnsi="宋体" w:cs="宋体"/>
          <w:sz w:val="24"/>
        </w:rPr>
      </w:pPr>
      <w:r>
        <w:rPr>
          <w:rFonts w:hint="eastAsia" w:ascii="宋体" w:hAnsi="宋体" w:cs="宋体"/>
          <w:sz w:val="24"/>
        </w:rPr>
        <w:t xml:space="preserve">注: </w:t>
      </w:r>
    </w:p>
    <w:p w14:paraId="4198B22D">
      <w:pPr>
        <w:spacing w:line="360" w:lineRule="auto"/>
        <w:ind w:firstLine="240" w:firstLineChars="100"/>
        <w:rPr>
          <w:rFonts w:hint="eastAsia" w:ascii="宋体" w:hAnsi="宋体" w:cs="宋体"/>
          <w:sz w:val="24"/>
        </w:rPr>
      </w:pPr>
      <w:r>
        <w:rPr>
          <w:rFonts w:hint="eastAsia" w:ascii="宋体" w:hAnsi="宋体" w:cs="宋体"/>
          <w:sz w:val="24"/>
        </w:rPr>
        <w:t>1、报价一览表应准确填写，若报价一览表与响应文件不符时，以报价一览表为准；</w:t>
      </w:r>
    </w:p>
    <w:p w14:paraId="19F841BD">
      <w:pPr>
        <w:spacing w:line="360" w:lineRule="auto"/>
        <w:ind w:firstLine="240" w:firstLineChars="100"/>
        <w:rPr>
          <w:rFonts w:hint="eastAsia" w:ascii="宋体" w:hAnsi="宋体" w:cs="宋体"/>
          <w:sz w:val="24"/>
        </w:rPr>
      </w:pPr>
      <w:r>
        <w:rPr>
          <w:rFonts w:hint="eastAsia" w:ascii="宋体" w:hAnsi="宋体" w:cs="宋体"/>
          <w:sz w:val="24"/>
        </w:rPr>
        <w:t>2、报价中应当包括服务、拟投入本项目的产品制作、劳务、运输、管理、维护、保险、利润、税金等完成本项目组织与实施的所有费用，以及合同包含的所有风险、责任等。所有价格均应以人民币报价，金额单位为元。</w:t>
      </w:r>
    </w:p>
    <w:p w14:paraId="63FEBDE2">
      <w:pPr>
        <w:spacing w:line="360" w:lineRule="auto"/>
        <w:ind w:firstLine="240" w:firstLineChars="100"/>
        <w:rPr>
          <w:rFonts w:hint="eastAsia" w:ascii="宋体" w:hAnsi="宋体" w:cs="宋体"/>
          <w:sz w:val="24"/>
          <w:lang w:val="en-GB"/>
        </w:rPr>
      </w:pPr>
      <w:r>
        <w:rPr>
          <w:rFonts w:hint="eastAsia" w:ascii="宋体" w:hAnsi="宋体" w:cs="宋体"/>
          <w:sz w:val="24"/>
          <w:lang w:val="en-GB"/>
        </w:rPr>
        <w:t>3、在报价表内未有明确列述的项目费用应视为包括在报价之内。</w:t>
      </w:r>
    </w:p>
    <w:p w14:paraId="3EC77938">
      <w:pPr>
        <w:spacing w:line="360" w:lineRule="auto"/>
        <w:ind w:firstLine="240" w:firstLineChars="100"/>
        <w:rPr>
          <w:rFonts w:hint="eastAsia" w:ascii="宋体" w:hAnsi="宋体" w:cs="宋体"/>
          <w:sz w:val="24"/>
          <w:lang w:val="en-GB"/>
        </w:rPr>
      </w:pPr>
      <w:r>
        <w:rPr>
          <w:rFonts w:hint="eastAsia" w:ascii="宋体" w:hAnsi="宋体" w:cs="宋体"/>
          <w:sz w:val="24"/>
        </w:rPr>
        <w:t>4、</w:t>
      </w:r>
      <w:r>
        <w:rPr>
          <w:rFonts w:hint="eastAsia" w:ascii="宋体" w:hAnsi="宋体" w:cs="宋体"/>
          <w:sz w:val="24"/>
          <w:lang w:val="en-GB"/>
        </w:rPr>
        <w:t>此表是响应文件的必要文件，是响应文件的组成部分。</w:t>
      </w:r>
    </w:p>
    <w:p w14:paraId="05822553">
      <w:pPr>
        <w:spacing w:line="360" w:lineRule="auto"/>
        <w:ind w:firstLine="240" w:firstLineChars="100"/>
        <w:rPr>
          <w:rFonts w:hint="eastAsia" w:ascii="宋体" w:hAnsi="宋体" w:cs="宋体"/>
          <w:sz w:val="24"/>
        </w:rPr>
      </w:pPr>
      <w:r>
        <w:rPr>
          <w:rFonts w:hint="eastAsia" w:ascii="宋体" w:hAnsi="宋体" w:cs="宋体"/>
          <w:sz w:val="24"/>
        </w:rPr>
        <w:t>5、此表为表样，行数可自行添加，但表式不变。</w:t>
      </w:r>
    </w:p>
    <w:p w14:paraId="6CDE9BAB">
      <w:pPr>
        <w:rPr>
          <w:rFonts w:hint="eastAsia" w:ascii="宋体" w:hAnsi="宋体" w:cs="宋体"/>
          <w:kern w:val="1"/>
          <w:sz w:val="24"/>
        </w:rPr>
      </w:pPr>
      <w:r>
        <w:rPr>
          <w:rFonts w:hint="eastAsia" w:ascii="宋体" w:hAnsi="宋体" w:cs="宋体"/>
          <w:sz w:val="24"/>
        </w:rPr>
        <w:br w:type="page"/>
      </w:r>
      <w:bookmarkEnd w:id="185"/>
      <w:bookmarkStart w:id="192" w:name="_Toc28652"/>
      <w:bookmarkStart w:id="193" w:name="_Toc22122"/>
      <w:bookmarkStart w:id="194" w:name="_Toc212102886"/>
    </w:p>
    <w:bookmarkEnd w:id="192"/>
    <w:bookmarkEnd w:id="193"/>
    <w:bookmarkEnd w:id="194"/>
    <w:p w14:paraId="3306EA01">
      <w:pPr>
        <w:pStyle w:val="3"/>
        <w:pageBreakBefore/>
        <w:jc w:val="center"/>
        <w:rPr>
          <w:rFonts w:hAnsi="Calibri"/>
          <w:sz w:val="28"/>
          <w:szCs w:val="28"/>
        </w:rPr>
      </w:pPr>
      <w:bookmarkStart w:id="195" w:name="_Toc201465544"/>
      <w:bookmarkStart w:id="196" w:name="_Toc283"/>
      <w:bookmarkStart w:id="197" w:name="_Toc10225"/>
      <w:bookmarkStart w:id="198" w:name="_Toc2566"/>
      <w:bookmarkStart w:id="199" w:name="_Toc28348"/>
      <w:bookmarkStart w:id="200" w:name="_Toc202875604"/>
      <w:bookmarkStart w:id="201" w:name="_Toc18441"/>
      <w:bookmarkStart w:id="202" w:name="_Toc317237633"/>
      <w:r>
        <w:rPr>
          <w:rFonts w:hint="eastAsia" w:hAnsi="Calibri"/>
          <w:sz w:val="28"/>
          <w:szCs w:val="28"/>
        </w:rPr>
        <w:t>四、</w:t>
      </w:r>
      <w:bookmarkEnd w:id="195"/>
      <w:bookmarkEnd w:id="196"/>
      <w:bookmarkEnd w:id="197"/>
      <w:bookmarkEnd w:id="198"/>
      <w:bookmarkEnd w:id="199"/>
      <w:bookmarkEnd w:id="200"/>
      <w:bookmarkEnd w:id="201"/>
      <w:bookmarkEnd w:id="202"/>
      <w:r>
        <w:rPr>
          <w:rFonts w:hint="eastAsia" w:hAnsi="Calibri"/>
          <w:sz w:val="28"/>
          <w:szCs w:val="28"/>
        </w:rPr>
        <w:t>供应商资格</w:t>
      </w:r>
    </w:p>
    <w:p w14:paraId="2B4BFE02">
      <w:pPr>
        <w:pStyle w:val="4"/>
        <w:jc w:val="center"/>
        <w:rPr>
          <w:rFonts w:cs="宋体"/>
          <w:sz w:val="28"/>
          <w:szCs w:val="28"/>
        </w:rPr>
      </w:pPr>
      <w:bookmarkStart w:id="203" w:name="_Toc10310"/>
      <w:bookmarkStart w:id="204" w:name="_Toc7520"/>
      <w:bookmarkStart w:id="205" w:name="_Toc15477"/>
      <w:bookmarkStart w:id="206" w:name="_Toc11482"/>
      <w:bookmarkStart w:id="207" w:name="_Toc482131665"/>
      <w:bookmarkStart w:id="208" w:name="_Toc20959"/>
      <w:bookmarkStart w:id="209" w:name="_Toc464675413"/>
      <w:r>
        <w:rPr>
          <w:rFonts w:hint="eastAsia" w:cs="宋体"/>
          <w:sz w:val="28"/>
          <w:szCs w:val="28"/>
        </w:rPr>
        <w:t>1、供应商一般情况表</w:t>
      </w:r>
      <w:bookmarkEnd w:id="203"/>
      <w:bookmarkEnd w:id="204"/>
      <w:bookmarkEnd w:id="205"/>
      <w:bookmarkEnd w:id="206"/>
      <w:bookmarkEnd w:id="207"/>
      <w:bookmarkEnd w:id="208"/>
      <w:bookmarkEnd w:id="209"/>
    </w:p>
    <w:tbl>
      <w:tblPr>
        <w:tblStyle w:val="20"/>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69"/>
        <w:gridCol w:w="749"/>
        <w:gridCol w:w="1354"/>
        <w:gridCol w:w="55"/>
        <w:gridCol w:w="1461"/>
        <w:gridCol w:w="260"/>
        <w:gridCol w:w="709"/>
        <w:gridCol w:w="1475"/>
      </w:tblGrid>
      <w:tr w14:paraId="188C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076" w:type="dxa"/>
            <w:vAlign w:val="center"/>
          </w:tcPr>
          <w:p w14:paraId="1D5C5DCF">
            <w:pPr>
              <w:spacing w:line="480" w:lineRule="exact"/>
              <w:jc w:val="center"/>
              <w:rPr>
                <w:rFonts w:hint="eastAsia" w:ascii="宋体" w:hAnsi="宋体" w:cs="宋体"/>
                <w:sz w:val="24"/>
              </w:rPr>
            </w:pPr>
            <w:r>
              <w:rPr>
                <w:rFonts w:hint="eastAsia" w:ascii="宋体" w:hAnsi="宋体" w:cs="宋体"/>
                <w:sz w:val="24"/>
              </w:rPr>
              <w:t>供应商名称</w:t>
            </w:r>
          </w:p>
        </w:tc>
        <w:tc>
          <w:tcPr>
            <w:tcW w:w="7232" w:type="dxa"/>
            <w:gridSpan w:val="8"/>
            <w:vAlign w:val="center"/>
          </w:tcPr>
          <w:p w14:paraId="7B8781D2">
            <w:pPr>
              <w:spacing w:line="480" w:lineRule="exact"/>
              <w:jc w:val="center"/>
              <w:rPr>
                <w:rFonts w:hint="eastAsia" w:ascii="宋体" w:hAnsi="宋体" w:cs="宋体"/>
                <w:sz w:val="24"/>
              </w:rPr>
            </w:pPr>
          </w:p>
        </w:tc>
      </w:tr>
      <w:tr w14:paraId="0675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76" w:type="dxa"/>
            <w:vAlign w:val="center"/>
          </w:tcPr>
          <w:p w14:paraId="5B95EA7C">
            <w:pPr>
              <w:spacing w:line="480" w:lineRule="exact"/>
              <w:jc w:val="center"/>
              <w:rPr>
                <w:rFonts w:hint="eastAsia" w:ascii="宋体" w:hAnsi="宋体" w:cs="宋体"/>
                <w:sz w:val="24"/>
              </w:rPr>
            </w:pPr>
            <w:r>
              <w:rPr>
                <w:rFonts w:hint="eastAsia" w:ascii="宋体" w:hAnsi="宋体" w:cs="宋体"/>
                <w:sz w:val="24"/>
              </w:rPr>
              <w:t>注册地址</w:t>
            </w:r>
          </w:p>
        </w:tc>
        <w:tc>
          <w:tcPr>
            <w:tcW w:w="3272" w:type="dxa"/>
            <w:gridSpan w:val="3"/>
            <w:vAlign w:val="center"/>
          </w:tcPr>
          <w:p w14:paraId="21518C63">
            <w:pPr>
              <w:spacing w:line="480" w:lineRule="exact"/>
              <w:jc w:val="center"/>
              <w:rPr>
                <w:rFonts w:hint="eastAsia" w:ascii="宋体" w:hAnsi="宋体" w:cs="宋体"/>
                <w:sz w:val="24"/>
              </w:rPr>
            </w:pPr>
          </w:p>
        </w:tc>
        <w:tc>
          <w:tcPr>
            <w:tcW w:w="1516" w:type="dxa"/>
            <w:gridSpan w:val="2"/>
            <w:vAlign w:val="center"/>
          </w:tcPr>
          <w:p w14:paraId="508376AC">
            <w:pPr>
              <w:spacing w:line="480" w:lineRule="exact"/>
              <w:jc w:val="center"/>
              <w:rPr>
                <w:rFonts w:hint="eastAsia" w:ascii="宋体" w:hAnsi="宋体" w:cs="宋体"/>
                <w:sz w:val="24"/>
              </w:rPr>
            </w:pPr>
            <w:r>
              <w:rPr>
                <w:rFonts w:hint="eastAsia" w:ascii="宋体" w:hAnsi="宋体" w:cs="宋体"/>
                <w:sz w:val="24"/>
              </w:rPr>
              <w:t>邮政编码</w:t>
            </w:r>
          </w:p>
        </w:tc>
        <w:tc>
          <w:tcPr>
            <w:tcW w:w="2444" w:type="dxa"/>
            <w:gridSpan w:val="3"/>
            <w:vAlign w:val="center"/>
          </w:tcPr>
          <w:p w14:paraId="5E6C93FA">
            <w:pPr>
              <w:spacing w:line="480" w:lineRule="exact"/>
              <w:jc w:val="center"/>
              <w:rPr>
                <w:rFonts w:hint="eastAsia" w:ascii="宋体" w:hAnsi="宋体" w:cs="宋体"/>
                <w:sz w:val="24"/>
              </w:rPr>
            </w:pPr>
          </w:p>
        </w:tc>
      </w:tr>
      <w:tr w14:paraId="4850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076" w:type="dxa"/>
            <w:vMerge w:val="restart"/>
            <w:vAlign w:val="center"/>
          </w:tcPr>
          <w:p w14:paraId="6EB18D71">
            <w:pPr>
              <w:spacing w:line="480" w:lineRule="exact"/>
              <w:jc w:val="center"/>
              <w:rPr>
                <w:rFonts w:hint="eastAsia" w:ascii="宋体" w:hAnsi="宋体" w:cs="宋体"/>
                <w:sz w:val="24"/>
              </w:rPr>
            </w:pPr>
            <w:r>
              <w:rPr>
                <w:rFonts w:hint="eastAsia" w:ascii="宋体" w:hAnsi="宋体" w:cs="宋体"/>
                <w:sz w:val="24"/>
              </w:rPr>
              <w:t>联系方式</w:t>
            </w:r>
          </w:p>
        </w:tc>
        <w:tc>
          <w:tcPr>
            <w:tcW w:w="1169" w:type="dxa"/>
            <w:vAlign w:val="center"/>
          </w:tcPr>
          <w:p w14:paraId="2C8C15D2">
            <w:pPr>
              <w:spacing w:line="480" w:lineRule="exact"/>
              <w:jc w:val="center"/>
              <w:rPr>
                <w:rFonts w:hint="eastAsia" w:ascii="宋体" w:hAnsi="宋体" w:cs="宋体"/>
                <w:sz w:val="24"/>
              </w:rPr>
            </w:pPr>
            <w:r>
              <w:rPr>
                <w:rFonts w:hint="eastAsia" w:ascii="宋体" w:hAnsi="宋体" w:cs="宋体"/>
                <w:sz w:val="24"/>
              </w:rPr>
              <w:t>联系人</w:t>
            </w:r>
          </w:p>
        </w:tc>
        <w:tc>
          <w:tcPr>
            <w:tcW w:w="2103" w:type="dxa"/>
            <w:gridSpan w:val="2"/>
            <w:vAlign w:val="center"/>
          </w:tcPr>
          <w:p w14:paraId="152DF72D">
            <w:pPr>
              <w:spacing w:line="480" w:lineRule="exact"/>
              <w:jc w:val="center"/>
              <w:rPr>
                <w:rFonts w:hint="eastAsia" w:ascii="宋体" w:hAnsi="宋体" w:cs="宋体"/>
                <w:sz w:val="24"/>
              </w:rPr>
            </w:pPr>
          </w:p>
        </w:tc>
        <w:tc>
          <w:tcPr>
            <w:tcW w:w="1516" w:type="dxa"/>
            <w:gridSpan w:val="2"/>
            <w:vAlign w:val="center"/>
          </w:tcPr>
          <w:p w14:paraId="1F7043AE">
            <w:pPr>
              <w:spacing w:line="480" w:lineRule="exact"/>
              <w:jc w:val="center"/>
              <w:rPr>
                <w:rFonts w:hint="eastAsia" w:ascii="宋体" w:hAnsi="宋体" w:cs="宋体"/>
                <w:sz w:val="24"/>
              </w:rPr>
            </w:pPr>
            <w:r>
              <w:rPr>
                <w:rFonts w:hint="eastAsia" w:ascii="宋体" w:hAnsi="宋体" w:cs="宋体"/>
                <w:sz w:val="24"/>
              </w:rPr>
              <w:t>电  话</w:t>
            </w:r>
          </w:p>
        </w:tc>
        <w:tc>
          <w:tcPr>
            <w:tcW w:w="2444" w:type="dxa"/>
            <w:gridSpan w:val="3"/>
            <w:vAlign w:val="center"/>
          </w:tcPr>
          <w:p w14:paraId="30E124E2">
            <w:pPr>
              <w:spacing w:line="480" w:lineRule="exact"/>
              <w:jc w:val="center"/>
              <w:rPr>
                <w:rFonts w:hint="eastAsia" w:ascii="宋体" w:hAnsi="宋体" w:cs="宋体"/>
                <w:sz w:val="24"/>
              </w:rPr>
            </w:pPr>
          </w:p>
        </w:tc>
      </w:tr>
      <w:tr w14:paraId="0271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076" w:type="dxa"/>
            <w:vMerge w:val="continue"/>
            <w:vAlign w:val="center"/>
          </w:tcPr>
          <w:p w14:paraId="5A378190">
            <w:pPr>
              <w:spacing w:line="480" w:lineRule="exact"/>
              <w:jc w:val="center"/>
              <w:rPr>
                <w:rFonts w:hint="eastAsia" w:ascii="宋体" w:hAnsi="宋体" w:cs="宋体"/>
                <w:sz w:val="24"/>
              </w:rPr>
            </w:pPr>
          </w:p>
        </w:tc>
        <w:tc>
          <w:tcPr>
            <w:tcW w:w="1169" w:type="dxa"/>
            <w:vAlign w:val="center"/>
          </w:tcPr>
          <w:p w14:paraId="1E726381">
            <w:pPr>
              <w:spacing w:line="480" w:lineRule="exact"/>
              <w:jc w:val="center"/>
              <w:rPr>
                <w:rFonts w:hint="eastAsia" w:ascii="宋体" w:hAnsi="宋体" w:cs="宋体"/>
                <w:sz w:val="24"/>
              </w:rPr>
            </w:pPr>
            <w:r>
              <w:rPr>
                <w:rFonts w:hint="eastAsia" w:ascii="宋体" w:hAnsi="宋体" w:cs="宋体"/>
                <w:sz w:val="24"/>
              </w:rPr>
              <w:t>传  真</w:t>
            </w:r>
          </w:p>
        </w:tc>
        <w:tc>
          <w:tcPr>
            <w:tcW w:w="2103" w:type="dxa"/>
            <w:gridSpan w:val="2"/>
            <w:vAlign w:val="center"/>
          </w:tcPr>
          <w:p w14:paraId="25601ED0">
            <w:pPr>
              <w:spacing w:line="480" w:lineRule="exact"/>
              <w:jc w:val="center"/>
              <w:rPr>
                <w:rFonts w:hint="eastAsia" w:ascii="宋体" w:hAnsi="宋体" w:cs="宋体"/>
                <w:sz w:val="24"/>
              </w:rPr>
            </w:pPr>
          </w:p>
        </w:tc>
        <w:tc>
          <w:tcPr>
            <w:tcW w:w="1516" w:type="dxa"/>
            <w:gridSpan w:val="2"/>
            <w:vAlign w:val="center"/>
          </w:tcPr>
          <w:p w14:paraId="738AC7F5">
            <w:pPr>
              <w:spacing w:line="480" w:lineRule="exact"/>
              <w:jc w:val="center"/>
              <w:rPr>
                <w:rFonts w:hint="eastAsia" w:ascii="宋体" w:hAnsi="宋体" w:cs="宋体"/>
                <w:sz w:val="24"/>
              </w:rPr>
            </w:pPr>
            <w:r>
              <w:rPr>
                <w:rFonts w:hint="eastAsia" w:ascii="宋体" w:hAnsi="宋体" w:cs="宋体"/>
                <w:sz w:val="24"/>
              </w:rPr>
              <w:t>网  址</w:t>
            </w:r>
          </w:p>
        </w:tc>
        <w:tc>
          <w:tcPr>
            <w:tcW w:w="2444" w:type="dxa"/>
            <w:gridSpan w:val="3"/>
            <w:vAlign w:val="center"/>
          </w:tcPr>
          <w:p w14:paraId="2E25FD43">
            <w:pPr>
              <w:spacing w:line="480" w:lineRule="exact"/>
              <w:jc w:val="center"/>
              <w:rPr>
                <w:rFonts w:hint="eastAsia" w:ascii="宋体" w:hAnsi="宋体" w:cs="宋体"/>
                <w:sz w:val="24"/>
              </w:rPr>
            </w:pPr>
          </w:p>
        </w:tc>
      </w:tr>
      <w:tr w14:paraId="3F34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076" w:type="dxa"/>
            <w:vAlign w:val="center"/>
          </w:tcPr>
          <w:p w14:paraId="61B3FC93">
            <w:pPr>
              <w:spacing w:line="480" w:lineRule="exact"/>
              <w:jc w:val="center"/>
              <w:rPr>
                <w:rFonts w:hint="eastAsia" w:ascii="宋体" w:hAnsi="宋体" w:cs="宋体"/>
                <w:sz w:val="24"/>
              </w:rPr>
            </w:pPr>
            <w:r>
              <w:rPr>
                <w:rFonts w:hint="eastAsia" w:ascii="宋体" w:hAnsi="宋体" w:cs="宋体"/>
                <w:sz w:val="24"/>
              </w:rPr>
              <w:t>组织结构</w:t>
            </w:r>
          </w:p>
        </w:tc>
        <w:tc>
          <w:tcPr>
            <w:tcW w:w="7232" w:type="dxa"/>
            <w:gridSpan w:val="8"/>
            <w:vAlign w:val="center"/>
          </w:tcPr>
          <w:p w14:paraId="50ED6B25">
            <w:pPr>
              <w:spacing w:line="480" w:lineRule="exact"/>
              <w:jc w:val="center"/>
              <w:rPr>
                <w:rFonts w:hint="eastAsia" w:ascii="宋体" w:hAnsi="宋体" w:cs="宋体"/>
                <w:sz w:val="24"/>
              </w:rPr>
            </w:pPr>
            <w:r>
              <w:rPr>
                <w:rFonts w:hint="eastAsia" w:ascii="宋体" w:hAnsi="宋体" w:cs="宋体"/>
                <w:sz w:val="24"/>
              </w:rPr>
              <w:t>后附</w:t>
            </w:r>
          </w:p>
        </w:tc>
      </w:tr>
      <w:tr w14:paraId="7DBA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076" w:type="dxa"/>
            <w:vAlign w:val="center"/>
          </w:tcPr>
          <w:p w14:paraId="54E6FBE9">
            <w:pPr>
              <w:spacing w:line="480" w:lineRule="exact"/>
              <w:jc w:val="center"/>
              <w:rPr>
                <w:rFonts w:hint="eastAsia" w:ascii="宋体" w:hAnsi="宋体" w:cs="宋体"/>
                <w:sz w:val="24"/>
              </w:rPr>
            </w:pPr>
            <w:r>
              <w:rPr>
                <w:rFonts w:hint="eastAsia" w:ascii="宋体" w:hAnsi="宋体" w:cs="宋体"/>
                <w:sz w:val="24"/>
              </w:rPr>
              <w:t>法定代表人</w:t>
            </w:r>
          </w:p>
        </w:tc>
        <w:tc>
          <w:tcPr>
            <w:tcW w:w="1918" w:type="dxa"/>
            <w:gridSpan w:val="2"/>
            <w:vAlign w:val="center"/>
          </w:tcPr>
          <w:p w14:paraId="3C5B0491">
            <w:pPr>
              <w:spacing w:line="480" w:lineRule="exact"/>
              <w:jc w:val="center"/>
              <w:rPr>
                <w:rFonts w:hint="eastAsia" w:ascii="宋体" w:hAnsi="宋体" w:cs="宋体"/>
                <w:sz w:val="24"/>
              </w:rPr>
            </w:pPr>
          </w:p>
        </w:tc>
        <w:tc>
          <w:tcPr>
            <w:tcW w:w="1409" w:type="dxa"/>
            <w:gridSpan w:val="2"/>
            <w:vAlign w:val="center"/>
          </w:tcPr>
          <w:p w14:paraId="0ACB103C">
            <w:pPr>
              <w:spacing w:line="480" w:lineRule="exact"/>
              <w:jc w:val="center"/>
              <w:rPr>
                <w:rFonts w:hint="eastAsia" w:ascii="宋体" w:hAnsi="宋体" w:cs="宋体"/>
                <w:sz w:val="24"/>
              </w:rPr>
            </w:pPr>
            <w:r>
              <w:rPr>
                <w:rFonts w:hint="eastAsia" w:ascii="宋体" w:hAnsi="宋体" w:cs="宋体"/>
                <w:sz w:val="24"/>
              </w:rPr>
              <w:t>技术职称</w:t>
            </w:r>
          </w:p>
        </w:tc>
        <w:tc>
          <w:tcPr>
            <w:tcW w:w="1721" w:type="dxa"/>
            <w:gridSpan w:val="2"/>
            <w:vAlign w:val="center"/>
          </w:tcPr>
          <w:p w14:paraId="2B3A944E">
            <w:pPr>
              <w:spacing w:line="480" w:lineRule="exact"/>
              <w:jc w:val="center"/>
              <w:rPr>
                <w:rFonts w:hint="eastAsia" w:ascii="宋体" w:hAnsi="宋体" w:cs="宋体"/>
                <w:sz w:val="24"/>
              </w:rPr>
            </w:pPr>
          </w:p>
        </w:tc>
        <w:tc>
          <w:tcPr>
            <w:tcW w:w="709" w:type="dxa"/>
            <w:vAlign w:val="center"/>
          </w:tcPr>
          <w:p w14:paraId="01584B42">
            <w:pPr>
              <w:spacing w:line="480" w:lineRule="exact"/>
              <w:jc w:val="center"/>
              <w:rPr>
                <w:rFonts w:hint="eastAsia" w:ascii="宋体" w:hAnsi="宋体" w:cs="宋体"/>
                <w:sz w:val="24"/>
              </w:rPr>
            </w:pPr>
            <w:r>
              <w:rPr>
                <w:rFonts w:hint="eastAsia" w:ascii="宋体" w:hAnsi="宋体" w:cs="宋体"/>
                <w:sz w:val="24"/>
              </w:rPr>
              <w:t>电话</w:t>
            </w:r>
          </w:p>
        </w:tc>
        <w:tc>
          <w:tcPr>
            <w:tcW w:w="1475" w:type="dxa"/>
            <w:vAlign w:val="center"/>
          </w:tcPr>
          <w:p w14:paraId="334BCB10">
            <w:pPr>
              <w:spacing w:line="480" w:lineRule="exact"/>
              <w:jc w:val="center"/>
              <w:rPr>
                <w:rFonts w:hint="eastAsia" w:ascii="宋体" w:hAnsi="宋体" w:cs="宋体"/>
                <w:sz w:val="24"/>
              </w:rPr>
            </w:pPr>
          </w:p>
        </w:tc>
      </w:tr>
      <w:tr w14:paraId="25DA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076" w:type="dxa"/>
            <w:vAlign w:val="center"/>
          </w:tcPr>
          <w:p w14:paraId="6470BE12">
            <w:pPr>
              <w:spacing w:line="480" w:lineRule="exact"/>
              <w:jc w:val="center"/>
              <w:rPr>
                <w:rFonts w:hint="eastAsia" w:ascii="宋体" w:hAnsi="宋体" w:cs="宋体"/>
                <w:sz w:val="24"/>
              </w:rPr>
            </w:pPr>
            <w:r>
              <w:rPr>
                <w:rFonts w:hint="eastAsia" w:ascii="宋体" w:hAnsi="宋体" w:cs="宋体"/>
                <w:sz w:val="24"/>
              </w:rPr>
              <w:t>成立时间</w:t>
            </w:r>
          </w:p>
        </w:tc>
        <w:tc>
          <w:tcPr>
            <w:tcW w:w="1918" w:type="dxa"/>
            <w:gridSpan w:val="2"/>
            <w:vAlign w:val="center"/>
          </w:tcPr>
          <w:p w14:paraId="5438A94E">
            <w:pPr>
              <w:spacing w:line="480" w:lineRule="exact"/>
              <w:jc w:val="center"/>
              <w:rPr>
                <w:rFonts w:hint="eastAsia" w:ascii="宋体" w:hAnsi="宋体" w:cs="宋体"/>
                <w:sz w:val="24"/>
              </w:rPr>
            </w:pPr>
          </w:p>
        </w:tc>
        <w:tc>
          <w:tcPr>
            <w:tcW w:w="5314" w:type="dxa"/>
            <w:gridSpan w:val="6"/>
            <w:vAlign w:val="center"/>
          </w:tcPr>
          <w:p w14:paraId="1CC3FD57">
            <w:pPr>
              <w:spacing w:line="480" w:lineRule="exact"/>
              <w:jc w:val="center"/>
              <w:rPr>
                <w:rFonts w:hint="eastAsia" w:ascii="宋体" w:hAnsi="宋体" w:cs="宋体"/>
                <w:sz w:val="24"/>
              </w:rPr>
            </w:pPr>
            <w:r>
              <w:rPr>
                <w:rFonts w:hint="eastAsia" w:ascii="宋体" w:hAnsi="宋体" w:cs="宋体"/>
                <w:sz w:val="24"/>
              </w:rPr>
              <w:t>员工总人数：</w:t>
            </w:r>
          </w:p>
        </w:tc>
      </w:tr>
      <w:tr w14:paraId="0A64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076" w:type="dxa"/>
            <w:vAlign w:val="center"/>
          </w:tcPr>
          <w:p w14:paraId="50CEBD8A">
            <w:pPr>
              <w:spacing w:line="480" w:lineRule="exact"/>
              <w:jc w:val="center"/>
              <w:rPr>
                <w:rFonts w:hint="eastAsia" w:ascii="宋体" w:hAnsi="宋体" w:cs="宋体"/>
                <w:sz w:val="24"/>
              </w:rPr>
            </w:pPr>
            <w:r>
              <w:rPr>
                <w:rFonts w:hint="eastAsia" w:ascii="宋体" w:hAnsi="宋体" w:cs="宋体"/>
                <w:sz w:val="24"/>
              </w:rPr>
              <w:t>开户银行</w:t>
            </w:r>
          </w:p>
        </w:tc>
        <w:tc>
          <w:tcPr>
            <w:tcW w:w="7227" w:type="dxa"/>
            <w:gridSpan w:val="8"/>
            <w:vAlign w:val="center"/>
          </w:tcPr>
          <w:p w14:paraId="264A45CE">
            <w:pPr>
              <w:spacing w:line="480" w:lineRule="exact"/>
              <w:jc w:val="center"/>
              <w:rPr>
                <w:rFonts w:hint="eastAsia" w:ascii="宋体" w:hAnsi="宋体" w:cs="宋体"/>
                <w:sz w:val="24"/>
              </w:rPr>
            </w:pPr>
          </w:p>
        </w:tc>
      </w:tr>
      <w:tr w14:paraId="62E4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076" w:type="dxa"/>
            <w:vAlign w:val="center"/>
          </w:tcPr>
          <w:p w14:paraId="537AD2FB">
            <w:pPr>
              <w:spacing w:line="480" w:lineRule="exact"/>
              <w:jc w:val="center"/>
              <w:rPr>
                <w:rFonts w:hint="eastAsia" w:ascii="宋体" w:hAnsi="宋体" w:cs="宋体"/>
                <w:sz w:val="24"/>
              </w:rPr>
            </w:pPr>
            <w:r>
              <w:rPr>
                <w:rFonts w:hint="eastAsia" w:ascii="宋体" w:hAnsi="宋体" w:cs="宋体"/>
                <w:sz w:val="24"/>
              </w:rPr>
              <w:t>账号</w:t>
            </w:r>
          </w:p>
        </w:tc>
        <w:tc>
          <w:tcPr>
            <w:tcW w:w="7227" w:type="dxa"/>
            <w:gridSpan w:val="8"/>
            <w:vAlign w:val="center"/>
          </w:tcPr>
          <w:p w14:paraId="29FCD0D6">
            <w:pPr>
              <w:spacing w:line="480" w:lineRule="exact"/>
              <w:jc w:val="center"/>
              <w:rPr>
                <w:rFonts w:hint="eastAsia" w:ascii="宋体" w:hAnsi="宋体" w:cs="宋体"/>
                <w:sz w:val="24"/>
              </w:rPr>
            </w:pPr>
          </w:p>
        </w:tc>
      </w:tr>
      <w:tr w14:paraId="43A8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076" w:type="dxa"/>
            <w:vAlign w:val="center"/>
          </w:tcPr>
          <w:p w14:paraId="6D4CCF83">
            <w:pPr>
              <w:spacing w:line="480" w:lineRule="exact"/>
              <w:jc w:val="center"/>
              <w:rPr>
                <w:rFonts w:hint="eastAsia" w:ascii="宋体" w:hAnsi="宋体" w:cs="宋体"/>
                <w:sz w:val="24"/>
              </w:rPr>
            </w:pPr>
            <w:r>
              <w:rPr>
                <w:rFonts w:hint="eastAsia" w:ascii="宋体" w:hAnsi="宋体" w:cs="宋体"/>
                <w:sz w:val="24"/>
              </w:rPr>
              <w:t>经营范围</w:t>
            </w:r>
          </w:p>
        </w:tc>
        <w:tc>
          <w:tcPr>
            <w:tcW w:w="7232" w:type="dxa"/>
            <w:gridSpan w:val="8"/>
            <w:vAlign w:val="center"/>
          </w:tcPr>
          <w:p w14:paraId="36C1CB80">
            <w:pPr>
              <w:spacing w:line="480" w:lineRule="exact"/>
              <w:jc w:val="center"/>
              <w:rPr>
                <w:rFonts w:hint="eastAsia" w:ascii="宋体" w:hAnsi="宋体" w:cs="宋体"/>
                <w:sz w:val="24"/>
              </w:rPr>
            </w:pPr>
          </w:p>
        </w:tc>
      </w:tr>
      <w:tr w14:paraId="2574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76" w:type="dxa"/>
            <w:vAlign w:val="center"/>
          </w:tcPr>
          <w:p w14:paraId="3E7B14B0">
            <w:pPr>
              <w:spacing w:line="480" w:lineRule="exact"/>
              <w:jc w:val="center"/>
              <w:rPr>
                <w:rFonts w:hint="eastAsia" w:ascii="宋体" w:hAnsi="宋体" w:cs="宋体"/>
                <w:sz w:val="24"/>
              </w:rPr>
            </w:pPr>
            <w:r>
              <w:rPr>
                <w:rFonts w:hint="eastAsia" w:ascii="宋体" w:hAnsi="宋体" w:cs="宋体"/>
                <w:sz w:val="24"/>
              </w:rPr>
              <w:t>备注</w:t>
            </w:r>
          </w:p>
        </w:tc>
        <w:tc>
          <w:tcPr>
            <w:tcW w:w="7232" w:type="dxa"/>
            <w:gridSpan w:val="8"/>
            <w:vAlign w:val="center"/>
          </w:tcPr>
          <w:p w14:paraId="12D58C51">
            <w:pPr>
              <w:spacing w:line="480" w:lineRule="exact"/>
              <w:jc w:val="center"/>
              <w:rPr>
                <w:rFonts w:hint="eastAsia" w:ascii="宋体" w:hAnsi="宋体" w:cs="宋体"/>
                <w:sz w:val="24"/>
              </w:rPr>
            </w:pPr>
          </w:p>
        </w:tc>
      </w:tr>
    </w:tbl>
    <w:p w14:paraId="092577EA"/>
    <w:p w14:paraId="7D75EFD2">
      <w:pPr>
        <w:snapToGrid w:val="0"/>
        <w:spacing w:line="360" w:lineRule="auto"/>
        <w:textAlignment w:val="baseline"/>
        <w:rPr>
          <w:rFonts w:hint="eastAsia" w:ascii="宋体" w:hAnsi="宋体" w:cs="宋体"/>
          <w:sz w:val="24"/>
        </w:rPr>
      </w:pPr>
      <w:r>
        <w:rPr>
          <w:rFonts w:hint="eastAsia" w:ascii="宋体" w:hAnsi="宋体" w:cs="宋体"/>
          <w:sz w:val="24"/>
        </w:rPr>
        <w:t>附：营业执照副本等复印件加盖公章。</w:t>
      </w:r>
    </w:p>
    <w:p w14:paraId="307E44C0">
      <w:pPr>
        <w:rPr>
          <w:rFonts w:hint="eastAsia" w:ascii="宋体" w:hAnsi="宋体" w:cs="宋体"/>
          <w:sz w:val="24"/>
        </w:rPr>
      </w:pPr>
      <w:r>
        <w:rPr>
          <w:rFonts w:hint="eastAsia" w:ascii="宋体" w:hAnsi="宋体" w:cs="宋体"/>
          <w:sz w:val="24"/>
        </w:rPr>
        <w:br w:type="page"/>
      </w:r>
    </w:p>
    <w:p w14:paraId="77203E28">
      <w:pPr>
        <w:pStyle w:val="4"/>
        <w:jc w:val="center"/>
        <w:rPr>
          <w:rFonts w:cs="宋体"/>
          <w:sz w:val="28"/>
          <w:szCs w:val="28"/>
        </w:rPr>
      </w:pPr>
      <w:r>
        <w:rPr>
          <w:rFonts w:hint="eastAsia" w:cs="宋体"/>
          <w:sz w:val="28"/>
          <w:szCs w:val="28"/>
        </w:rPr>
        <w:t>2、附供应商资格要求的资料复印件</w:t>
      </w:r>
    </w:p>
    <w:p w14:paraId="2AFD7E84">
      <w:pPr>
        <w:pStyle w:val="15"/>
      </w:pPr>
    </w:p>
    <w:p w14:paraId="59EB5CB4">
      <w:pPr>
        <w:adjustRightInd w:val="0"/>
        <w:snapToGrid w:val="0"/>
        <w:spacing w:line="360" w:lineRule="auto"/>
        <w:jc w:val="center"/>
        <w:rPr>
          <w:rFonts w:hint="eastAsia" w:ascii="宋体" w:hAnsi="宋体" w:cs="宋体"/>
          <w:b/>
          <w:sz w:val="28"/>
          <w:szCs w:val="28"/>
        </w:rPr>
      </w:pPr>
    </w:p>
    <w:p w14:paraId="35503B8F">
      <w:pPr>
        <w:pStyle w:val="46"/>
        <w:ind w:firstLine="480"/>
      </w:pPr>
    </w:p>
    <w:p w14:paraId="6209B271">
      <w:pPr>
        <w:pStyle w:val="4"/>
        <w:jc w:val="center"/>
        <w:rPr>
          <w:rFonts w:cs="宋体"/>
          <w:sz w:val="28"/>
          <w:szCs w:val="28"/>
        </w:rPr>
      </w:pPr>
      <w:r>
        <w:rPr>
          <w:rFonts w:hint="eastAsia" w:cs="宋体"/>
        </w:rPr>
        <w:br w:type="page"/>
      </w:r>
      <w:bookmarkStart w:id="210" w:name="_Toc317237642"/>
      <w:bookmarkStart w:id="211" w:name="_Toc212102898"/>
      <w:bookmarkStart w:id="212" w:name="_Toc17783"/>
      <w:bookmarkStart w:id="213" w:name="_Toc2510"/>
      <w:bookmarkStart w:id="214" w:name="_Toc13316"/>
      <w:bookmarkStart w:id="215" w:name="_Toc15247"/>
      <w:bookmarkStart w:id="216" w:name="_Toc16543"/>
      <w:bookmarkStart w:id="217" w:name="_Toc20398"/>
      <w:r>
        <w:rPr>
          <w:rFonts w:hint="eastAsia" w:cs="宋体"/>
          <w:sz w:val="28"/>
          <w:szCs w:val="28"/>
        </w:rPr>
        <w:t>3、反商业贿赂承诺书格式</w:t>
      </w:r>
      <w:bookmarkEnd w:id="210"/>
      <w:bookmarkEnd w:id="211"/>
      <w:bookmarkEnd w:id="212"/>
      <w:bookmarkEnd w:id="213"/>
      <w:bookmarkEnd w:id="214"/>
      <w:bookmarkEnd w:id="215"/>
      <w:bookmarkEnd w:id="216"/>
      <w:bookmarkEnd w:id="217"/>
    </w:p>
    <w:p w14:paraId="290F7C8F">
      <w:pPr>
        <w:jc w:val="left"/>
        <w:rPr>
          <w:rFonts w:hint="eastAsia" w:ascii="宋体" w:hAnsi="宋体" w:cs="宋体"/>
          <w:b/>
          <w:sz w:val="28"/>
          <w:szCs w:val="28"/>
        </w:rPr>
      </w:pPr>
      <w:r>
        <w:rPr>
          <w:rFonts w:hint="eastAsia" w:ascii="宋体" w:hAnsi="宋体" w:cs="宋体"/>
          <w:b/>
          <w:sz w:val="28"/>
          <w:szCs w:val="28"/>
        </w:rPr>
        <w:t>我公司郑重承诺：</w:t>
      </w:r>
    </w:p>
    <w:p w14:paraId="522A35D1">
      <w:pPr>
        <w:spacing w:line="360" w:lineRule="auto"/>
        <w:ind w:firstLine="480"/>
        <w:rPr>
          <w:rFonts w:hint="eastAsia" w:ascii="宋体" w:hAnsi="宋体" w:cs="宋体"/>
          <w:sz w:val="24"/>
        </w:rPr>
      </w:pPr>
      <w:r>
        <w:rPr>
          <w:rFonts w:hint="eastAsia" w:ascii="宋体" w:hAnsi="宋体" w:cs="宋体"/>
          <w:sz w:val="24"/>
        </w:rPr>
        <w:t>在</w:t>
      </w:r>
      <w:r>
        <w:rPr>
          <w:rFonts w:hint="eastAsia" w:ascii="宋体" w:hAnsi="宋体" w:cs="宋体"/>
          <w:sz w:val="24"/>
          <w:u w:val="single"/>
          <w:lang w:eastAsia="zh-CN"/>
        </w:rPr>
        <w:t>2024年医疗机构责任保险服务项目</w:t>
      </w:r>
      <w:r>
        <w:rPr>
          <w:rFonts w:hint="eastAsia" w:ascii="宋体" w:hAnsi="宋体" w:cs="宋体"/>
          <w:sz w:val="24"/>
        </w:rPr>
        <w:t>磋商项目采购活动中，我公司保证做到：</w:t>
      </w:r>
    </w:p>
    <w:p w14:paraId="385F71C9">
      <w:pPr>
        <w:spacing w:line="360" w:lineRule="auto"/>
        <w:ind w:firstLine="480"/>
        <w:rPr>
          <w:rFonts w:hint="eastAsia" w:ascii="宋体" w:hAnsi="宋体" w:cs="宋体"/>
          <w:sz w:val="24"/>
        </w:rPr>
      </w:pPr>
      <w:r>
        <w:rPr>
          <w:rFonts w:hint="eastAsia" w:ascii="宋体" w:hAnsi="宋体" w:cs="宋体"/>
          <w:sz w:val="24"/>
        </w:rPr>
        <w:t>一、公平竞争参加本磋商项目。</w:t>
      </w:r>
    </w:p>
    <w:p w14:paraId="409D0436">
      <w:pPr>
        <w:spacing w:line="360" w:lineRule="auto"/>
        <w:ind w:firstLine="480"/>
        <w:rPr>
          <w:rFonts w:hint="eastAsia" w:ascii="宋体" w:hAnsi="宋体" w:cs="宋体"/>
          <w:sz w:val="24"/>
        </w:rPr>
      </w:pPr>
      <w:r>
        <w:rPr>
          <w:rFonts w:hint="eastAsia" w:ascii="宋体" w:hAnsi="宋体" w:cs="宋体"/>
          <w:sz w:val="24"/>
        </w:rPr>
        <w:t>二、杜绝任何形式的商业贿赂行为。不向国家工作人员、政府采购代理机构工作人员、评审专家及其亲属提供礼品礼金、有价证券、购物券、回扣、佣金、咨询费、劳务费、赞助费、宣传费和宴请等；不为其报销各种消费凭证，不支付其旅游、娱乐等费用。</w:t>
      </w:r>
    </w:p>
    <w:p w14:paraId="62B75D70">
      <w:pPr>
        <w:spacing w:line="360" w:lineRule="auto"/>
        <w:ind w:firstLine="480"/>
        <w:rPr>
          <w:rFonts w:hint="eastAsia" w:ascii="宋体" w:hAnsi="宋体" w:cs="宋体"/>
          <w:sz w:val="24"/>
        </w:rPr>
      </w:pPr>
      <w:r>
        <w:rPr>
          <w:rFonts w:hint="eastAsia" w:ascii="宋体" w:hAnsi="宋体" w:cs="宋体"/>
          <w:sz w:val="24"/>
        </w:rPr>
        <w:t>三、若出现上述行为，我公司及参与磋商的工作人员愿意接受按照国家法律法规等有关规定给予的处罚。</w:t>
      </w:r>
    </w:p>
    <w:p w14:paraId="2F887904">
      <w:pPr>
        <w:rPr>
          <w:rFonts w:hint="eastAsia" w:ascii="宋体" w:hAnsi="宋体" w:cs="宋体"/>
          <w:sz w:val="24"/>
        </w:rPr>
      </w:pPr>
    </w:p>
    <w:p w14:paraId="21975470">
      <w:pPr>
        <w:spacing w:line="720" w:lineRule="auto"/>
        <w:rPr>
          <w:rFonts w:hint="eastAsia" w:ascii="宋体" w:hAnsi="宋体" w:cs="宋体"/>
          <w:sz w:val="24"/>
        </w:rPr>
      </w:pPr>
      <w:r>
        <w:rPr>
          <w:rFonts w:hint="eastAsia" w:ascii="宋体" w:hAnsi="宋体" w:cs="宋体"/>
          <w:sz w:val="24"/>
        </w:rPr>
        <w:t>法定代表人或授权代表：</w:t>
      </w:r>
      <w:r>
        <w:rPr>
          <w:rFonts w:hint="eastAsia" w:ascii="宋体" w:hAnsi="宋体" w:cs="宋体"/>
          <w:iCs/>
          <w:sz w:val="24"/>
          <w:szCs w:val="21"/>
        </w:rPr>
        <w:t>（签字或盖章）</w:t>
      </w:r>
    </w:p>
    <w:p w14:paraId="458F1930">
      <w:pPr>
        <w:rPr>
          <w:rFonts w:hint="eastAsia" w:ascii="宋体" w:hAnsi="宋体" w:cs="宋体"/>
          <w:sz w:val="24"/>
        </w:rPr>
      </w:pPr>
    </w:p>
    <w:p w14:paraId="1DC631BD">
      <w:pPr>
        <w:rPr>
          <w:rFonts w:hint="eastAsia" w:ascii="宋体" w:hAnsi="宋体" w:cs="宋体"/>
          <w:sz w:val="24"/>
        </w:rPr>
      </w:pPr>
    </w:p>
    <w:p w14:paraId="576ED755">
      <w:pPr>
        <w:rPr>
          <w:rFonts w:hint="eastAsia" w:ascii="宋体" w:hAnsi="宋体" w:cs="宋体"/>
          <w:sz w:val="24"/>
        </w:rPr>
      </w:pPr>
    </w:p>
    <w:p w14:paraId="5247B025">
      <w:pPr>
        <w:rPr>
          <w:rFonts w:hint="eastAsia" w:ascii="宋体" w:hAnsi="宋体" w:cs="宋体"/>
          <w:sz w:val="24"/>
        </w:rPr>
      </w:pPr>
    </w:p>
    <w:p w14:paraId="233D543C">
      <w:pPr>
        <w:spacing w:line="360" w:lineRule="auto"/>
        <w:ind w:firstLine="2400" w:firstLineChars="1000"/>
        <w:jc w:val="center"/>
        <w:rPr>
          <w:rFonts w:hint="eastAsia" w:ascii="宋体" w:hAnsi="宋体" w:cs="宋体"/>
          <w:iCs/>
          <w:sz w:val="24"/>
        </w:rPr>
      </w:pPr>
      <w:r>
        <w:rPr>
          <w:rFonts w:hint="eastAsia" w:ascii="宋体" w:hAnsi="宋体" w:cs="宋体"/>
          <w:iCs/>
          <w:sz w:val="24"/>
        </w:rPr>
        <w:t>供应商：</w:t>
      </w:r>
      <w:r>
        <w:rPr>
          <w:rFonts w:hint="eastAsia" w:ascii="宋体" w:hAnsi="宋体" w:cs="宋体"/>
          <w:sz w:val="24"/>
        </w:rPr>
        <w:t>（填写名称并盖章）</w:t>
      </w:r>
    </w:p>
    <w:p w14:paraId="02D53EA5">
      <w:pPr>
        <w:spacing w:line="360" w:lineRule="auto"/>
        <w:ind w:firstLine="2400" w:firstLineChars="1000"/>
        <w:jc w:val="center"/>
        <w:rPr>
          <w:rFonts w:hint="eastAsia" w:ascii="宋体" w:hAnsi="宋体" w:cs="宋体"/>
          <w:sz w:val="24"/>
        </w:rPr>
      </w:pPr>
      <w:r>
        <w:rPr>
          <w:rFonts w:hint="eastAsia" w:ascii="宋体" w:hAnsi="宋体" w:cs="宋体"/>
          <w:sz w:val="24"/>
        </w:rPr>
        <w:t xml:space="preserve"> 年  月  日</w:t>
      </w:r>
    </w:p>
    <w:p w14:paraId="49D0DFEF">
      <w:pPr>
        <w:pStyle w:val="4"/>
        <w:jc w:val="center"/>
        <w:rPr>
          <w:rFonts w:hint="eastAsia" w:ascii="宋体" w:hAnsi="宋体" w:cs="宋体"/>
          <w:b w:val="0"/>
          <w:bCs/>
          <w:sz w:val="28"/>
          <w:szCs w:val="28"/>
        </w:rPr>
      </w:pPr>
      <w:r>
        <w:rPr>
          <w:rFonts w:hint="eastAsia" w:ascii="宋体" w:hAnsi="宋体" w:cs="宋体"/>
        </w:rPr>
        <w:br w:type="page"/>
      </w:r>
      <w:bookmarkStart w:id="218" w:name="_Toc317237643"/>
      <w:r>
        <w:rPr>
          <w:rFonts w:hint="eastAsia" w:cs="宋体"/>
          <w:sz w:val="28"/>
          <w:szCs w:val="28"/>
        </w:rPr>
        <w:t>4、诚信投标、诚信履约承诺书</w:t>
      </w:r>
    </w:p>
    <w:p w14:paraId="6D2BC32B">
      <w:pPr>
        <w:rPr>
          <w:rFonts w:hint="eastAsia" w:ascii="宋体" w:hAnsi="宋体" w:cs="宋体"/>
        </w:rPr>
      </w:pPr>
    </w:p>
    <w:p w14:paraId="42EB3651">
      <w:pPr>
        <w:rPr>
          <w:rFonts w:hint="eastAsia" w:ascii="宋体" w:hAnsi="宋体" w:cs="宋体"/>
        </w:rPr>
      </w:pPr>
    </w:p>
    <w:p w14:paraId="548F9844">
      <w:pPr>
        <w:snapToGrid w:val="0"/>
        <w:spacing w:line="360" w:lineRule="auto"/>
        <w:rPr>
          <w:rFonts w:hint="eastAsia" w:ascii="宋体" w:hAnsi="宋体" w:cs="宋体"/>
          <w:sz w:val="24"/>
        </w:rPr>
      </w:pPr>
      <w:r>
        <w:rPr>
          <w:rFonts w:hint="eastAsia" w:ascii="宋体" w:hAnsi="宋体" w:cs="宋体"/>
          <w:sz w:val="24"/>
        </w:rPr>
        <w:t>乐东黎族自治县第二人民医院：</w:t>
      </w:r>
    </w:p>
    <w:p w14:paraId="23D1568D">
      <w:pPr>
        <w:snapToGrid w:val="0"/>
        <w:spacing w:line="360" w:lineRule="auto"/>
        <w:ind w:firstLine="480" w:firstLineChars="200"/>
        <w:rPr>
          <w:rFonts w:hint="eastAsia" w:ascii="宋体" w:hAnsi="宋体" w:cs="宋体"/>
          <w:sz w:val="24"/>
        </w:rPr>
      </w:pPr>
      <w:r>
        <w:rPr>
          <w:rFonts w:hint="eastAsia" w:ascii="宋体" w:hAnsi="宋体" w:cs="宋体"/>
          <w:sz w:val="24"/>
        </w:rPr>
        <w:t>我方就本磋商采购活动向贵方郑重承诺：</w:t>
      </w:r>
    </w:p>
    <w:p w14:paraId="30F21DA4">
      <w:pPr>
        <w:snapToGrid w:val="0"/>
        <w:spacing w:line="360" w:lineRule="auto"/>
        <w:ind w:firstLine="480" w:firstLineChars="200"/>
        <w:rPr>
          <w:rFonts w:hint="eastAsia" w:ascii="宋体" w:hAnsi="宋体" w:cs="宋体"/>
          <w:sz w:val="24"/>
        </w:rPr>
      </w:pPr>
      <w:r>
        <w:rPr>
          <w:rFonts w:hint="eastAsia" w:ascii="宋体" w:hAnsi="宋体" w:cs="宋体"/>
          <w:sz w:val="24"/>
        </w:rPr>
        <w:t>一、我们已经充分理解了磋商文件规定的所有采购要求、成交条件和合同条款，没有任何异议。</w:t>
      </w:r>
    </w:p>
    <w:p w14:paraId="5367DBD1">
      <w:pPr>
        <w:snapToGrid w:val="0"/>
        <w:spacing w:line="360" w:lineRule="auto"/>
        <w:ind w:firstLine="480" w:firstLineChars="200"/>
        <w:rPr>
          <w:rFonts w:hint="eastAsia" w:ascii="宋体" w:hAnsi="宋体" w:cs="宋体"/>
          <w:sz w:val="24"/>
        </w:rPr>
      </w:pPr>
      <w:r>
        <w:rPr>
          <w:rFonts w:hint="eastAsia" w:ascii="宋体" w:hAnsi="宋体" w:cs="宋体"/>
          <w:sz w:val="24"/>
        </w:rPr>
        <w:t>二、我们在响应文件中提交的所有商务文件和资格证明文件都是真实有效的；我们做出的所有技术响应都是真实可信、可以实现、并经得起验收检验的。我们保证所有的响应在磋商有效期内不发生任何变更。</w:t>
      </w:r>
    </w:p>
    <w:p w14:paraId="5268C674">
      <w:pPr>
        <w:snapToGrid w:val="0"/>
        <w:spacing w:line="360" w:lineRule="auto"/>
        <w:ind w:firstLine="480" w:firstLineChars="200"/>
        <w:rPr>
          <w:rFonts w:hint="eastAsia" w:ascii="宋体" w:hAnsi="宋体" w:cs="宋体"/>
          <w:sz w:val="24"/>
        </w:rPr>
      </w:pPr>
      <w:r>
        <w:rPr>
          <w:rFonts w:hint="eastAsia" w:ascii="宋体" w:hAnsi="宋体" w:cs="宋体"/>
          <w:sz w:val="24"/>
        </w:rPr>
        <w:t>三、我们的磋商报价包含了履行合同所需的全部费用。不论何种原因造成的报价漏项损失，我方全部承担，不会提出任何增加费用的要求。</w:t>
      </w:r>
    </w:p>
    <w:p w14:paraId="18922EB4">
      <w:pPr>
        <w:snapToGrid w:val="0"/>
        <w:spacing w:line="360" w:lineRule="auto"/>
        <w:ind w:firstLine="480" w:firstLineChars="200"/>
        <w:rPr>
          <w:rFonts w:hint="eastAsia" w:ascii="宋体" w:hAnsi="宋体" w:cs="宋体"/>
          <w:sz w:val="24"/>
        </w:rPr>
      </w:pPr>
      <w:r>
        <w:rPr>
          <w:rFonts w:hint="eastAsia" w:ascii="宋体" w:hAnsi="宋体" w:cs="宋体"/>
          <w:sz w:val="24"/>
        </w:rPr>
        <w:t>四、我们知道，如果成交后放弃成交，不论原因何在，都是不诚信的行为，都会给采购项目造成损失。如果采购人将本合同授予我们，我们将承担所有的潜在合同风险，绝不以任何理由放弃成交。</w:t>
      </w:r>
    </w:p>
    <w:p w14:paraId="3B166BB5">
      <w:pPr>
        <w:snapToGrid w:val="0"/>
        <w:spacing w:line="360" w:lineRule="auto"/>
        <w:ind w:firstLine="480" w:firstLineChars="200"/>
        <w:rPr>
          <w:rFonts w:hint="eastAsia" w:ascii="宋体" w:hAnsi="宋体" w:cs="宋体"/>
          <w:sz w:val="24"/>
        </w:rPr>
      </w:pPr>
      <w:r>
        <w:rPr>
          <w:rFonts w:hint="eastAsia" w:ascii="宋体" w:hAnsi="宋体" w:cs="宋体"/>
          <w:sz w:val="24"/>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662EE10F">
      <w:pPr>
        <w:snapToGrid w:val="0"/>
        <w:spacing w:line="360" w:lineRule="auto"/>
        <w:ind w:firstLine="480" w:firstLineChars="200"/>
        <w:rPr>
          <w:rFonts w:hint="eastAsia" w:ascii="宋体" w:hAnsi="宋体" w:cs="宋体"/>
          <w:sz w:val="24"/>
        </w:rPr>
      </w:pPr>
      <w:r>
        <w:rPr>
          <w:rFonts w:hint="eastAsia" w:ascii="宋体" w:hAnsi="宋体" w:cs="宋体"/>
          <w:sz w:val="24"/>
        </w:rPr>
        <w:t>六、我们声明：我方在溯往两年内的政府采购活动中，没有成交后放弃成交、拒签或故意拖延签署合同、拒绝履行或故意拖延履行合同的不诚信行为。</w:t>
      </w:r>
    </w:p>
    <w:p w14:paraId="2F7CE247">
      <w:pPr>
        <w:snapToGrid w:val="0"/>
        <w:spacing w:line="360" w:lineRule="auto"/>
        <w:ind w:firstLine="480" w:firstLineChars="200"/>
        <w:rPr>
          <w:rFonts w:hint="eastAsia" w:ascii="宋体" w:hAnsi="宋体" w:cs="宋体"/>
          <w:sz w:val="24"/>
        </w:rPr>
      </w:pPr>
      <w:r>
        <w:rPr>
          <w:rFonts w:hint="eastAsia" w:ascii="宋体" w:hAnsi="宋体" w:cs="宋体"/>
          <w:sz w:val="24"/>
        </w:rPr>
        <w:t>以上承诺，能够经受来自任何方面的审查和监督。如有虚假或背离，我方愿承担由此引发的一切不利后果，无条件接受采购人的处置和政府采购监管单位的处罚。</w:t>
      </w:r>
    </w:p>
    <w:p w14:paraId="650191DC">
      <w:pPr>
        <w:snapToGrid w:val="0"/>
        <w:spacing w:line="360" w:lineRule="auto"/>
        <w:rPr>
          <w:rFonts w:hint="eastAsia" w:ascii="宋体" w:hAnsi="宋体" w:cs="宋体"/>
          <w:sz w:val="24"/>
        </w:rPr>
      </w:pPr>
    </w:p>
    <w:p w14:paraId="08459D7C">
      <w:pPr>
        <w:snapToGrid w:val="0"/>
        <w:spacing w:line="360" w:lineRule="auto"/>
        <w:rPr>
          <w:rFonts w:hint="eastAsia" w:ascii="宋体" w:hAnsi="宋体" w:cs="宋体"/>
          <w:sz w:val="24"/>
        </w:rPr>
      </w:pPr>
    </w:p>
    <w:p w14:paraId="71B75B7C">
      <w:pPr>
        <w:snapToGrid w:val="0"/>
        <w:spacing w:line="360" w:lineRule="auto"/>
        <w:rPr>
          <w:rFonts w:hint="eastAsia" w:ascii="宋体" w:hAnsi="宋体" w:cs="宋体"/>
          <w:sz w:val="24"/>
        </w:rPr>
      </w:pPr>
      <w:r>
        <w:rPr>
          <w:rFonts w:hint="eastAsia" w:ascii="宋体" w:hAnsi="宋体" w:cs="宋体"/>
          <w:sz w:val="24"/>
        </w:rPr>
        <w:t>供应商：（填写名称并盖章）</w:t>
      </w:r>
    </w:p>
    <w:p w14:paraId="223DA227">
      <w:pPr>
        <w:snapToGrid w:val="0"/>
        <w:spacing w:line="360" w:lineRule="auto"/>
        <w:rPr>
          <w:rFonts w:hint="eastAsia" w:ascii="宋体" w:hAnsi="宋体" w:cs="宋体"/>
          <w:sz w:val="24"/>
        </w:rPr>
      </w:pPr>
      <w:r>
        <w:rPr>
          <w:rFonts w:hint="eastAsia" w:ascii="宋体" w:hAnsi="宋体" w:cs="宋体"/>
          <w:sz w:val="24"/>
        </w:rPr>
        <w:t>法定代表人：</w:t>
      </w:r>
      <w:r>
        <w:rPr>
          <w:rFonts w:hint="eastAsia" w:ascii="宋体" w:hAnsi="宋体" w:cs="宋体"/>
          <w:iCs/>
          <w:sz w:val="24"/>
          <w:szCs w:val="21"/>
        </w:rPr>
        <w:t>（签字或盖章）</w:t>
      </w:r>
    </w:p>
    <w:p w14:paraId="3182809E">
      <w:pPr>
        <w:snapToGrid w:val="0"/>
        <w:spacing w:line="360" w:lineRule="auto"/>
        <w:rPr>
          <w:rFonts w:hint="eastAsia" w:ascii="宋体" w:hAnsi="宋体" w:cs="宋体"/>
          <w:sz w:val="24"/>
        </w:rPr>
      </w:pPr>
      <w:r>
        <w:rPr>
          <w:rFonts w:hint="eastAsia" w:ascii="宋体" w:hAnsi="宋体" w:cs="宋体"/>
          <w:sz w:val="24"/>
        </w:rPr>
        <w:t>签署日期：</w:t>
      </w:r>
    </w:p>
    <w:p w14:paraId="768D0E0E">
      <w:pPr>
        <w:pStyle w:val="46"/>
        <w:ind w:firstLine="480"/>
      </w:pPr>
    </w:p>
    <w:p w14:paraId="1C611511">
      <w:pPr>
        <w:pStyle w:val="4"/>
        <w:jc w:val="center"/>
        <w:rPr>
          <w:rFonts w:hint="eastAsia" w:ascii="宋体" w:hAnsi="宋体" w:cs="宋体"/>
          <w:b w:val="0"/>
          <w:bCs/>
          <w:sz w:val="28"/>
          <w:szCs w:val="28"/>
        </w:rPr>
      </w:pPr>
      <w:r>
        <w:rPr>
          <w:rFonts w:hint="eastAsia" w:ascii="宋体" w:hAnsi="宋体" w:cs="宋体"/>
          <w:bCs/>
          <w:sz w:val="30"/>
          <w:szCs w:val="30"/>
        </w:rPr>
        <w:br w:type="page"/>
      </w:r>
      <w:r>
        <w:rPr>
          <w:rFonts w:hint="eastAsia" w:ascii="宋体" w:hAnsi="宋体" w:cs="宋体"/>
          <w:sz w:val="28"/>
          <w:szCs w:val="28"/>
        </w:rPr>
        <w:t>5、政府采购供应商信用承诺书</w:t>
      </w:r>
    </w:p>
    <w:p w14:paraId="5371E8E5">
      <w:pPr>
        <w:snapToGrid w:val="0"/>
        <w:spacing w:line="360" w:lineRule="auto"/>
        <w:ind w:firstLine="480" w:firstLineChars="200"/>
        <w:rPr>
          <w:rFonts w:hint="eastAsia" w:ascii="宋体" w:hAnsi="宋体" w:cs="宋体"/>
          <w:sz w:val="24"/>
        </w:rPr>
      </w:pPr>
    </w:p>
    <w:p w14:paraId="54006A1D">
      <w:pPr>
        <w:snapToGrid w:val="0"/>
        <w:spacing w:line="360" w:lineRule="auto"/>
        <w:ind w:firstLine="480" w:firstLineChars="200"/>
        <w:rPr>
          <w:rFonts w:hint="eastAsia" w:ascii="宋体" w:hAnsi="宋体" w:cs="宋体"/>
          <w:sz w:val="24"/>
          <w:u w:val="single"/>
        </w:rPr>
      </w:pPr>
      <w:r>
        <w:rPr>
          <w:rFonts w:hint="eastAsia" w:ascii="宋体" w:hAnsi="宋体" w:cs="宋体"/>
          <w:sz w:val="24"/>
        </w:rPr>
        <w:t>承诺主体名称：（供应商名称）</w:t>
      </w:r>
    </w:p>
    <w:p w14:paraId="2EF3BAF8">
      <w:pPr>
        <w:snapToGrid w:val="0"/>
        <w:spacing w:line="360" w:lineRule="auto"/>
        <w:ind w:firstLine="480" w:firstLineChars="200"/>
        <w:rPr>
          <w:rFonts w:hint="eastAsia" w:ascii="宋体" w:hAnsi="宋体" w:cs="宋体"/>
          <w:sz w:val="24"/>
          <w:u w:val="single"/>
        </w:rPr>
      </w:pPr>
      <w:r>
        <w:rPr>
          <w:rFonts w:hint="eastAsia" w:ascii="宋体" w:hAnsi="宋体" w:cs="宋体"/>
          <w:sz w:val="24"/>
        </w:rPr>
        <w:t>统一社会信用代码：</w:t>
      </w:r>
    </w:p>
    <w:p w14:paraId="57588D2A">
      <w:pPr>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采购项目名称：</w:t>
      </w:r>
      <w:r>
        <w:rPr>
          <w:rFonts w:hint="eastAsia" w:ascii="宋体" w:hAnsi="宋体" w:cs="宋体"/>
          <w:sz w:val="24"/>
          <w:lang w:eastAsia="zh-CN"/>
        </w:rPr>
        <w:t>2024年医疗机构责任保险服务项目</w:t>
      </w:r>
    </w:p>
    <w:p w14:paraId="7B2C72A0">
      <w:pPr>
        <w:snapToGrid w:val="0"/>
        <w:spacing w:line="360" w:lineRule="auto"/>
        <w:ind w:firstLine="480" w:firstLineChars="200"/>
        <w:rPr>
          <w:rFonts w:hint="eastAsia" w:ascii="宋体" w:hAnsi="宋体" w:cs="宋体"/>
          <w:sz w:val="24"/>
        </w:rPr>
      </w:pPr>
      <w:r>
        <w:rPr>
          <w:rFonts w:hint="eastAsia" w:ascii="宋体" w:hAnsi="宋体" w:cs="宋体"/>
          <w:sz w:val="24"/>
        </w:rPr>
        <w:t>为维护公平竞争、规范有序的市场秩序,营造诚实守信的信用环境，共同推进社会信用体系建设完善，树立企业诚信守法形象，本企业对本次采购活动郑重承诺如下：</w:t>
      </w:r>
    </w:p>
    <w:p w14:paraId="73365351">
      <w:pPr>
        <w:snapToGrid w:val="0"/>
        <w:spacing w:line="324" w:lineRule="auto"/>
        <w:ind w:firstLine="480" w:firstLineChars="200"/>
        <w:rPr>
          <w:rFonts w:hint="eastAsia" w:ascii="宋体" w:hAnsi="宋体" w:cs="宋体"/>
          <w:sz w:val="24"/>
        </w:rPr>
      </w:pPr>
      <w:r>
        <w:rPr>
          <w:rFonts w:hint="eastAsia" w:ascii="宋体" w:hAnsi="宋体" w:cs="宋体"/>
          <w:sz w:val="24"/>
        </w:rPr>
        <w:t>（一）对提供给注册登记部门、行业管理部门、司法部门、行业组织以及在政府采购活动中提交的所有资料的合法性、真实性、准确性和有效性负责；</w:t>
      </w:r>
    </w:p>
    <w:p w14:paraId="0627398C">
      <w:pPr>
        <w:snapToGrid w:val="0"/>
        <w:spacing w:line="324" w:lineRule="auto"/>
        <w:ind w:firstLine="456" w:firstLineChars="200"/>
        <w:rPr>
          <w:rFonts w:hint="eastAsia" w:ascii="宋体" w:hAnsi="宋体" w:cs="宋体"/>
          <w:spacing w:val="-6"/>
          <w:sz w:val="24"/>
        </w:rPr>
      </w:pPr>
      <w:r>
        <w:rPr>
          <w:rFonts w:hint="eastAsia" w:ascii="宋体" w:hAnsi="宋体" w:cs="宋体"/>
          <w:spacing w:val="-6"/>
          <w:sz w:val="24"/>
        </w:rPr>
        <w:t>（二）严格按照国家法律、法规和规章开展采购活动，全面履行应尽的责任和义务，全面做到履约守信，具备《中华人民共和国政府采购法》第二十二条第一款规定的条件；</w:t>
      </w:r>
    </w:p>
    <w:p w14:paraId="29D771B9">
      <w:pPr>
        <w:snapToGrid w:val="0"/>
        <w:spacing w:line="324" w:lineRule="auto"/>
        <w:ind w:firstLine="480" w:firstLineChars="200"/>
        <w:rPr>
          <w:rFonts w:hint="eastAsia" w:ascii="宋体" w:hAnsi="宋体" w:cs="宋体"/>
          <w:sz w:val="24"/>
        </w:rPr>
      </w:pPr>
      <w:r>
        <w:rPr>
          <w:rFonts w:hint="eastAsia" w:ascii="宋体" w:hAnsi="宋体" w:cs="宋体"/>
          <w:sz w:val="24"/>
        </w:rPr>
        <w:t>（三）严格依法开展生产经营活动，主动接受行业监管，自愿接受依法开展的日常检查；违法失信经营后将自愿接受约束和惩戒，并依法承担相应责任；</w:t>
      </w:r>
    </w:p>
    <w:p w14:paraId="49329315">
      <w:pPr>
        <w:snapToGrid w:val="0"/>
        <w:spacing w:line="324" w:lineRule="auto"/>
        <w:ind w:firstLine="480" w:firstLineChars="200"/>
        <w:rPr>
          <w:rFonts w:hint="eastAsia" w:ascii="宋体" w:hAnsi="宋体" w:cs="宋体"/>
          <w:sz w:val="24"/>
        </w:rPr>
      </w:pPr>
      <w:r>
        <w:rPr>
          <w:rFonts w:hint="eastAsia" w:ascii="宋体" w:hAnsi="宋体" w:cs="宋体"/>
          <w:sz w:val="24"/>
        </w:rPr>
        <w:t>（四）自觉接受行政管理部门、行业组织、社会公众、新闻舆论的监督；</w:t>
      </w:r>
    </w:p>
    <w:p w14:paraId="34417468">
      <w:pPr>
        <w:snapToGrid w:val="0"/>
        <w:spacing w:line="324" w:lineRule="auto"/>
        <w:ind w:firstLine="480" w:firstLineChars="200"/>
        <w:rPr>
          <w:rFonts w:hint="eastAsia" w:ascii="宋体" w:hAnsi="宋体" w:cs="宋体"/>
          <w:sz w:val="24"/>
        </w:rPr>
      </w:pPr>
      <w:r>
        <w:rPr>
          <w:rFonts w:hint="eastAsia" w:ascii="宋体" w:hAnsi="宋体" w:cs="宋体"/>
          <w:sz w:val="24"/>
        </w:rPr>
        <w:t>（五）自觉做到自我约束、自我管理，不制假售假、商标侵权、虚假宣传、违约毁约、恶意逃债、偷税漏税、垄断和不正当竞争，维护经营者、消费者的合法权益；</w:t>
      </w:r>
    </w:p>
    <w:p w14:paraId="4E1B8336">
      <w:pPr>
        <w:snapToGrid w:val="0"/>
        <w:spacing w:line="324" w:lineRule="auto"/>
        <w:ind w:firstLine="480" w:firstLineChars="200"/>
        <w:rPr>
          <w:rFonts w:hint="eastAsia" w:ascii="宋体" w:hAnsi="宋体" w:cs="宋体"/>
          <w:sz w:val="24"/>
        </w:rPr>
      </w:pPr>
      <w:r>
        <w:rPr>
          <w:rFonts w:hint="eastAsia" w:ascii="宋体" w:hAnsi="宋体" w:cs="宋体"/>
          <w:sz w:val="24"/>
        </w:rPr>
        <w:t>（六）提出政府采购质疑和投诉坚持依法依规、诚实信用原则，在全国范围12个月内没有三次以上查无实据的政府采购投诉；</w:t>
      </w:r>
    </w:p>
    <w:p w14:paraId="108588C2">
      <w:pPr>
        <w:snapToGrid w:val="0"/>
        <w:spacing w:line="324" w:lineRule="auto"/>
        <w:ind w:firstLine="480" w:firstLineChars="200"/>
        <w:rPr>
          <w:rFonts w:hint="eastAsia" w:ascii="宋体" w:hAnsi="宋体" w:cs="宋体"/>
          <w:sz w:val="24"/>
        </w:rPr>
      </w:pPr>
      <w:r>
        <w:rPr>
          <w:rFonts w:hint="eastAsia" w:ascii="宋体" w:hAnsi="宋体" w:cs="宋体"/>
          <w:sz w:val="24"/>
        </w:rPr>
        <w:t>（七）严格遵守信用信息公示相关规定；</w:t>
      </w:r>
    </w:p>
    <w:p w14:paraId="6DDC41A8">
      <w:pPr>
        <w:snapToGrid w:val="0"/>
        <w:spacing w:line="324" w:lineRule="auto"/>
        <w:ind w:firstLine="480" w:firstLineChars="200"/>
        <w:rPr>
          <w:rFonts w:hint="eastAsia" w:ascii="宋体" w:hAnsi="宋体" w:cs="宋体"/>
          <w:sz w:val="24"/>
        </w:rPr>
      </w:pPr>
      <w:r>
        <w:rPr>
          <w:rFonts w:hint="eastAsia" w:ascii="宋体" w:hAnsi="宋体" w:cs="宋体"/>
          <w:sz w:val="24"/>
        </w:rPr>
        <w:t>（八）同意将承诺内容在“信用海口”网站公示，接受社会监督；</w:t>
      </w:r>
    </w:p>
    <w:p w14:paraId="35CFB94D">
      <w:pPr>
        <w:snapToGrid w:val="0"/>
        <w:spacing w:line="324" w:lineRule="auto"/>
        <w:ind w:firstLine="480" w:firstLineChars="200"/>
        <w:rPr>
          <w:rFonts w:hint="eastAsia" w:ascii="宋体" w:hAnsi="宋体" w:cs="宋体"/>
          <w:sz w:val="24"/>
        </w:rPr>
      </w:pPr>
      <w:r>
        <w:rPr>
          <w:rFonts w:hint="eastAsia" w:ascii="宋体" w:hAnsi="宋体" w:cs="宋体"/>
          <w:sz w:val="24"/>
        </w:rPr>
        <w:t>（九）如违反承诺，将依法依规承担相应责任，并自愿接受部门联合惩戒，纳入行业失信重点关注名单，由财政部门负责管理；</w:t>
      </w:r>
    </w:p>
    <w:p w14:paraId="7D048EC5">
      <w:pPr>
        <w:snapToGrid w:val="0"/>
        <w:spacing w:line="324" w:lineRule="auto"/>
        <w:ind w:firstLine="480" w:firstLineChars="200"/>
        <w:rPr>
          <w:rFonts w:hint="eastAsia" w:ascii="宋体" w:hAnsi="宋体" w:cs="宋体"/>
          <w:sz w:val="24"/>
        </w:rPr>
      </w:pPr>
      <w:r>
        <w:rPr>
          <w:rFonts w:hint="eastAsia" w:ascii="宋体" w:hAnsi="宋体" w:cs="宋体"/>
          <w:sz w:val="24"/>
        </w:rPr>
        <w:t>（十）本承诺书自签订之日起生效。</w:t>
      </w:r>
    </w:p>
    <w:p w14:paraId="32E60691">
      <w:pPr>
        <w:snapToGrid w:val="0"/>
        <w:spacing w:line="360" w:lineRule="auto"/>
        <w:ind w:firstLine="480" w:firstLineChars="200"/>
        <w:rPr>
          <w:rFonts w:hint="eastAsia" w:ascii="宋体" w:hAnsi="宋体" w:cs="宋体"/>
          <w:sz w:val="24"/>
        </w:rPr>
      </w:pPr>
    </w:p>
    <w:p w14:paraId="3D96AAD7">
      <w:pPr>
        <w:snapToGrid w:val="0"/>
        <w:spacing w:line="360" w:lineRule="auto"/>
        <w:ind w:firstLine="480" w:firstLineChars="200"/>
        <w:rPr>
          <w:rFonts w:hint="eastAsia" w:ascii="宋体" w:hAnsi="宋体" w:cs="宋体"/>
          <w:sz w:val="24"/>
        </w:rPr>
      </w:pPr>
      <w:r>
        <w:rPr>
          <w:rFonts w:hint="eastAsia" w:ascii="宋体" w:hAnsi="宋体" w:cs="宋体"/>
          <w:sz w:val="24"/>
        </w:rPr>
        <w:t>供应商（</w:t>
      </w:r>
      <w:r>
        <w:rPr>
          <w:rFonts w:hint="eastAsia" w:ascii="宋体" w:hAnsi="宋体" w:cs="宋体"/>
          <w:bCs/>
          <w:sz w:val="24"/>
        </w:rPr>
        <w:t>公章</w:t>
      </w:r>
      <w:r>
        <w:rPr>
          <w:rFonts w:hint="eastAsia" w:ascii="宋体" w:hAnsi="宋体" w:cs="宋体"/>
          <w:sz w:val="24"/>
        </w:rPr>
        <w:t>）：                   法定代表人： （签字或盖章）</w:t>
      </w:r>
    </w:p>
    <w:p w14:paraId="5824BC7E">
      <w:pPr>
        <w:snapToGrid w:val="0"/>
        <w:spacing w:line="360" w:lineRule="auto"/>
        <w:ind w:firstLine="480" w:firstLineChars="200"/>
        <w:rPr>
          <w:rFonts w:hint="eastAsia" w:ascii="宋体" w:hAnsi="宋体" w:cs="宋体"/>
          <w:sz w:val="24"/>
        </w:rPr>
      </w:pPr>
      <w:r>
        <w:rPr>
          <w:rFonts w:hint="eastAsia" w:ascii="宋体" w:hAnsi="宋体" w:cs="宋体"/>
          <w:sz w:val="24"/>
        </w:rPr>
        <w:t xml:space="preserve">   年    月    日</w:t>
      </w:r>
      <w:bookmarkEnd w:id="218"/>
    </w:p>
    <w:p w14:paraId="14600511">
      <w:pPr>
        <w:rPr>
          <w:rFonts w:hint="eastAsia" w:ascii="宋体" w:hAnsi="宋体" w:cs="宋体"/>
        </w:rPr>
      </w:pPr>
    </w:p>
    <w:p w14:paraId="1C7401FF">
      <w:pPr>
        <w:pStyle w:val="3"/>
        <w:keepNext w:val="0"/>
        <w:keepLines w:val="0"/>
        <w:spacing w:before="156" w:beforeLines="50" w:after="156" w:afterLines="50"/>
        <w:rPr>
          <w:rFonts w:hint="eastAsia" w:cs="宋体"/>
        </w:rPr>
        <w:sectPr>
          <w:footerReference r:id="rId11" w:type="default"/>
          <w:pgSz w:w="11906" w:h="16838"/>
          <w:pgMar w:top="1247" w:right="1247" w:bottom="1134" w:left="1644" w:header="851" w:footer="992" w:gutter="0"/>
          <w:cols w:space="720" w:num="1"/>
          <w:docGrid w:type="lines" w:linePitch="312" w:charSpace="0"/>
        </w:sectPr>
      </w:pPr>
    </w:p>
    <w:p w14:paraId="54A25FDC">
      <w:pPr>
        <w:pStyle w:val="3"/>
        <w:snapToGrid w:val="0"/>
        <w:jc w:val="center"/>
        <w:rPr>
          <w:rFonts w:hint="eastAsia" w:ascii="宋体" w:cs="宋体"/>
          <w:sz w:val="28"/>
          <w:szCs w:val="28"/>
        </w:rPr>
      </w:pPr>
      <w:bookmarkStart w:id="219" w:name="_Toc317237647"/>
      <w:bookmarkStart w:id="220" w:name="_Toc7789"/>
      <w:bookmarkStart w:id="221" w:name="_Toc5175"/>
      <w:bookmarkStart w:id="222" w:name="_Toc28270"/>
      <w:bookmarkStart w:id="223" w:name="_Toc29149"/>
      <w:bookmarkStart w:id="224" w:name="_Toc3108"/>
      <w:bookmarkStart w:id="225" w:name="_Toc6253"/>
      <w:r>
        <w:rPr>
          <w:rFonts w:hint="eastAsia" w:cs="宋体"/>
          <w:sz w:val="28"/>
          <w:szCs w:val="28"/>
        </w:rPr>
        <w:t>五、</w:t>
      </w:r>
      <w:r>
        <w:rPr>
          <w:rFonts w:hint="eastAsia" w:ascii="宋体" w:cs="宋体"/>
          <w:sz w:val="28"/>
          <w:szCs w:val="28"/>
        </w:rPr>
        <w:t>类似项目业绩</w:t>
      </w:r>
    </w:p>
    <w:tbl>
      <w:tblPr>
        <w:tblStyle w:val="20"/>
        <w:tblW w:w="8522" w:type="dxa"/>
        <w:jc w:val="center"/>
        <w:tblLayout w:type="fixed"/>
        <w:tblCellMar>
          <w:top w:w="0" w:type="dxa"/>
          <w:left w:w="0" w:type="dxa"/>
          <w:bottom w:w="0" w:type="dxa"/>
          <w:right w:w="0" w:type="dxa"/>
        </w:tblCellMar>
      </w:tblPr>
      <w:tblGrid>
        <w:gridCol w:w="588"/>
        <w:gridCol w:w="1680"/>
        <w:gridCol w:w="1525"/>
        <w:gridCol w:w="1061"/>
        <w:gridCol w:w="1194"/>
        <w:gridCol w:w="1292"/>
        <w:gridCol w:w="1182"/>
      </w:tblGrid>
      <w:tr w14:paraId="1F2349DF">
        <w:tblPrEx>
          <w:tblCellMar>
            <w:top w:w="0" w:type="dxa"/>
            <w:left w:w="0" w:type="dxa"/>
            <w:bottom w:w="0" w:type="dxa"/>
            <w:right w:w="0" w:type="dxa"/>
          </w:tblCellMar>
        </w:tblPrEx>
        <w:trPr>
          <w:trHeight w:val="626" w:hRule="atLeast"/>
          <w:jc w:val="center"/>
        </w:trPr>
        <w:tc>
          <w:tcPr>
            <w:tcW w:w="5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4462C5">
            <w:pPr>
              <w:spacing w:line="360" w:lineRule="auto"/>
              <w:jc w:val="center"/>
              <w:textAlignment w:val="baseline"/>
              <w:rPr>
                <w:sz w:val="24"/>
              </w:rPr>
            </w:pPr>
            <w:r>
              <w:rPr>
                <w:rFonts w:hint="eastAsia" w:ascii="宋体" w:hAnsi="宋体" w:cs="宋体"/>
                <w:sz w:val="24"/>
              </w:rPr>
              <w:t>序号</w:t>
            </w:r>
          </w:p>
        </w:tc>
        <w:tc>
          <w:tcPr>
            <w:tcW w:w="16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8E1653">
            <w:pPr>
              <w:spacing w:line="360" w:lineRule="auto"/>
              <w:jc w:val="center"/>
              <w:textAlignment w:val="baseline"/>
              <w:rPr>
                <w:sz w:val="24"/>
              </w:rPr>
            </w:pPr>
            <w:r>
              <w:rPr>
                <w:rFonts w:hint="eastAsia" w:ascii="宋体" w:hAnsi="宋体" w:cs="宋体"/>
                <w:sz w:val="24"/>
              </w:rPr>
              <w:t>采购单位名称</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FB6A9C">
            <w:pPr>
              <w:spacing w:line="360" w:lineRule="auto"/>
              <w:jc w:val="center"/>
              <w:textAlignment w:val="baseline"/>
              <w:rPr>
                <w:sz w:val="24"/>
              </w:rPr>
            </w:pPr>
            <w:r>
              <w:rPr>
                <w:rFonts w:hint="eastAsia" w:ascii="宋体" w:hAnsi="宋体" w:cs="宋体"/>
                <w:sz w:val="24"/>
              </w:rPr>
              <w:t>项目名称</w:t>
            </w:r>
          </w:p>
        </w:tc>
        <w:tc>
          <w:tcPr>
            <w:tcW w:w="1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35B145">
            <w:pPr>
              <w:spacing w:line="360" w:lineRule="auto"/>
              <w:jc w:val="center"/>
              <w:textAlignment w:val="baseline"/>
              <w:rPr>
                <w:rFonts w:hint="eastAsia" w:ascii="宋体" w:hAnsi="宋体" w:cs="宋体"/>
                <w:sz w:val="24"/>
              </w:rPr>
            </w:pPr>
            <w:r>
              <w:rPr>
                <w:rFonts w:hint="eastAsia" w:ascii="宋体" w:hAnsi="宋体" w:cs="宋体"/>
                <w:sz w:val="24"/>
              </w:rPr>
              <w:t>合同</w:t>
            </w:r>
          </w:p>
          <w:p w14:paraId="11DE92AA">
            <w:pPr>
              <w:spacing w:line="360" w:lineRule="auto"/>
              <w:jc w:val="center"/>
              <w:textAlignment w:val="baseline"/>
              <w:rPr>
                <w:sz w:val="24"/>
              </w:rPr>
            </w:pPr>
            <w:r>
              <w:rPr>
                <w:rFonts w:hint="eastAsia" w:ascii="宋体" w:hAnsi="宋体" w:cs="宋体"/>
                <w:sz w:val="24"/>
              </w:rPr>
              <w:t>金额</w:t>
            </w:r>
          </w:p>
        </w:tc>
        <w:tc>
          <w:tcPr>
            <w:tcW w:w="11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2AD3B22">
            <w:pPr>
              <w:spacing w:line="360" w:lineRule="auto"/>
              <w:jc w:val="center"/>
              <w:textAlignment w:val="baseline"/>
              <w:rPr>
                <w:sz w:val="24"/>
              </w:rPr>
            </w:pPr>
            <w:r>
              <w:rPr>
                <w:rFonts w:hint="eastAsia" w:ascii="宋体" w:hAnsi="宋体" w:cs="宋体"/>
                <w:sz w:val="24"/>
              </w:rPr>
              <w:t>时间</w:t>
            </w:r>
          </w:p>
        </w:tc>
        <w:tc>
          <w:tcPr>
            <w:tcW w:w="12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C243BE">
            <w:pPr>
              <w:spacing w:line="360" w:lineRule="auto"/>
              <w:jc w:val="center"/>
              <w:textAlignment w:val="baseline"/>
              <w:rPr>
                <w:sz w:val="24"/>
              </w:rPr>
            </w:pPr>
            <w:r>
              <w:rPr>
                <w:rFonts w:hint="eastAsia"/>
                <w:sz w:val="24"/>
              </w:rPr>
              <w:t>是否通过</w:t>
            </w:r>
          </w:p>
          <w:p w14:paraId="39ADB94C">
            <w:pPr>
              <w:spacing w:line="360" w:lineRule="auto"/>
              <w:jc w:val="center"/>
              <w:textAlignment w:val="baseline"/>
              <w:rPr>
                <w:sz w:val="24"/>
              </w:rPr>
            </w:pPr>
            <w:r>
              <w:rPr>
                <w:rFonts w:hint="eastAsia"/>
                <w:sz w:val="24"/>
              </w:rPr>
              <w:t>验收</w:t>
            </w:r>
          </w:p>
        </w:tc>
        <w:tc>
          <w:tcPr>
            <w:tcW w:w="11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8AA7A51">
            <w:pPr>
              <w:spacing w:line="360" w:lineRule="auto"/>
              <w:jc w:val="center"/>
              <w:textAlignment w:val="baseline"/>
              <w:rPr>
                <w:sz w:val="24"/>
              </w:rPr>
            </w:pPr>
            <w:r>
              <w:rPr>
                <w:rFonts w:hint="eastAsia" w:ascii="宋体" w:hAnsi="宋体" w:cs="宋体"/>
                <w:sz w:val="24"/>
              </w:rPr>
              <w:t>备注</w:t>
            </w:r>
          </w:p>
        </w:tc>
      </w:tr>
      <w:tr w14:paraId="3EA45CBF">
        <w:tblPrEx>
          <w:tblCellMar>
            <w:top w:w="0" w:type="dxa"/>
            <w:left w:w="0" w:type="dxa"/>
            <w:bottom w:w="0" w:type="dxa"/>
            <w:right w:w="0" w:type="dxa"/>
          </w:tblCellMar>
        </w:tblPrEx>
        <w:trPr>
          <w:trHeight w:val="704"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D5BEB0">
            <w:pPr>
              <w:spacing w:line="360" w:lineRule="auto"/>
              <w:jc w:val="center"/>
              <w:textAlignment w:val="baseline"/>
            </w:pPr>
            <w:r>
              <w:rPr>
                <w:rFonts w:ascii="宋体"/>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E013523">
            <w:pPr>
              <w:spacing w:line="360" w:lineRule="auto"/>
              <w:jc w:val="center"/>
              <w:textAlignment w:val="baseline"/>
            </w:pPr>
            <w:r>
              <w:rPr>
                <w:rFonts w:ascii="宋体"/>
              </w:rPr>
              <w:t> </w:t>
            </w: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605955">
            <w:pPr>
              <w:spacing w:line="360" w:lineRule="auto"/>
              <w:jc w:val="center"/>
              <w:textAlignment w:val="baseline"/>
            </w:pPr>
            <w:r>
              <w:rPr>
                <w:rFonts w:ascii="宋体"/>
              </w:rPr>
              <w:t> </w:t>
            </w:r>
          </w:p>
        </w:tc>
        <w:tc>
          <w:tcPr>
            <w:tcW w:w="10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E4FCEA5">
            <w:pPr>
              <w:spacing w:line="360" w:lineRule="auto"/>
              <w:jc w:val="center"/>
              <w:textAlignment w:val="baseline"/>
            </w:pPr>
            <w:r>
              <w:rPr>
                <w:rFonts w:ascii="宋体"/>
              </w:rPr>
              <w:t> </w:t>
            </w:r>
          </w:p>
        </w:tc>
        <w:tc>
          <w:tcPr>
            <w:tcW w:w="11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6B775B1">
            <w:pPr>
              <w:spacing w:line="360" w:lineRule="auto"/>
              <w:jc w:val="center"/>
              <w:textAlignment w:val="baseline"/>
            </w:pPr>
            <w:r>
              <w:rPr>
                <w:rFonts w:ascii="宋体"/>
              </w:rPr>
              <w:t> </w:t>
            </w:r>
          </w:p>
        </w:tc>
        <w:tc>
          <w:tcPr>
            <w:tcW w:w="1292" w:type="dxa"/>
            <w:tcBorders>
              <w:top w:val="nil"/>
              <w:left w:val="nil"/>
              <w:bottom w:val="single" w:color="auto" w:sz="8" w:space="0"/>
              <w:right w:val="single" w:color="auto" w:sz="8" w:space="0"/>
            </w:tcBorders>
            <w:tcMar>
              <w:top w:w="0" w:type="dxa"/>
              <w:left w:w="108" w:type="dxa"/>
              <w:bottom w:w="0" w:type="dxa"/>
              <w:right w:w="108" w:type="dxa"/>
            </w:tcMar>
            <w:vAlign w:val="center"/>
          </w:tcPr>
          <w:p w14:paraId="272AFAC4">
            <w:pPr>
              <w:spacing w:line="360" w:lineRule="auto"/>
              <w:jc w:val="center"/>
              <w:textAlignment w:val="baseline"/>
            </w:pPr>
            <w:r>
              <w:rPr>
                <w:rFonts w:ascii="宋体"/>
              </w:rPr>
              <w:t> </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14:paraId="36E30785">
            <w:pPr>
              <w:spacing w:line="360" w:lineRule="auto"/>
              <w:jc w:val="center"/>
              <w:textAlignment w:val="baseline"/>
            </w:pPr>
            <w:r>
              <w:rPr>
                <w:rFonts w:ascii="宋体"/>
              </w:rPr>
              <w:t> </w:t>
            </w:r>
          </w:p>
        </w:tc>
      </w:tr>
      <w:tr w14:paraId="3F436A04">
        <w:tblPrEx>
          <w:tblCellMar>
            <w:top w:w="0" w:type="dxa"/>
            <w:left w:w="0" w:type="dxa"/>
            <w:bottom w:w="0" w:type="dxa"/>
            <w:right w:w="0" w:type="dxa"/>
          </w:tblCellMar>
        </w:tblPrEx>
        <w:trPr>
          <w:trHeight w:val="704"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86E6A6">
            <w:pPr>
              <w:spacing w:line="360" w:lineRule="auto"/>
              <w:jc w:val="center"/>
              <w:textAlignment w:val="baseline"/>
            </w:pPr>
            <w:r>
              <w:rPr>
                <w:rFonts w:ascii="宋体"/>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C4B5149">
            <w:pPr>
              <w:spacing w:line="360" w:lineRule="auto"/>
              <w:jc w:val="center"/>
              <w:textAlignment w:val="baseline"/>
            </w:pPr>
            <w:r>
              <w:rPr>
                <w:rFonts w:ascii="宋体"/>
              </w:rPr>
              <w:t> </w:t>
            </w: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07A3557">
            <w:pPr>
              <w:spacing w:line="360" w:lineRule="auto"/>
              <w:jc w:val="center"/>
              <w:textAlignment w:val="baseline"/>
            </w:pPr>
            <w:r>
              <w:rPr>
                <w:rFonts w:ascii="宋体"/>
              </w:rPr>
              <w:t> </w:t>
            </w:r>
          </w:p>
        </w:tc>
        <w:tc>
          <w:tcPr>
            <w:tcW w:w="10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B5CF995">
            <w:pPr>
              <w:spacing w:line="360" w:lineRule="auto"/>
              <w:jc w:val="center"/>
              <w:textAlignment w:val="baseline"/>
            </w:pPr>
            <w:r>
              <w:rPr>
                <w:rFonts w:ascii="宋体"/>
              </w:rPr>
              <w:t> </w:t>
            </w:r>
          </w:p>
        </w:tc>
        <w:tc>
          <w:tcPr>
            <w:tcW w:w="11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DFC50F">
            <w:pPr>
              <w:spacing w:line="360" w:lineRule="auto"/>
              <w:jc w:val="center"/>
              <w:textAlignment w:val="baseline"/>
            </w:pPr>
            <w:r>
              <w:rPr>
                <w:rFonts w:ascii="宋体"/>
              </w:rPr>
              <w:t> </w:t>
            </w:r>
          </w:p>
        </w:tc>
        <w:tc>
          <w:tcPr>
            <w:tcW w:w="1292" w:type="dxa"/>
            <w:tcBorders>
              <w:top w:val="nil"/>
              <w:left w:val="nil"/>
              <w:bottom w:val="single" w:color="auto" w:sz="8" w:space="0"/>
              <w:right w:val="single" w:color="auto" w:sz="8" w:space="0"/>
            </w:tcBorders>
            <w:tcMar>
              <w:top w:w="0" w:type="dxa"/>
              <w:left w:w="108" w:type="dxa"/>
              <w:bottom w:w="0" w:type="dxa"/>
              <w:right w:w="108" w:type="dxa"/>
            </w:tcMar>
            <w:vAlign w:val="center"/>
          </w:tcPr>
          <w:p w14:paraId="6B97C675">
            <w:pPr>
              <w:spacing w:line="360" w:lineRule="auto"/>
              <w:jc w:val="center"/>
              <w:textAlignment w:val="baseline"/>
            </w:pPr>
            <w:r>
              <w:rPr>
                <w:rFonts w:ascii="宋体"/>
              </w:rPr>
              <w:t> </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14:paraId="38A579EE">
            <w:pPr>
              <w:spacing w:line="360" w:lineRule="auto"/>
              <w:jc w:val="center"/>
              <w:textAlignment w:val="baseline"/>
            </w:pPr>
            <w:r>
              <w:rPr>
                <w:rFonts w:ascii="宋体"/>
              </w:rPr>
              <w:t> </w:t>
            </w:r>
          </w:p>
        </w:tc>
      </w:tr>
      <w:tr w14:paraId="3A90E718">
        <w:tblPrEx>
          <w:tblCellMar>
            <w:top w:w="0" w:type="dxa"/>
            <w:left w:w="0" w:type="dxa"/>
            <w:bottom w:w="0" w:type="dxa"/>
            <w:right w:w="0" w:type="dxa"/>
          </w:tblCellMar>
        </w:tblPrEx>
        <w:trPr>
          <w:trHeight w:val="704"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46EB08">
            <w:pPr>
              <w:spacing w:line="360" w:lineRule="auto"/>
              <w:jc w:val="center"/>
              <w:textAlignment w:val="baseline"/>
            </w:pPr>
            <w:r>
              <w:rPr>
                <w:rFonts w:ascii="宋体"/>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3B341A2">
            <w:pPr>
              <w:spacing w:line="360" w:lineRule="auto"/>
              <w:jc w:val="center"/>
              <w:textAlignment w:val="baseline"/>
            </w:pPr>
            <w:r>
              <w:rPr>
                <w:rFonts w:ascii="宋体"/>
              </w:rPr>
              <w:t> </w:t>
            </w: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EE9D8BD">
            <w:pPr>
              <w:spacing w:line="360" w:lineRule="auto"/>
              <w:jc w:val="center"/>
              <w:textAlignment w:val="baseline"/>
            </w:pPr>
            <w:r>
              <w:rPr>
                <w:rFonts w:ascii="宋体"/>
              </w:rPr>
              <w:t> </w:t>
            </w:r>
          </w:p>
        </w:tc>
        <w:tc>
          <w:tcPr>
            <w:tcW w:w="10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C2CB24A">
            <w:pPr>
              <w:spacing w:line="360" w:lineRule="auto"/>
              <w:jc w:val="center"/>
              <w:textAlignment w:val="baseline"/>
            </w:pPr>
            <w:r>
              <w:rPr>
                <w:rFonts w:ascii="宋体"/>
              </w:rPr>
              <w:t> </w:t>
            </w:r>
          </w:p>
        </w:tc>
        <w:tc>
          <w:tcPr>
            <w:tcW w:w="11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9C07C60">
            <w:pPr>
              <w:spacing w:line="360" w:lineRule="auto"/>
              <w:jc w:val="center"/>
              <w:textAlignment w:val="baseline"/>
            </w:pPr>
            <w:r>
              <w:rPr>
                <w:rFonts w:ascii="宋体"/>
              </w:rPr>
              <w:t> </w:t>
            </w:r>
          </w:p>
        </w:tc>
        <w:tc>
          <w:tcPr>
            <w:tcW w:w="1292" w:type="dxa"/>
            <w:tcBorders>
              <w:top w:val="nil"/>
              <w:left w:val="nil"/>
              <w:bottom w:val="single" w:color="auto" w:sz="8" w:space="0"/>
              <w:right w:val="single" w:color="auto" w:sz="8" w:space="0"/>
            </w:tcBorders>
            <w:tcMar>
              <w:top w:w="0" w:type="dxa"/>
              <w:left w:w="108" w:type="dxa"/>
              <w:bottom w:w="0" w:type="dxa"/>
              <w:right w:w="108" w:type="dxa"/>
            </w:tcMar>
            <w:vAlign w:val="center"/>
          </w:tcPr>
          <w:p w14:paraId="78705141">
            <w:pPr>
              <w:spacing w:line="360" w:lineRule="auto"/>
              <w:jc w:val="center"/>
              <w:textAlignment w:val="baseline"/>
            </w:pPr>
            <w:r>
              <w:rPr>
                <w:rFonts w:ascii="宋体"/>
              </w:rPr>
              <w:t> </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14:paraId="07EA176A">
            <w:pPr>
              <w:spacing w:line="360" w:lineRule="auto"/>
              <w:jc w:val="center"/>
              <w:textAlignment w:val="baseline"/>
            </w:pPr>
            <w:r>
              <w:rPr>
                <w:rFonts w:ascii="宋体"/>
              </w:rPr>
              <w:t> </w:t>
            </w:r>
          </w:p>
        </w:tc>
      </w:tr>
      <w:tr w14:paraId="4D8E858A">
        <w:tblPrEx>
          <w:tblCellMar>
            <w:top w:w="0" w:type="dxa"/>
            <w:left w:w="0" w:type="dxa"/>
            <w:bottom w:w="0" w:type="dxa"/>
            <w:right w:w="0" w:type="dxa"/>
          </w:tblCellMar>
        </w:tblPrEx>
        <w:trPr>
          <w:trHeight w:val="704"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FE564A">
            <w:pPr>
              <w:spacing w:line="360" w:lineRule="auto"/>
              <w:jc w:val="center"/>
              <w:textAlignment w:val="baseline"/>
            </w:pPr>
            <w:r>
              <w:rPr>
                <w:rFonts w:ascii="宋体"/>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F41352B">
            <w:pPr>
              <w:spacing w:line="360" w:lineRule="auto"/>
              <w:jc w:val="center"/>
              <w:textAlignment w:val="baseline"/>
            </w:pPr>
            <w:r>
              <w:rPr>
                <w:rFonts w:ascii="宋体"/>
              </w:rPr>
              <w:t> </w:t>
            </w: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A175C1">
            <w:pPr>
              <w:spacing w:line="360" w:lineRule="auto"/>
              <w:jc w:val="center"/>
              <w:textAlignment w:val="baseline"/>
            </w:pPr>
            <w:r>
              <w:rPr>
                <w:rFonts w:ascii="宋体"/>
              </w:rPr>
              <w:t> </w:t>
            </w:r>
          </w:p>
        </w:tc>
        <w:tc>
          <w:tcPr>
            <w:tcW w:w="10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42F63BA">
            <w:pPr>
              <w:spacing w:line="360" w:lineRule="auto"/>
              <w:jc w:val="center"/>
              <w:textAlignment w:val="baseline"/>
            </w:pPr>
            <w:r>
              <w:rPr>
                <w:rFonts w:ascii="宋体"/>
              </w:rPr>
              <w:t> </w:t>
            </w:r>
          </w:p>
        </w:tc>
        <w:tc>
          <w:tcPr>
            <w:tcW w:w="11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119EB9">
            <w:pPr>
              <w:spacing w:line="360" w:lineRule="auto"/>
              <w:jc w:val="center"/>
              <w:textAlignment w:val="baseline"/>
            </w:pPr>
            <w:r>
              <w:rPr>
                <w:rFonts w:ascii="宋体"/>
              </w:rPr>
              <w:t> </w:t>
            </w:r>
          </w:p>
        </w:tc>
        <w:tc>
          <w:tcPr>
            <w:tcW w:w="1292" w:type="dxa"/>
            <w:tcBorders>
              <w:top w:val="nil"/>
              <w:left w:val="nil"/>
              <w:bottom w:val="single" w:color="auto" w:sz="8" w:space="0"/>
              <w:right w:val="single" w:color="auto" w:sz="8" w:space="0"/>
            </w:tcBorders>
            <w:tcMar>
              <w:top w:w="0" w:type="dxa"/>
              <w:left w:w="108" w:type="dxa"/>
              <w:bottom w:w="0" w:type="dxa"/>
              <w:right w:w="108" w:type="dxa"/>
            </w:tcMar>
            <w:vAlign w:val="center"/>
          </w:tcPr>
          <w:p w14:paraId="34031C57">
            <w:pPr>
              <w:spacing w:line="360" w:lineRule="auto"/>
              <w:jc w:val="center"/>
              <w:textAlignment w:val="baseline"/>
            </w:pPr>
            <w:r>
              <w:rPr>
                <w:rFonts w:ascii="宋体"/>
              </w:rPr>
              <w:t> </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662F644">
            <w:pPr>
              <w:spacing w:line="360" w:lineRule="auto"/>
              <w:jc w:val="center"/>
              <w:textAlignment w:val="baseline"/>
            </w:pPr>
            <w:r>
              <w:rPr>
                <w:rFonts w:ascii="宋体"/>
              </w:rPr>
              <w:t> </w:t>
            </w:r>
          </w:p>
        </w:tc>
      </w:tr>
      <w:tr w14:paraId="057E0F44">
        <w:tblPrEx>
          <w:tblCellMar>
            <w:top w:w="0" w:type="dxa"/>
            <w:left w:w="0" w:type="dxa"/>
            <w:bottom w:w="0" w:type="dxa"/>
            <w:right w:w="0" w:type="dxa"/>
          </w:tblCellMar>
        </w:tblPrEx>
        <w:trPr>
          <w:trHeight w:val="704"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A5DC44">
            <w:pPr>
              <w:spacing w:line="360" w:lineRule="auto"/>
              <w:jc w:val="center"/>
              <w:textAlignment w:val="baseline"/>
            </w:pPr>
            <w:r>
              <w:rPr>
                <w:rFonts w:ascii="宋体"/>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001470">
            <w:pPr>
              <w:spacing w:line="360" w:lineRule="auto"/>
              <w:jc w:val="center"/>
              <w:textAlignment w:val="baseline"/>
            </w:pPr>
            <w:r>
              <w:rPr>
                <w:rFonts w:ascii="宋体"/>
              </w:rPr>
              <w:t> </w:t>
            </w: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1CF0B8">
            <w:pPr>
              <w:spacing w:line="360" w:lineRule="auto"/>
              <w:jc w:val="center"/>
              <w:textAlignment w:val="baseline"/>
            </w:pPr>
            <w:r>
              <w:rPr>
                <w:rFonts w:ascii="宋体"/>
              </w:rPr>
              <w:t> </w:t>
            </w:r>
          </w:p>
        </w:tc>
        <w:tc>
          <w:tcPr>
            <w:tcW w:w="10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84B8921">
            <w:pPr>
              <w:spacing w:line="360" w:lineRule="auto"/>
              <w:jc w:val="center"/>
              <w:textAlignment w:val="baseline"/>
            </w:pPr>
            <w:r>
              <w:rPr>
                <w:rFonts w:ascii="宋体"/>
              </w:rPr>
              <w:t> </w:t>
            </w:r>
          </w:p>
        </w:tc>
        <w:tc>
          <w:tcPr>
            <w:tcW w:w="11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78FF">
            <w:pPr>
              <w:spacing w:line="360" w:lineRule="auto"/>
              <w:jc w:val="center"/>
              <w:textAlignment w:val="baseline"/>
            </w:pPr>
            <w:r>
              <w:rPr>
                <w:rFonts w:ascii="宋体"/>
              </w:rPr>
              <w:t> </w:t>
            </w:r>
          </w:p>
        </w:tc>
        <w:tc>
          <w:tcPr>
            <w:tcW w:w="1292" w:type="dxa"/>
            <w:tcBorders>
              <w:top w:val="nil"/>
              <w:left w:val="nil"/>
              <w:bottom w:val="single" w:color="auto" w:sz="8" w:space="0"/>
              <w:right w:val="single" w:color="auto" w:sz="8" w:space="0"/>
            </w:tcBorders>
            <w:tcMar>
              <w:top w:w="0" w:type="dxa"/>
              <w:left w:w="108" w:type="dxa"/>
              <w:bottom w:w="0" w:type="dxa"/>
              <w:right w:w="108" w:type="dxa"/>
            </w:tcMar>
            <w:vAlign w:val="center"/>
          </w:tcPr>
          <w:p w14:paraId="2FA6CFD0">
            <w:pPr>
              <w:spacing w:line="360" w:lineRule="auto"/>
              <w:jc w:val="center"/>
              <w:textAlignment w:val="baseline"/>
            </w:pPr>
            <w:r>
              <w:rPr>
                <w:rFonts w:ascii="宋体"/>
              </w:rPr>
              <w:t> </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D7F3E19">
            <w:pPr>
              <w:spacing w:line="360" w:lineRule="auto"/>
              <w:jc w:val="center"/>
              <w:textAlignment w:val="baseline"/>
            </w:pPr>
            <w:r>
              <w:rPr>
                <w:rFonts w:ascii="宋体"/>
              </w:rPr>
              <w:t> </w:t>
            </w:r>
          </w:p>
        </w:tc>
      </w:tr>
      <w:tr w14:paraId="3CA7BB1A">
        <w:tblPrEx>
          <w:tblCellMar>
            <w:top w:w="0" w:type="dxa"/>
            <w:left w:w="0" w:type="dxa"/>
            <w:bottom w:w="0" w:type="dxa"/>
            <w:right w:w="0" w:type="dxa"/>
          </w:tblCellMar>
        </w:tblPrEx>
        <w:trPr>
          <w:trHeight w:val="704"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1C506F">
            <w:pPr>
              <w:spacing w:line="360" w:lineRule="auto"/>
              <w:jc w:val="center"/>
              <w:textAlignment w:val="baseline"/>
            </w:pPr>
            <w:r>
              <w:rPr>
                <w:rFonts w:ascii="宋体"/>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69469D05">
            <w:pPr>
              <w:spacing w:line="360" w:lineRule="auto"/>
              <w:jc w:val="center"/>
              <w:textAlignment w:val="baseline"/>
            </w:pPr>
            <w:r>
              <w:rPr>
                <w:rFonts w:ascii="宋体"/>
              </w:rPr>
              <w:t> </w:t>
            </w: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02BBD5">
            <w:pPr>
              <w:spacing w:line="360" w:lineRule="auto"/>
              <w:jc w:val="center"/>
              <w:textAlignment w:val="baseline"/>
            </w:pPr>
            <w:r>
              <w:rPr>
                <w:rFonts w:ascii="宋体"/>
              </w:rPr>
              <w:t> </w:t>
            </w:r>
          </w:p>
        </w:tc>
        <w:tc>
          <w:tcPr>
            <w:tcW w:w="10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4ECAD3F">
            <w:pPr>
              <w:spacing w:line="360" w:lineRule="auto"/>
              <w:jc w:val="center"/>
              <w:textAlignment w:val="baseline"/>
            </w:pPr>
            <w:r>
              <w:rPr>
                <w:rFonts w:ascii="宋体"/>
              </w:rPr>
              <w:t> </w:t>
            </w:r>
          </w:p>
        </w:tc>
        <w:tc>
          <w:tcPr>
            <w:tcW w:w="11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6BF460A">
            <w:pPr>
              <w:spacing w:line="360" w:lineRule="auto"/>
              <w:jc w:val="center"/>
              <w:textAlignment w:val="baseline"/>
            </w:pPr>
            <w:r>
              <w:rPr>
                <w:rFonts w:ascii="宋体"/>
              </w:rPr>
              <w:t> </w:t>
            </w:r>
          </w:p>
        </w:tc>
        <w:tc>
          <w:tcPr>
            <w:tcW w:w="1292" w:type="dxa"/>
            <w:tcBorders>
              <w:top w:val="nil"/>
              <w:left w:val="nil"/>
              <w:bottom w:val="single" w:color="auto" w:sz="8" w:space="0"/>
              <w:right w:val="single" w:color="auto" w:sz="8" w:space="0"/>
            </w:tcBorders>
            <w:tcMar>
              <w:top w:w="0" w:type="dxa"/>
              <w:left w:w="108" w:type="dxa"/>
              <w:bottom w:w="0" w:type="dxa"/>
              <w:right w:w="108" w:type="dxa"/>
            </w:tcMar>
            <w:vAlign w:val="center"/>
          </w:tcPr>
          <w:p w14:paraId="52EEED03">
            <w:pPr>
              <w:spacing w:line="360" w:lineRule="auto"/>
              <w:jc w:val="center"/>
              <w:textAlignment w:val="baseline"/>
            </w:pPr>
            <w:r>
              <w:rPr>
                <w:rFonts w:ascii="宋体"/>
              </w:rPr>
              <w:t> </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14:paraId="33075DD6">
            <w:pPr>
              <w:spacing w:line="360" w:lineRule="auto"/>
              <w:jc w:val="center"/>
              <w:textAlignment w:val="baseline"/>
            </w:pPr>
            <w:r>
              <w:rPr>
                <w:rFonts w:ascii="宋体"/>
              </w:rPr>
              <w:t> </w:t>
            </w:r>
          </w:p>
        </w:tc>
      </w:tr>
      <w:tr w14:paraId="34D8C6F3">
        <w:tblPrEx>
          <w:tblCellMar>
            <w:top w:w="0" w:type="dxa"/>
            <w:left w:w="0" w:type="dxa"/>
            <w:bottom w:w="0" w:type="dxa"/>
            <w:right w:w="0" w:type="dxa"/>
          </w:tblCellMar>
        </w:tblPrEx>
        <w:trPr>
          <w:trHeight w:val="704"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C19E8E">
            <w:pPr>
              <w:spacing w:line="360" w:lineRule="auto"/>
              <w:jc w:val="center"/>
              <w:textAlignment w:val="baseline"/>
            </w:pPr>
            <w:r>
              <w:rPr>
                <w:rFonts w:ascii="宋体"/>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63EC5359">
            <w:pPr>
              <w:spacing w:line="360" w:lineRule="auto"/>
              <w:jc w:val="center"/>
              <w:textAlignment w:val="baseline"/>
            </w:pPr>
            <w:r>
              <w:rPr>
                <w:rFonts w:ascii="宋体"/>
              </w:rPr>
              <w:t> </w:t>
            </w: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466C26">
            <w:pPr>
              <w:spacing w:line="360" w:lineRule="auto"/>
              <w:jc w:val="center"/>
              <w:textAlignment w:val="baseline"/>
            </w:pPr>
            <w:r>
              <w:rPr>
                <w:rFonts w:ascii="宋体"/>
              </w:rPr>
              <w:t> </w:t>
            </w:r>
          </w:p>
        </w:tc>
        <w:tc>
          <w:tcPr>
            <w:tcW w:w="10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AFE072">
            <w:pPr>
              <w:spacing w:line="360" w:lineRule="auto"/>
              <w:jc w:val="center"/>
              <w:textAlignment w:val="baseline"/>
            </w:pPr>
            <w:r>
              <w:rPr>
                <w:rFonts w:ascii="宋体"/>
              </w:rPr>
              <w:t> </w:t>
            </w:r>
          </w:p>
        </w:tc>
        <w:tc>
          <w:tcPr>
            <w:tcW w:w="11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A424BF4">
            <w:pPr>
              <w:spacing w:line="360" w:lineRule="auto"/>
              <w:jc w:val="center"/>
              <w:textAlignment w:val="baseline"/>
            </w:pPr>
            <w:r>
              <w:rPr>
                <w:rFonts w:ascii="宋体"/>
              </w:rPr>
              <w:t> </w:t>
            </w:r>
          </w:p>
        </w:tc>
        <w:tc>
          <w:tcPr>
            <w:tcW w:w="1292" w:type="dxa"/>
            <w:tcBorders>
              <w:top w:val="nil"/>
              <w:left w:val="nil"/>
              <w:bottom w:val="single" w:color="auto" w:sz="8" w:space="0"/>
              <w:right w:val="single" w:color="auto" w:sz="8" w:space="0"/>
            </w:tcBorders>
            <w:tcMar>
              <w:top w:w="0" w:type="dxa"/>
              <w:left w:w="108" w:type="dxa"/>
              <w:bottom w:w="0" w:type="dxa"/>
              <w:right w:w="108" w:type="dxa"/>
            </w:tcMar>
            <w:vAlign w:val="center"/>
          </w:tcPr>
          <w:p w14:paraId="3C68C7FA">
            <w:pPr>
              <w:spacing w:line="360" w:lineRule="auto"/>
              <w:jc w:val="center"/>
              <w:textAlignment w:val="baseline"/>
            </w:pPr>
            <w:r>
              <w:rPr>
                <w:rFonts w:ascii="宋体"/>
              </w:rPr>
              <w:t> </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ACC90B9">
            <w:pPr>
              <w:spacing w:line="360" w:lineRule="auto"/>
              <w:jc w:val="center"/>
              <w:textAlignment w:val="baseline"/>
            </w:pPr>
            <w:r>
              <w:rPr>
                <w:rFonts w:ascii="宋体"/>
              </w:rPr>
              <w:t> </w:t>
            </w:r>
          </w:p>
        </w:tc>
      </w:tr>
      <w:tr w14:paraId="6DE79699">
        <w:tblPrEx>
          <w:tblCellMar>
            <w:top w:w="0" w:type="dxa"/>
            <w:left w:w="0" w:type="dxa"/>
            <w:bottom w:w="0" w:type="dxa"/>
            <w:right w:w="0" w:type="dxa"/>
          </w:tblCellMar>
        </w:tblPrEx>
        <w:trPr>
          <w:trHeight w:val="704"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552586">
            <w:pPr>
              <w:spacing w:line="360" w:lineRule="auto"/>
              <w:jc w:val="center"/>
              <w:textAlignment w:val="baseline"/>
            </w:pPr>
            <w:r>
              <w:rPr>
                <w:rFonts w:ascii="宋体"/>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C8D904D">
            <w:pPr>
              <w:spacing w:line="360" w:lineRule="auto"/>
              <w:jc w:val="center"/>
              <w:textAlignment w:val="baseline"/>
            </w:pPr>
            <w:r>
              <w:rPr>
                <w:rFonts w:ascii="宋体"/>
              </w:rPr>
              <w:t> </w:t>
            </w: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E58EF3">
            <w:pPr>
              <w:spacing w:line="360" w:lineRule="auto"/>
              <w:jc w:val="center"/>
              <w:textAlignment w:val="baseline"/>
            </w:pPr>
            <w:r>
              <w:rPr>
                <w:rFonts w:ascii="宋体"/>
              </w:rPr>
              <w:t> </w:t>
            </w:r>
          </w:p>
        </w:tc>
        <w:tc>
          <w:tcPr>
            <w:tcW w:w="10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AA9C3DD">
            <w:pPr>
              <w:spacing w:line="360" w:lineRule="auto"/>
              <w:jc w:val="center"/>
              <w:textAlignment w:val="baseline"/>
            </w:pPr>
            <w:r>
              <w:rPr>
                <w:rFonts w:ascii="宋体"/>
              </w:rPr>
              <w:t> </w:t>
            </w:r>
          </w:p>
        </w:tc>
        <w:tc>
          <w:tcPr>
            <w:tcW w:w="11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CBC8FB">
            <w:pPr>
              <w:spacing w:line="360" w:lineRule="auto"/>
              <w:jc w:val="center"/>
              <w:textAlignment w:val="baseline"/>
            </w:pPr>
            <w:r>
              <w:rPr>
                <w:rFonts w:ascii="宋体"/>
              </w:rPr>
              <w:t> </w:t>
            </w:r>
          </w:p>
        </w:tc>
        <w:tc>
          <w:tcPr>
            <w:tcW w:w="1292" w:type="dxa"/>
            <w:tcBorders>
              <w:top w:val="nil"/>
              <w:left w:val="nil"/>
              <w:bottom w:val="single" w:color="auto" w:sz="8" w:space="0"/>
              <w:right w:val="single" w:color="auto" w:sz="8" w:space="0"/>
            </w:tcBorders>
            <w:tcMar>
              <w:top w:w="0" w:type="dxa"/>
              <w:left w:w="108" w:type="dxa"/>
              <w:bottom w:w="0" w:type="dxa"/>
              <w:right w:w="108" w:type="dxa"/>
            </w:tcMar>
            <w:vAlign w:val="center"/>
          </w:tcPr>
          <w:p w14:paraId="4DEA1AE7">
            <w:pPr>
              <w:spacing w:line="360" w:lineRule="auto"/>
              <w:jc w:val="center"/>
              <w:textAlignment w:val="baseline"/>
            </w:pPr>
            <w:r>
              <w:rPr>
                <w:rFonts w:ascii="宋体"/>
              </w:rPr>
              <w:t> </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916E1F7">
            <w:pPr>
              <w:spacing w:line="360" w:lineRule="auto"/>
              <w:jc w:val="center"/>
              <w:textAlignment w:val="baseline"/>
            </w:pPr>
            <w:r>
              <w:rPr>
                <w:rFonts w:ascii="宋体"/>
              </w:rPr>
              <w:t> </w:t>
            </w:r>
          </w:p>
        </w:tc>
      </w:tr>
      <w:tr w14:paraId="5505A751">
        <w:tblPrEx>
          <w:tblCellMar>
            <w:top w:w="0" w:type="dxa"/>
            <w:left w:w="0" w:type="dxa"/>
            <w:bottom w:w="0" w:type="dxa"/>
            <w:right w:w="0" w:type="dxa"/>
          </w:tblCellMar>
        </w:tblPrEx>
        <w:trPr>
          <w:trHeight w:val="704"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894B90">
            <w:pPr>
              <w:spacing w:line="360" w:lineRule="auto"/>
              <w:jc w:val="center"/>
              <w:textAlignment w:val="baseline"/>
            </w:pPr>
            <w:r>
              <w:rPr>
                <w:rFonts w:ascii="宋体"/>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624C760">
            <w:pPr>
              <w:spacing w:line="360" w:lineRule="auto"/>
              <w:jc w:val="center"/>
              <w:textAlignment w:val="baseline"/>
            </w:pPr>
            <w:r>
              <w:rPr>
                <w:rFonts w:ascii="宋体"/>
              </w:rPr>
              <w:t> </w:t>
            </w: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019593">
            <w:pPr>
              <w:spacing w:line="360" w:lineRule="auto"/>
              <w:jc w:val="center"/>
              <w:textAlignment w:val="baseline"/>
            </w:pPr>
            <w:r>
              <w:rPr>
                <w:rFonts w:ascii="宋体"/>
              </w:rPr>
              <w:t> </w:t>
            </w:r>
          </w:p>
        </w:tc>
        <w:tc>
          <w:tcPr>
            <w:tcW w:w="10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3D4113A">
            <w:pPr>
              <w:spacing w:line="360" w:lineRule="auto"/>
              <w:jc w:val="center"/>
              <w:textAlignment w:val="baseline"/>
            </w:pPr>
            <w:r>
              <w:rPr>
                <w:rFonts w:ascii="宋体"/>
              </w:rPr>
              <w:t> </w:t>
            </w:r>
          </w:p>
        </w:tc>
        <w:tc>
          <w:tcPr>
            <w:tcW w:w="11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9A5BC67">
            <w:pPr>
              <w:spacing w:line="360" w:lineRule="auto"/>
              <w:jc w:val="center"/>
              <w:textAlignment w:val="baseline"/>
            </w:pPr>
            <w:r>
              <w:rPr>
                <w:rFonts w:ascii="宋体"/>
              </w:rPr>
              <w:t> </w:t>
            </w:r>
          </w:p>
        </w:tc>
        <w:tc>
          <w:tcPr>
            <w:tcW w:w="1292" w:type="dxa"/>
            <w:tcBorders>
              <w:top w:val="nil"/>
              <w:left w:val="nil"/>
              <w:bottom w:val="single" w:color="auto" w:sz="8" w:space="0"/>
              <w:right w:val="single" w:color="auto" w:sz="8" w:space="0"/>
            </w:tcBorders>
            <w:tcMar>
              <w:top w:w="0" w:type="dxa"/>
              <w:left w:w="108" w:type="dxa"/>
              <w:bottom w:w="0" w:type="dxa"/>
              <w:right w:w="108" w:type="dxa"/>
            </w:tcMar>
            <w:vAlign w:val="center"/>
          </w:tcPr>
          <w:p w14:paraId="4639AF8F">
            <w:pPr>
              <w:spacing w:line="360" w:lineRule="auto"/>
              <w:jc w:val="center"/>
              <w:textAlignment w:val="baseline"/>
            </w:pPr>
            <w:r>
              <w:rPr>
                <w:rFonts w:ascii="宋体"/>
              </w:rPr>
              <w:t> </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E10C942">
            <w:pPr>
              <w:spacing w:line="360" w:lineRule="auto"/>
              <w:jc w:val="center"/>
              <w:textAlignment w:val="baseline"/>
            </w:pPr>
            <w:r>
              <w:rPr>
                <w:rFonts w:ascii="宋体"/>
              </w:rPr>
              <w:t> </w:t>
            </w:r>
          </w:p>
        </w:tc>
      </w:tr>
      <w:tr w14:paraId="5F8BF1E1">
        <w:tblPrEx>
          <w:tblCellMar>
            <w:top w:w="0" w:type="dxa"/>
            <w:left w:w="0" w:type="dxa"/>
            <w:bottom w:w="0" w:type="dxa"/>
            <w:right w:w="0" w:type="dxa"/>
          </w:tblCellMar>
        </w:tblPrEx>
        <w:trPr>
          <w:trHeight w:val="704"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F0AD0F">
            <w:pPr>
              <w:spacing w:line="360" w:lineRule="auto"/>
              <w:jc w:val="center"/>
              <w:textAlignment w:val="baseline"/>
            </w:pPr>
            <w:r>
              <w:rPr>
                <w:rFonts w:ascii="宋体"/>
              </w:rPr>
              <w:t> </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02C0219">
            <w:pPr>
              <w:spacing w:line="360" w:lineRule="auto"/>
              <w:jc w:val="center"/>
              <w:textAlignment w:val="baseline"/>
            </w:pPr>
            <w:r>
              <w:rPr>
                <w:rFonts w:ascii="宋体"/>
              </w:rPr>
              <w:t> </w:t>
            </w: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595745">
            <w:pPr>
              <w:spacing w:line="360" w:lineRule="auto"/>
              <w:jc w:val="center"/>
              <w:textAlignment w:val="baseline"/>
            </w:pPr>
            <w:r>
              <w:rPr>
                <w:rFonts w:ascii="宋体"/>
              </w:rPr>
              <w:t> </w:t>
            </w:r>
          </w:p>
        </w:tc>
        <w:tc>
          <w:tcPr>
            <w:tcW w:w="10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575B1E8">
            <w:pPr>
              <w:spacing w:line="360" w:lineRule="auto"/>
              <w:jc w:val="center"/>
              <w:textAlignment w:val="baseline"/>
            </w:pPr>
            <w:r>
              <w:rPr>
                <w:rFonts w:ascii="宋体"/>
              </w:rPr>
              <w:t> </w:t>
            </w:r>
          </w:p>
        </w:tc>
        <w:tc>
          <w:tcPr>
            <w:tcW w:w="11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F36E1D3">
            <w:pPr>
              <w:spacing w:line="360" w:lineRule="auto"/>
              <w:jc w:val="center"/>
              <w:textAlignment w:val="baseline"/>
            </w:pPr>
            <w:r>
              <w:rPr>
                <w:rFonts w:ascii="宋体"/>
              </w:rPr>
              <w:t> </w:t>
            </w:r>
          </w:p>
        </w:tc>
        <w:tc>
          <w:tcPr>
            <w:tcW w:w="1292" w:type="dxa"/>
            <w:tcBorders>
              <w:top w:val="nil"/>
              <w:left w:val="nil"/>
              <w:bottom w:val="single" w:color="auto" w:sz="8" w:space="0"/>
              <w:right w:val="single" w:color="auto" w:sz="8" w:space="0"/>
            </w:tcBorders>
            <w:tcMar>
              <w:top w:w="0" w:type="dxa"/>
              <w:left w:w="108" w:type="dxa"/>
              <w:bottom w:w="0" w:type="dxa"/>
              <w:right w:w="108" w:type="dxa"/>
            </w:tcMar>
            <w:vAlign w:val="center"/>
          </w:tcPr>
          <w:p w14:paraId="778265F8">
            <w:pPr>
              <w:spacing w:line="360" w:lineRule="auto"/>
              <w:jc w:val="center"/>
              <w:textAlignment w:val="baseline"/>
            </w:pPr>
            <w:r>
              <w:rPr>
                <w:rFonts w:ascii="宋体"/>
              </w:rPr>
              <w:t> </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14:paraId="608EC0EB">
            <w:pPr>
              <w:spacing w:line="360" w:lineRule="auto"/>
              <w:jc w:val="center"/>
              <w:textAlignment w:val="baseline"/>
            </w:pPr>
            <w:r>
              <w:rPr>
                <w:rFonts w:ascii="宋体"/>
              </w:rPr>
              <w:t> </w:t>
            </w:r>
          </w:p>
        </w:tc>
      </w:tr>
    </w:tbl>
    <w:p w14:paraId="16CB1DE8">
      <w:pPr>
        <w:pStyle w:val="46"/>
        <w:ind w:firstLine="480"/>
      </w:pPr>
      <w:r>
        <w:rPr>
          <w:rFonts w:hint="eastAsia"/>
        </w:rPr>
        <w:t>附：提供</w:t>
      </w:r>
      <w:r>
        <w:rPr>
          <w:rFonts w:hint="eastAsia" w:ascii="宋体" w:hAnsi="宋体" w:cs="宋体"/>
          <w:b/>
          <w:bCs/>
        </w:rPr>
        <w:t>合同复印件加</w:t>
      </w:r>
      <w:r>
        <w:rPr>
          <w:rFonts w:hint="eastAsia"/>
        </w:rPr>
        <w:t>盖公章。</w:t>
      </w:r>
    </w:p>
    <w:p w14:paraId="0947069B">
      <w:pPr>
        <w:rPr>
          <w:sz w:val="24"/>
        </w:rPr>
      </w:pPr>
      <w:r>
        <w:rPr>
          <w:rFonts w:hint="eastAsia"/>
          <w:sz w:val="24"/>
        </w:rPr>
        <w:br w:type="page"/>
      </w:r>
    </w:p>
    <w:p w14:paraId="04D51A11">
      <w:pPr>
        <w:pStyle w:val="3"/>
        <w:snapToGrid w:val="0"/>
        <w:jc w:val="center"/>
        <w:rPr>
          <w:rFonts w:hint="eastAsia" w:ascii="宋体" w:cs="宋体"/>
          <w:sz w:val="28"/>
          <w:szCs w:val="28"/>
        </w:rPr>
      </w:pPr>
      <w:bookmarkStart w:id="226" w:name="_Toc321"/>
      <w:bookmarkStart w:id="227" w:name="_Toc9093"/>
      <w:bookmarkStart w:id="228" w:name="_Toc17321"/>
      <w:bookmarkStart w:id="229" w:name="_Toc27900"/>
      <w:bookmarkStart w:id="230" w:name="_Toc20281"/>
      <w:bookmarkStart w:id="231" w:name="_Toc4092"/>
      <w:r>
        <w:rPr>
          <w:rFonts w:hint="eastAsia" w:ascii="宋体" w:cs="宋体"/>
          <w:sz w:val="28"/>
          <w:szCs w:val="28"/>
        </w:rPr>
        <w:t>六、</w:t>
      </w:r>
      <w:bookmarkEnd w:id="226"/>
      <w:bookmarkEnd w:id="227"/>
      <w:bookmarkEnd w:id="228"/>
      <w:bookmarkEnd w:id="229"/>
      <w:r>
        <w:rPr>
          <w:rFonts w:hint="eastAsia" w:ascii="宋体" w:cs="宋体"/>
          <w:sz w:val="28"/>
          <w:szCs w:val="28"/>
        </w:rPr>
        <w:t>服务要求响应表</w:t>
      </w:r>
      <w:bookmarkEnd w:id="230"/>
      <w:bookmarkEnd w:id="231"/>
    </w:p>
    <w:p w14:paraId="7E55A2AA">
      <w:pPr>
        <w:shd w:val="clear" w:color="auto" w:fill="FFFFFF"/>
        <w:snapToGrid w:val="0"/>
        <w:spacing w:line="500" w:lineRule="exact"/>
        <w:ind w:firstLine="480" w:firstLineChars="200"/>
        <w:rPr>
          <w:rFonts w:hint="eastAsia" w:ascii="宋体" w:hAnsi="宋体"/>
          <w:sz w:val="24"/>
          <w:u w:val="single"/>
        </w:rPr>
      </w:pPr>
      <w:r>
        <w:rPr>
          <w:rFonts w:hint="eastAsia" w:ascii="宋体" w:hAnsi="宋体"/>
          <w:sz w:val="24"/>
        </w:rPr>
        <w:t>说明：供应商应逐条对应磋商文件第三章“采购需求”，包括服务完成时间、付款方式等内容，并根据实际情况如实填写本表格。未列入下表的视作供应商不响应。</w:t>
      </w:r>
      <w:r>
        <w:rPr>
          <w:rFonts w:hint="eastAsia" w:ascii="宋体" w:hAnsi="宋体"/>
          <w:b/>
          <w:sz w:val="24"/>
          <w:u w:val="single"/>
        </w:rPr>
        <w:t>供应商必须根据实际情况如实填写，评审委员会如发现有虚假描述的，该供应商文件无效，该供应商列入黑名单，并报政府采购主管部门严肃处理</w:t>
      </w:r>
      <w:r>
        <w:rPr>
          <w:rFonts w:hint="eastAsia" w:ascii="宋体" w:hAnsi="宋体" w:cs="宋体"/>
          <w:b/>
          <w:bCs/>
          <w:sz w:val="24"/>
          <w:u w:val="single"/>
        </w:rPr>
        <w:t>。</w:t>
      </w:r>
    </w:p>
    <w:p w14:paraId="364E3F35">
      <w:pPr>
        <w:shd w:val="clear" w:color="auto" w:fill="FFFFFF"/>
        <w:snapToGrid w:val="0"/>
        <w:spacing w:line="360" w:lineRule="auto"/>
        <w:rPr>
          <w:rFonts w:hint="eastAsia" w:ascii="宋体" w:hAnsi="宋体"/>
          <w:bCs/>
          <w:sz w:val="24"/>
        </w:rPr>
      </w:pPr>
    </w:p>
    <w:tbl>
      <w:tblPr>
        <w:tblStyle w:val="20"/>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867"/>
        <w:gridCol w:w="2781"/>
        <w:gridCol w:w="1285"/>
        <w:gridCol w:w="1255"/>
      </w:tblGrid>
      <w:tr w14:paraId="1CB6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jc w:val="center"/>
        </w:trPr>
        <w:tc>
          <w:tcPr>
            <w:tcW w:w="707" w:type="dxa"/>
            <w:tcBorders>
              <w:top w:val="single" w:color="auto" w:sz="4" w:space="0"/>
              <w:left w:val="single" w:color="auto" w:sz="4" w:space="0"/>
              <w:bottom w:val="single" w:color="auto" w:sz="4" w:space="0"/>
              <w:right w:val="single" w:color="auto" w:sz="4" w:space="0"/>
            </w:tcBorders>
            <w:noWrap/>
            <w:vAlign w:val="center"/>
          </w:tcPr>
          <w:p w14:paraId="72DB9A02">
            <w:pPr>
              <w:shd w:val="clear" w:color="auto" w:fill="FFFFFF"/>
              <w:snapToGrid w:val="0"/>
              <w:spacing w:line="360" w:lineRule="auto"/>
              <w:jc w:val="center"/>
              <w:rPr>
                <w:rFonts w:hint="eastAsia" w:ascii="宋体" w:hAnsi="宋体"/>
                <w:sz w:val="24"/>
              </w:rPr>
            </w:pPr>
            <w:r>
              <w:rPr>
                <w:rFonts w:hint="eastAsia" w:ascii="宋体" w:hAnsi="宋体"/>
                <w:sz w:val="24"/>
              </w:rPr>
              <w:t>序号</w:t>
            </w:r>
          </w:p>
        </w:tc>
        <w:tc>
          <w:tcPr>
            <w:tcW w:w="2867" w:type="dxa"/>
            <w:tcBorders>
              <w:top w:val="single" w:color="auto" w:sz="4" w:space="0"/>
              <w:left w:val="single" w:color="auto" w:sz="4" w:space="0"/>
              <w:bottom w:val="single" w:color="auto" w:sz="4" w:space="0"/>
              <w:right w:val="single" w:color="auto" w:sz="4" w:space="0"/>
            </w:tcBorders>
            <w:noWrap/>
            <w:vAlign w:val="center"/>
          </w:tcPr>
          <w:p w14:paraId="6DB0430C">
            <w:pPr>
              <w:shd w:val="clear" w:color="auto" w:fill="FFFFFF"/>
              <w:snapToGrid w:val="0"/>
              <w:spacing w:line="360" w:lineRule="auto"/>
              <w:jc w:val="center"/>
              <w:rPr>
                <w:rFonts w:hint="eastAsia" w:ascii="宋体" w:hAnsi="宋体"/>
                <w:sz w:val="24"/>
              </w:rPr>
            </w:pPr>
            <w:r>
              <w:rPr>
                <w:rFonts w:hint="eastAsia" w:ascii="宋体" w:hAnsi="宋体"/>
                <w:sz w:val="24"/>
              </w:rPr>
              <w:t>磋商文件要求</w:t>
            </w:r>
          </w:p>
        </w:tc>
        <w:tc>
          <w:tcPr>
            <w:tcW w:w="2781" w:type="dxa"/>
            <w:tcBorders>
              <w:top w:val="single" w:color="auto" w:sz="4" w:space="0"/>
              <w:left w:val="single" w:color="auto" w:sz="4" w:space="0"/>
              <w:bottom w:val="single" w:color="auto" w:sz="4" w:space="0"/>
              <w:right w:val="single" w:color="auto" w:sz="4" w:space="0"/>
            </w:tcBorders>
            <w:noWrap/>
            <w:vAlign w:val="center"/>
          </w:tcPr>
          <w:p w14:paraId="1E091B2C">
            <w:pPr>
              <w:shd w:val="clear" w:color="auto" w:fill="FFFFFF"/>
              <w:snapToGrid w:val="0"/>
              <w:spacing w:line="360" w:lineRule="auto"/>
              <w:jc w:val="center"/>
              <w:rPr>
                <w:rFonts w:hint="eastAsia" w:ascii="宋体" w:hAnsi="宋体"/>
                <w:sz w:val="24"/>
              </w:rPr>
            </w:pPr>
            <w:r>
              <w:rPr>
                <w:rFonts w:hint="eastAsia" w:ascii="宋体" w:hAnsi="宋体"/>
                <w:sz w:val="24"/>
              </w:rPr>
              <w:t>响应文件应答</w:t>
            </w:r>
          </w:p>
        </w:tc>
        <w:tc>
          <w:tcPr>
            <w:tcW w:w="1285" w:type="dxa"/>
            <w:tcBorders>
              <w:top w:val="single" w:color="auto" w:sz="4" w:space="0"/>
              <w:left w:val="single" w:color="auto" w:sz="4" w:space="0"/>
              <w:bottom w:val="single" w:color="auto" w:sz="4" w:space="0"/>
              <w:right w:val="single" w:color="auto" w:sz="4" w:space="0"/>
            </w:tcBorders>
            <w:noWrap/>
            <w:vAlign w:val="center"/>
          </w:tcPr>
          <w:p w14:paraId="5E642B8B">
            <w:pPr>
              <w:shd w:val="clear" w:color="auto" w:fill="FFFFFF"/>
              <w:snapToGrid w:val="0"/>
              <w:spacing w:line="360" w:lineRule="auto"/>
              <w:jc w:val="center"/>
              <w:rPr>
                <w:rFonts w:hint="eastAsia" w:ascii="宋体" w:hAnsi="宋体"/>
                <w:sz w:val="24"/>
              </w:rPr>
            </w:pPr>
            <w:r>
              <w:rPr>
                <w:rFonts w:hint="eastAsia" w:ascii="宋体" w:hAnsi="宋体"/>
                <w:sz w:val="24"/>
              </w:rPr>
              <w:t>偏离情况</w:t>
            </w:r>
          </w:p>
        </w:tc>
        <w:tc>
          <w:tcPr>
            <w:tcW w:w="1255" w:type="dxa"/>
            <w:tcBorders>
              <w:top w:val="single" w:color="auto" w:sz="4" w:space="0"/>
              <w:left w:val="single" w:color="auto" w:sz="4" w:space="0"/>
              <w:bottom w:val="single" w:color="auto" w:sz="4" w:space="0"/>
              <w:right w:val="single" w:color="auto" w:sz="4" w:space="0"/>
            </w:tcBorders>
            <w:noWrap/>
            <w:vAlign w:val="center"/>
          </w:tcPr>
          <w:p w14:paraId="43E7550E">
            <w:pPr>
              <w:shd w:val="clear" w:color="auto" w:fill="FFFFFF"/>
              <w:snapToGrid w:val="0"/>
              <w:spacing w:line="360" w:lineRule="auto"/>
              <w:jc w:val="center"/>
              <w:rPr>
                <w:rFonts w:hint="eastAsia" w:ascii="宋体" w:hAnsi="宋体"/>
                <w:sz w:val="24"/>
              </w:rPr>
            </w:pPr>
            <w:r>
              <w:rPr>
                <w:rFonts w:hint="eastAsia" w:ascii="宋体" w:hAnsi="宋体"/>
                <w:sz w:val="24"/>
              </w:rPr>
              <w:t>备注</w:t>
            </w:r>
          </w:p>
        </w:tc>
      </w:tr>
      <w:tr w14:paraId="4DA2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707" w:type="dxa"/>
            <w:tcBorders>
              <w:top w:val="single" w:color="auto" w:sz="4" w:space="0"/>
              <w:left w:val="single" w:color="auto" w:sz="4" w:space="0"/>
              <w:bottom w:val="single" w:color="auto" w:sz="4" w:space="0"/>
              <w:right w:val="single" w:color="auto" w:sz="4" w:space="0"/>
            </w:tcBorders>
            <w:noWrap/>
            <w:vAlign w:val="center"/>
          </w:tcPr>
          <w:p w14:paraId="2A075E23">
            <w:pPr>
              <w:shd w:val="clear" w:color="auto" w:fill="FFFFFF"/>
              <w:spacing w:line="360" w:lineRule="auto"/>
              <w:jc w:val="center"/>
              <w:rPr>
                <w:rFonts w:hint="eastAsia" w:ascii="宋体" w:hAnsi="宋体"/>
                <w:sz w:val="24"/>
              </w:rPr>
            </w:pPr>
            <w:r>
              <w:rPr>
                <w:rFonts w:hint="eastAsia" w:ascii="宋体" w:hAnsi="宋体"/>
                <w:sz w:val="24"/>
              </w:rPr>
              <w:t>1</w:t>
            </w:r>
          </w:p>
        </w:tc>
        <w:tc>
          <w:tcPr>
            <w:tcW w:w="2867" w:type="dxa"/>
            <w:tcBorders>
              <w:top w:val="single" w:color="auto" w:sz="4" w:space="0"/>
              <w:left w:val="single" w:color="auto" w:sz="4" w:space="0"/>
              <w:bottom w:val="single" w:color="auto" w:sz="4" w:space="0"/>
              <w:right w:val="single" w:color="auto" w:sz="4" w:space="0"/>
            </w:tcBorders>
            <w:noWrap/>
            <w:vAlign w:val="center"/>
          </w:tcPr>
          <w:p w14:paraId="77B33329">
            <w:pPr>
              <w:shd w:val="clear" w:color="auto" w:fill="FFFFFF"/>
              <w:snapToGrid w:val="0"/>
              <w:spacing w:line="360" w:lineRule="auto"/>
              <w:jc w:val="center"/>
              <w:rPr>
                <w:rFonts w:hint="eastAsia" w:ascii="宋体" w:hAnsi="宋体"/>
                <w:sz w:val="24"/>
              </w:rPr>
            </w:pPr>
          </w:p>
        </w:tc>
        <w:tc>
          <w:tcPr>
            <w:tcW w:w="2781" w:type="dxa"/>
            <w:tcBorders>
              <w:top w:val="single" w:color="auto" w:sz="4" w:space="0"/>
              <w:left w:val="single" w:color="auto" w:sz="4" w:space="0"/>
              <w:bottom w:val="single" w:color="auto" w:sz="4" w:space="0"/>
              <w:right w:val="single" w:color="auto" w:sz="4" w:space="0"/>
            </w:tcBorders>
            <w:noWrap/>
            <w:vAlign w:val="center"/>
          </w:tcPr>
          <w:p w14:paraId="30BEB2EB">
            <w:pPr>
              <w:shd w:val="clear" w:color="auto" w:fill="FFFFFF"/>
              <w:snapToGrid w:val="0"/>
              <w:spacing w:line="360" w:lineRule="auto"/>
              <w:jc w:val="center"/>
              <w:rPr>
                <w:rFonts w:hint="eastAsia" w:ascii="宋体" w:hAnsi="宋体"/>
                <w:sz w:val="24"/>
              </w:rPr>
            </w:pPr>
          </w:p>
        </w:tc>
        <w:tc>
          <w:tcPr>
            <w:tcW w:w="1285" w:type="dxa"/>
            <w:tcBorders>
              <w:top w:val="single" w:color="auto" w:sz="4" w:space="0"/>
              <w:left w:val="single" w:color="auto" w:sz="4" w:space="0"/>
              <w:bottom w:val="single" w:color="auto" w:sz="4" w:space="0"/>
              <w:right w:val="single" w:color="auto" w:sz="4" w:space="0"/>
            </w:tcBorders>
            <w:noWrap/>
            <w:vAlign w:val="center"/>
          </w:tcPr>
          <w:p w14:paraId="1EE2A123">
            <w:pPr>
              <w:shd w:val="clear" w:color="auto" w:fill="FFFFFF"/>
              <w:snapToGrid w:val="0"/>
              <w:spacing w:line="360" w:lineRule="auto"/>
              <w:jc w:val="center"/>
              <w:rPr>
                <w:rFonts w:hint="eastAsia" w:ascii="宋体" w:hAnsi="宋体"/>
                <w:sz w:val="24"/>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74C854B">
            <w:pPr>
              <w:shd w:val="clear" w:color="auto" w:fill="FFFFFF"/>
              <w:snapToGrid w:val="0"/>
              <w:spacing w:line="360" w:lineRule="auto"/>
              <w:jc w:val="center"/>
              <w:rPr>
                <w:rFonts w:hint="eastAsia" w:ascii="宋体" w:hAnsi="宋体"/>
                <w:sz w:val="24"/>
              </w:rPr>
            </w:pPr>
          </w:p>
        </w:tc>
      </w:tr>
      <w:tr w14:paraId="7281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blHeader/>
          <w:jc w:val="center"/>
        </w:trPr>
        <w:tc>
          <w:tcPr>
            <w:tcW w:w="707" w:type="dxa"/>
            <w:tcBorders>
              <w:top w:val="single" w:color="auto" w:sz="4" w:space="0"/>
              <w:left w:val="single" w:color="auto" w:sz="4" w:space="0"/>
              <w:bottom w:val="single" w:color="auto" w:sz="4" w:space="0"/>
              <w:right w:val="single" w:color="auto" w:sz="4" w:space="0"/>
            </w:tcBorders>
            <w:noWrap/>
            <w:vAlign w:val="center"/>
          </w:tcPr>
          <w:p w14:paraId="6CA20D2A">
            <w:pPr>
              <w:shd w:val="clear" w:color="auto" w:fill="FFFFFF"/>
              <w:spacing w:line="360" w:lineRule="auto"/>
              <w:jc w:val="center"/>
              <w:rPr>
                <w:rFonts w:hint="eastAsia" w:ascii="宋体" w:hAnsi="宋体"/>
                <w:sz w:val="24"/>
              </w:rPr>
            </w:pPr>
            <w:r>
              <w:rPr>
                <w:rFonts w:hint="eastAsia" w:ascii="宋体" w:hAnsi="宋体"/>
                <w:sz w:val="24"/>
              </w:rPr>
              <w:t>2</w:t>
            </w:r>
          </w:p>
        </w:tc>
        <w:tc>
          <w:tcPr>
            <w:tcW w:w="2867" w:type="dxa"/>
            <w:tcBorders>
              <w:top w:val="single" w:color="auto" w:sz="4" w:space="0"/>
              <w:left w:val="single" w:color="auto" w:sz="4" w:space="0"/>
              <w:bottom w:val="single" w:color="auto" w:sz="4" w:space="0"/>
              <w:right w:val="single" w:color="auto" w:sz="4" w:space="0"/>
            </w:tcBorders>
            <w:noWrap/>
            <w:vAlign w:val="center"/>
          </w:tcPr>
          <w:p w14:paraId="1FDFFB3F">
            <w:pPr>
              <w:shd w:val="clear" w:color="auto" w:fill="FFFFFF"/>
              <w:snapToGrid w:val="0"/>
              <w:spacing w:line="360" w:lineRule="auto"/>
              <w:jc w:val="center"/>
              <w:rPr>
                <w:rFonts w:hint="eastAsia" w:ascii="宋体" w:hAnsi="宋体"/>
                <w:sz w:val="24"/>
              </w:rPr>
            </w:pPr>
          </w:p>
        </w:tc>
        <w:tc>
          <w:tcPr>
            <w:tcW w:w="2781" w:type="dxa"/>
            <w:tcBorders>
              <w:top w:val="single" w:color="auto" w:sz="4" w:space="0"/>
              <w:left w:val="single" w:color="auto" w:sz="4" w:space="0"/>
              <w:bottom w:val="single" w:color="auto" w:sz="4" w:space="0"/>
              <w:right w:val="single" w:color="auto" w:sz="4" w:space="0"/>
            </w:tcBorders>
            <w:noWrap/>
            <w:vAlign w:val="center"/>
          </w:tcPr>
          <w:p w14:paraId="6EB66472">
            <w:pPr>
              <w:shd w:val="clear" w:color="auto" w:fill="FFFFFF"/>
              <w:snapToGrid w:val="0"/>
              <w:spacing w:line="360" w:lineRule="auto"/>
              <w:jc w:val="center"/>
              <w:rPr>
                <w:rFonts w:hint="eastAsia" w:ascii="宋体" w:hAnsi="宋体"/>
                <w:sz w:val="24"/>
              </w:rPr>
            </w:pPr>
          </w:p>
        </w:tc>
        <w:tc>
          <w:tcPr>
            <w:tcW w:w="1285" w:type="dxa"/>
            <w:tcBorders>
              <w:top w:val="single" w:color="auto" w:sz="4" w:space="0"/>
              <w:left w:val="single" w:color="auto" w:sz="4" w:space="0"/>
              <w:bottom w:val="single" w:color="auto" w:sz="4" w:space="0"/>
              <w:right w:val="single" w:color="auto" w:sz="4" w:space="0"/>
            </w:tcBorders>
            <w:noWrap/>
            <w:vAlign w:val="center"/>
          </w:tcPr>
          <w:p w14:paraId="66384AF8">
            <w:pPr>
              <w:shd w:val="clear" w:color="auto" w:fill="FFFFFF"/>
              <w:snapToGrid w:val="0"/>
              <w:spacing w:line="360" w:lineRule="auto"/>
              <w:jc w:val="center"/>
              <w:rPr>
                <w:rFonts w:hint="eastAsia" w:ascii="宋体" w:hAnsi="宋体"/>
                <w:sz w:val="24"/>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8A0F91E">
            <w:pPr>
              <w:shd w:val="clear" w:color="auto" w:fill="FFFFFF"/>
              <w:snapToGrid w:val="0"/>
              <w:spacing w:line="360" w:lineRule="auto"/>
              <w:jc w:val="center"/>
              <w:rPr>
                <w:rFonts w:hint="eastAsia" w:ascii="宋体" w:hAnsi="宋体"/>
                <w:sz w:val="24"/>
              </w:rPr>
            </w:pPr>
          </w:p>
        </w:tc>
      </w:tr>
      <w:tr w14:paraId="5E31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Header/>
          <w:jc w:val="center"/>
        </w:trPr>
        <w:tc>
          <w:tcPr>
            <w:tcW w:w="707" w:type="dxa"/>
            <w:tcBorders>
              <w:top w:val="single" w:color="auto" w:sz="4" w:space="0"/>
              <w:left w:val="single" w:color="auto" w:sz="4" w:space="0"/>
              <w:bottom w:val="single" w:color="auto" w:sz="4" w:space="0"/>
              <w:right w:val="single" w:color="auto" w:sz="4" w:space="0"/>
            </w:tcBorders>
            <w:noWrap/>
            <w:vAlign w:val="center"/>
          </w:tcPr>
          <w:p w14:paraId="74A56C88">
            <w:pPr>
              <w:shd w:val="clear" w:color="auto" w:fill="FFFFFF"/>
              <w:spacing w:line="360" w:lineRule="auto"/>
              <w:jc w:val="center"/>
              <w:rPr>
                <w:rFonts w:hint="eastAsia" w:ascii="宋体" w:hAnsi="宋体"/>
                <w:sz w:val="24"/>
              </w:rPr>
            </w:pPr>
            <w:r>
              <w:rPr>
                <w:rFonts w:hint="eastAsia" w:ascii="宋体" w:hAnsi="宋体"/>
                <w:sz w:val="24"/>
              </w:rPr>
              <w:t>3</w:t>
            </w:r>
          </w:p>
        </w:tc>
        <w:tc>
          <w:tcPr>
            <w:tcW w:w="2867" w:type="dxa"/>
            <w:tcBorders>
              <w:top w:val="single" w:color="auto" w:sz="4" w:space="0"/>
              <w:left w:val="single" w:color="auto" w:sz="4" w:space="0"/>
              <w:bottom w:val="single" w:color="auto" w:sz="4" w:space="0"/>
              <w:right w:val="single" w:color="auto" w:sz="4" w:space="0"/>
            </w:tcBorders>
            <w:noWrap/>
            <w:vAlign w:val="center"/>
          </w:tcPr>
          <w:p w14:paraId="0941A541">
            <w:pPr>
              <w:shd w:val="clear" w:color="auto" w:fill="FFFFFF"/>
              <w:snapToGrid w:val="0"/>
              <w:spacing w:line="360" w:lineRule="auto"/>
              <w:jc w:val="center"/>
              <w:rPr>
                <w:rFonts w:hint="eastAsia" w:ascii="宋体" w:hAnsi="宋体"/>
                <w:sz w:val="24"/>
              </w:rPr>
            </w:pPr>
          </w:p>
        </w:tc>
        <w:tc>
          <w:tcPr>
            <w:tcW w:w="2781" w:type="dxa"/>
            <w:tcBorders>
              <w:top w:val="single" w:color="auto" w:sz="4" w:space="0"/>
              <w:left w:val="single" w:color="auto" w:sz="4" w:space="0"/>
              <w:bottom w:val="single" w:color="auto" w:sz="4" w:space="0"/>
              <w:right w:val="single" w:color="auto" w:sz="4" w:space="0"/>
            </w:tcBorders>
            <w:noWrap/>
            <w:vAlign w:val="center"/>
          </w:tcPr>
          <w:p w14:paraId="366D6E3A">
            <w:pPr>
              <w:shd w:val="clear" w:color="auto" w:fill="FFFFFF"/>
              <w:snapToGrid w:val="0"/>
              <w:spacing w:line="360" w:lineRule="auto"/>
              <w:jc w:val="center"/>
              <w:rPr>
                <w:rFonts w:hint="eastAsia" w:ascii="宋体" w:hAnsi="宋体"/>
                <w:sz w:val="24"/>
              </w:rPr>
            </w:pPr>
          </w:p>
        </w:tc>
        <w:tc>
          <w:tcPr>
            <w:tcW w:w="1285" w:type="dxa"/>
            <w:tcBorders>
              <w:top w:val="single" w:color="auto" w:sz="4" w:space="0"/>
              <w:left w:val="single" w:color="auto" w:sz="4" w:space="0"/>
              <w:bottom w:val="single" w:color="auto" w:sz="4" w:space="0"/>
              <w:right w:val="single" w:color="auto" w:sz="4" w:space="0"/>
            </w:tcBorders>
            <w:noWrap/>
            <w:vAlign w:val="center"/>
          </w:tcPr>
          <w:p w14:paraId="1F2A8914">
            <w:pPr>
              <w:shd w:val="clear" w:color="auto" w:fill="FFFFFF"/>
              <w:snapToGrid w:val="0"/>
              <w:spacing w:line="360" w:lineRule="auto"/>
              <w:jc w:val="center"/>
              <w:rPr>
                <w:rFonts w:hint="eastAsia" w:ascii="宋体" w:hAnsi="宋体"/>
                <w:sz w:val="24"/>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3DD98E38">
            <w:pPr>
              <w:shd w:val="clear" w:color="auto" w:fill="FFFFFF"/>
              <w:snapToGrid w:val="0"/>
              <w:spacing w:line="360" w:lineRule="auto"/>
              <w:jc w:val="center"/>
              <w:rPr>
                <w:rFonts w:hint="eastAsia" w:ascii="宋体" w:hAnsi="宋体"/>
                <w:sz w:val="24"/>
              </w:rPr>
            </w:pPr>
          </w:p>
        </w:tc>
      </w:tr>
      <w:tr w14:paraId="4C19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707" w:type="dxa"/>
            <w:tcBorders>
              <w:top w:val="single" w:color="auto" w:sz="4" w:space="0"/>
              <w:left w:val="single" w:color="auto" w:sz="4" w:space="0"/>
              <w:bottom w:val="single" w:color="auto" w:sz="4" w:space="0"/>
              <w:right w:val="single" w:color="auto" w:sz="4" w:space="0"/>
            </w:tcBorders>
            <w:noWrap/>
            <w:vAlign w:val="center"/>
          </w:tcPr>
          <w:p w14:paraId="3A40EE41">
            <w:pPr>
              <w:shd w:val="clear" w:color="auto" w:fill="FFFFFF"/>
              <w:spacing w:line="360" w:lineRule="auto"/>
              <w:jc w:val="center"/>
              <w:rPr>
                <w:rFonts w:hint="eastAsia" w:ascii="宋体" w:hAnsi="宋体"/>
                <w:sz w:val="24"/>
              </w:rPr>
            </w:pPr>
            <w:r>
              <w:rPr>
                <w:rFonts w:hint="eastAsia" w:ascii="宋体" w:hAnsi="宋体"/>
                <w:sz w:val="24"/>
              </w:rPr>
              <w:t>4</w:t>
            </w:r>
          </w:p>
        </w:tc>
        <w:tc>
          <w:tcPr>
            <w:tcW w:w="2867" w:type="dxa"/>
            <w:tcBorders>
              <w:top w:val="single" w:color="auto" w:sz="4" w:space="0"/>
              <w:left w:val="single" w:color="auto" w:sz="4" w:space="0"/>
              <w:bottom w:val="single" w:color="auto" w:sz="4" w:space="0"/>
              <w:right w:val="single" w:color="auto" w:sz="4" w:space="0"/>
            </w:tcBorders>
            <w:noWrap/>
            <w:vAlign w:val="center"/>
          </w:tcPr>
          <w:p w14:paraId="6800FF24">
            <w:pPr>
              <w:shd w:val="clear" w:color="auto" w:fill="FFFFFF"/>
              <w:snapToGrid w:val="0"/>
              <w:spacing w:line="360" w:lineRule="auto"/>
              <w:jc w:val="center"/>
              <w:rPr>
                <w:rFonts w:hint="eastAsia" w:ascii="宋体" w:hAnsi="宋体"/>
                <w:sz w:val="24"/>
              </w:rPr>
            </w:pPr>
          </w:p>
        </w:tc>
        <w:tc>
          <w:tcPr>
            <w:tcW w:w="2781" w:type="dxa"/>
            <w:tcBorders>
              <w:top w:val="single" w:color="auto" w:sz="4" w:space="0"/>
              <w:left w:val="single" w:color="auto" w:sz="4" w:space="0"/>
              <w:bottom w:val="single" w:color="auto" w:sz="4" w:space="0"/>
              <w:right w:val="single" w:color="auto" w:sz="4" w:space="0"/>
            </w:tcBorders>
            <w:noWrap/>
            <w:vAlign w:val="center"/>
          </w:tcPr>
          <w:p w14:paraId="0948E584">
            <w:pPr>
              <w:shd w:val="clear" w:color="auto" w:fill="FFFFFF"/>
              <w:snapToGrid w:val="0"/>
              <w:spacing w:line="360" w:lineRule="auto"/>
              <w:jc w:val="center"/>
              <w:rPr>
                <w:rFonts w:hint="eastAsia" w:ascii="宋体" w:hAnsi="宋体"/>
                <w:sz w:val="24"/>
              </w:rPr>
            </w:pPr>
          </w:p>
        </w:tc>
        <w:tc>
          <w:tcPr>
            <w:tcW w:w="1285" w:type="dxa"/>
            <w:tcBorders>
              <w:top w:val="single" w:color="auto" w:sz="4" w:space="0"/>
              <w:left w:val="single" w:color="auto" w:sz="4" w:space="0"/>
              <w:bottom w:val="single" w:color="auto" w:sz="4" w:space="0"/>
              <w:right w:val="single" w:color="auto" w:sz="4" w:space="0"/>
            </w:tcBorders>
            <w:noWrap/>
            <w:vAlign w:val="center"/>
          </w:tcPr>
          <w:p w14:paraId="4C99BFD6">
            <w:pPr>
              <w:shd w:val="clear" w:color="auto" w:fill="FFFFFF"/>
              <w:snapToGrid w:val="0"/>
              <w:spacing w:line="360" w:lineRule="auto"/>
              <w:jc w:val="center"/>
              <w:rPr>
                <w:rFonts w:hint="eastAsia" w:ascii="宋体" w:hAnsi="宋体"/>
                <w:sz w:val="24"/>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1614823">
            <w:pPr>
              <w:shd w:val="clear" w:color="auto" w:fill="FFFFFF"/>
              <w:snapToGrid w:val="0"/>
              <w:spacing w:line="360" w:lineRule="auto"/>
              <w:jc w:val="center"/>
              <w:rPr>
                <w:rFonts w:hint="eastAsia" w:ascii="宋体" w:hAnsi="宋体"/>
                <w:sz w:val="24"/>
              </w:rPr>
            </w:pPr>
          </w:p>
        </w:tc>
      </w:tr>
      <w:tr w14:paraId="167C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707" w:type="dxa"/>
            <w:tcBorders>
              <w:top w:val="single" w:color="auto" w:sz="4" w:space="0"/>
              <w:left w:val="single" w:color="auto" w:sz="4" w:space="0"/>
              <w:bottom w:val="single" w:color="auto" w:sz="4" w:space="0"/>
              <w:right w:val="single" w:color="auto" w:sz="4" w:space="0"/>
            </w:tcBorders>
            <w:noWrap/>
            <w:vAlign w:val="center"/>
          </w:tcPr>
          <w:p w14:paraId="00C2AE45">
            <w:pPr>
              <w:shd w:val="clear" w:color="auto" w:fill="FFFFFF"/>
              <w:spacing w:line="360" w:lineRule="auto"/>
              <w:jc w:val="center"/>
              <w:rPr>
                <w:rFonts w:hint="eastAsia" w:ascii="宋体" w:hAnsi="宋体"/>
                <w:sz w:val="24"/>
              </w:rPr>
            </w:pPr>
            <w:r>
              <w:rPr>
                <w:rFonts w:hint="eastAsia" w:ascii="宋体" w:hAnsi="宋体"/>
                <w:sz w:val="24"/>
              </w:rPr>
              <w:t>5</w:t>
            </w:r>
          </w:p>
        </w:tc>
        <w:tc>
          <w:tcPr>
            <w:tcW w:w="2867" w:type="dxa"/>
            <w:tcBorders>
              <w:top w:val="single" w:color="auto" w:sz="4" w:space="0"/>
              <w:left w:val="single" w:color="auto" w:sz="4" w:space="0"/>
              <w:bottom w:val="single" w:color="auto" w:sz="4" w:space="0"/>
              <w:right w:val="single" w:color="auto" w:sz="4" w:space="0"/>
            </w:tcBorders>
            <w:noWrap/>
            <w:vAlign w:val="center"/>
          </w:tcPr>
          <w:p w14:paraId="47A43B12">
            <w:pPr>
              <w:shd w:val="clear" w:color="auto" w:fill="FFFFFF"/>
              <w:snapToGrid w:val="0"/>
              <w:spacing w:line="360" w:lineRule="auto"/>
              <w:jc w:val="center"/>
              <w:rPr>
                <w:rFonts w:hint="eastAsia" w:ascii="宋体" w:hAnsi="宋体"/>
                <w:sz w:val="24"/>
              </w:rPr>
            </w:pPr>
          </w:p>
        </w:tc>
        <w:tc>
          <w:tcPr>
            <w:tcW w:w="2781" w:type="dxa"/>
            <w:tcBorders>
              <w:top w:val="single" w:color="auto" w:sz="4" w:space="0"/>
              <w:left w:val="single" w:color="auto" w:sz="4" w:space="0"/>
              <w:bottom w:val="single" w:color="auto" w:sz="4" w:space="0"/>
              <w:right w:val="single" w:color="auto" w:sz="4" w:space="0"/>
            </w:tcBorders>
            <w:noWrap/>
            <w:vAlign w:val="center"/>
          </w:tcPr>
          <w:p w14:paraId="027B0F9D">
            <w:pPr>
              <w:shd w:val="clear" w:color="auto" w:fill="FFFFFF"/>
              <w:snapToGrid w:val="0"/>
              <w:spacing w:line="360" w:lineRule="auto"/>
              <w:jc w:val="center"/>
              <w:rPr>
                <w:rFonts w:hint="eastAsia" w:ascii="宋体" w:hAnsi="宋体"/>
                <w:sz w:val="24"/>
              </w:rPr>
            </w:pPr>
          </w:p>
        </w:tc>
        <w:tc>
          <w:tcPr>
            <w:tcW w:w="1285" w:type="dxa"/>
            <w:tcBorders>
              <w:top w:val="single" w:color="auto" w:sz="4" w:space="0"/>
              <w:left w:val="single" w:color="auto" w:sz="4" w:space="0"/>
              <w:bottom w:val="single" w:color="auto" w:sz="4" w:space="0"/>
              <w:right w:val="single" w:color="auto" w:sz="4" w:space="0"/>
            </w:tcBorders>
            <w:noWrap/>
            <w:vAlign w:val="center"/>
          </w:tcPr>
          <w:p w14:paraId="4612B275">
            <w:pPr>
              <w:shd w:val="clear" w:color="auto" w:fill="FFFFFF"/>
              <w:snapToGrid w:val="0"/>
              <w:spacing w:line="360" w:lineRule="auto"/>
              <w:jc w:val="center"/>
              <w:rPr>
                <w:rFonts w:hint="eastAsia" w:ascii="宋体" w:hAnsi="宋体"/>
                <w:sz w:val="24"/>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65503BA">
            <w:pPr>
              <w:shd w:val="clear" w:color="auto" w:fill="FFFFFF"/>
              <w:snapToGrid w:val="0"/>
              <w:spacing w:line="360" w:lineRule="auto"/>
              <w:jc w:val="center"/>
              <w:rPr>
                <w:rFonts w:hint="eastAsia" w:ascii="宋体" w:hAnsi="宋体"/>
                <w:sz w:val="24"/>
              </w:rPr>
            </w:pPr>
          </w:p>
        </w:tc>
      </w:tr>
      <w:tr w14:paraId="5391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707" w:type="dxa"/>
            <w:tcBorders>
              <w:top w:val="single" w:color="auto" w:sz="4" w:space="0"/>
              <w:left w:val="single" w:color="auto" w:sz="4" w:space="0"/>
              <w:bottom w:val="single" w:color="auto" w:sz="4" w:space="0"/>
              <w:right w:val="single" w:color="auto" w:sz="4" w:space="0"/>
            </w:tcBorders>
            <w:noWrap/>
            <w:vAlign w:val="center"/>
          </w:tcPr>
          <w:p w14:paraId="50311CD6">
            <w:pPr>
              <w:shd w:val="clear" w:color="auto" w:fill="FFFFFF"/>
              <w:spacing w:line="360" w:lineRule="auto"/>
              <w:jc w:val="center"/>
              <w:rPr>
                <w:rFonts w:hint="eastAsia" w:ascii="宋体" w:hAnsi="宋体"/>
                <w:sz w:val="24"/>
              </w:rPr>
            </w:pPr>
          </w:p>
        </w:tc>
        <w:tc>
          <w:tcPr>
            <w:tcW w:w="2867" w:type="dxa"/>
            <w:tcBorders>
              <w:top w:val="single" w:color="auto" w:sz="4" w:space="0"/>
              <w:left w:val="single" w:color="auto" w:sz="4" w:space="0"/>
              <w:bottom w:val="single" w:color="auto" w:sz="4" w:space="0"/>
              <w:right w:val="single" w:color="auto" w:sz="4" w:space="0"/>
            </w:tcBorders>
            <w:noWrap/>
            <w:vAlign w:val="center"/>
          </w:tcPr>
          <w:p w14:paraId="072C2E70">
            <w:pPr>
              <w:shd w:val="clear" w:color="auto" w:fill="FFFFFF"/>
              <w:snapToGrid w:val="0"/>
              <w:spacing w:line="360" w:lineRule="auto"/>
              <w:jc w:val="center"/>
              <w:rPr>
                <w:rFonts w:hint="eastAsia" w:ascii="宋体" w:hAnsi="宋体"/>
                <w:sz w:val="24"/>
              </w:rPr>
            </w:pPr>
            <w:r>
              <w:rPr>
                <w:rFonts w:hint="eastAsia" w:ascii="宋体" w:hAnsi="宋体"/>
                <w:sz w:val="24"/>
              </w:rPr>
              <w:t>...</w:t>
            </w:r>
          </w:p>
        </w:tc>
        <w:tc>
          <w:tcPr>
            <w:tcW w:w="2781" w:type="dxa"/>
            <w:tcBorders>
              <w:top w:val="single" w:color="auto" w:sz="4" w:space="0"/>
              <w:left w:val="single" w:color="auto" w:sz="4" w:space="0"/>
              <w:bottom w:val="single" w:color="auto" w:sz="4" w:space="0"/>
              <w:right w:val="single" w:color="auto" w:sz="4" w:space="0"/>
            </w:tcBorders>
            <w:noWrap/>
            <w:vAlign w:val="center"/>
          </w:tcPr>
          <w:p w14:paraId="44FE395B">
            <w:pPr>
              <w:shd w:val="clear" w:color="auto" w:fill="FFFFFF"/>
              <w:snapToGrid w:val="0"/>
              <w:spacing w:line="360" w:lineRule="auto"/>
              <w:jc w:val="center"/>
              <w:rPr>
                <w:rFonts w:hint="eastAsia" w:ascii="宋体" w:hAnsi="宋体"/>
                <w:sz w:val="24"/>
              </w:rPr>
            </w:pPr>
          </w:p>
        </w:tc>
        <w:tc>
          <w:tcPr>
            <w:tcW w:w="1285" w:type="dxa"/>
            <w:tcBorders>
              <w:top w:val="single" w:color="auto" w:sz="4" w:space="0"/>
              <w:left w:val="single" w:color="auto" w:sz="4" w:space="0"/>
              <w:bottom w:val="single" w:color="auto" w:sz="4" w:space="0"/>
              <w:right w:val="single" w:color="auto" w:sz="4" w:space="0"/>
            </w:tcBorders>
            <w:noWrap/>
            <w:vAlign w:val="center"/>
          </w:tcPr>
          <w:p w14:paraId="67EB3A83">
            <w:pPr>
              <w:shd w:val="clear" w:color="auto" w:fill="FFFFFF"/>
              <w:snapToGrid w:val="0"/>
              <w:spacing w:line="360" w:lineRule="auto"/>
              <w:jc w:val="center"/>
              <w:rPr>
                <w:rFonts w:hint="eastAsia" w:ascii="宋体" w:hAnsi="宋体"/>
                <w:sz w:val="24"/>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630A75B">
            <w:pPr>
              <w:shd w:val="clear" w:color="auto" w:fill="FFFFFF"/>
              <w:snapToGrid w:val="0"/>
              <w:spacing w:line="360" w:lineRule="auto"/>
              <w:jc w:val="center"/>
              <w:rPr>
                <w:rFonts w:hint="eastAsia" w:ascii="宋体" w:hAnsi="宋体"/>
                <w:sz w:val="24"/>
              </w:rPr>
            </w:pPr>
          </w:p>
        </w:tc>
      </w:tr>
    </w:tbl>
    <w:p w14:paraId="009AEC6A">
      <w:pPr>
        <w:shd w:val="clear" w:color="auto" w:fill="FFFFFF"/>
        <w:snapToGrid w:val="0"/>
        <w:spacing w:line="360" w:lineRule="auto"/>
        <w:rPr>
          <w:rFonts w:hint="eastAsia" w:ascii="宋体" w:hAnsi="宋体"/>
          <w:bCs/>
          <w:sz w:val="24"/>
        </w:rPr>
      </w:pPr>
    </w:p>
    <w:p w14:paraId="526C54E8">
      <w:pPr>
        <w:shd w:val="clear" w:color="auto" w:fill="FFFFFF"/>
        <w:snapToGrid w:val="0"/>
        <w:spacing w:line="360" w:lineRule="auto"/>
        <w:rPr>
          <w:rFonts w:hint="eastAsia" w:ascii="宋体" w:hAnsi="宋体"/>
          <w:bCs/>
          <w:sz w:val="24"/>
        </w:rPr>
      </w:pPr>
    </w:p>
    <w:p w14:paraId="21021D2E">
      <w:pPr>
        <w:shd w:val="clear" w:color="auto" w:fill="FFFFFF"/>
        <w:snapToGrid w:val="0"/>
        <w:spacing w:line="360" w:lineRule="auto"/>
        <w:rPr>
          <w:rFonts w:hint="eastAsia" w:ascii="宋体" w:hAnsi="宋体"/>
          <w:bCs/>
          <w:sz w:val="24"/>
        </w:rPr>
      </w:pPr>
      <w:r>
        <w:rPr>
          <w:rFonts w:hint="eastAsia" w:ascii="宋体" w:hAnsi="宋体"/>
          <w:bCs/>
          <w:sz w:val="24"/>
        </w:rPr>
        <w:t xml:space="preserve">供应商名称（公章）：           </w:t>
      </w:r>
    </w:p>
    <w:p w14:paraId="692624EE">
      <w:pPr>
        <w:shd w:val="clear" w:color="auto" w:fill="FFFFFF"/>
        <w:snapToGrid w:val="0"/>
        <w:spacing w:line="360" w:lineRule="auto"/>
        <w:rPr>
          <w:rFonts w:hint="eastAsia" w:ascii="宋体" w:hAnsi="宋体"/>
          <w:sz w:val="24"/>
        </w:rPr>
      </w:pPr>
      <w:r>
        <w:rPr>
          <w:rFonts w:hint="eastAsia" w:ascii="宋体" w:hAnsi="宋体"/>
          <w:bCs/>
          <w:sz w:val="24"/>
        </w:rPr>
        <w:t>法定代表人或其委托代理人（签字）：</w:t>
      </w:r>
    </w:p>
    <w:p w14:paraId="7763B9A4">
      <w:pPr>
        <w:shd w:val="clear" w:color="auto" w:fill="FFFFFF"/>
        <w:tabs>
          <w:tab w:val="left" w:pos="11130"/>
        </w:tabs>
        <w:snapToGrid w:val="0"/>
        <w:spacing w:line="360" w:lineRule="auto"/>
        <w:ind w:firstLine="120" w:firstLineChars="50"/>
        <w:rPr>
          <w:rFonts w:hint="eastAsia" w:ascii="宋体" w:hAnsi="宋体"/>
          <w:bCs/>
          <w:sz w:val="24"/>
        </w:rPr>
      </w:pPr>
    </w:p>
    <w:p w14:paraId="47D5BA18">
      <w:pPr>
        <w:shd w:val="clear" w:color="auto" w:fill="FFFFFF"/>
        <w:snapToGrid w:val="0"/>
        <w:spacing w:line="360" w:lineRule="auto"/>
        <w:rPr>
          <w:rFonts w:hint="eastAsia" w:ascii="宋体" w:hAnsi="宋体"/>
          <w:bCs/>
          <w:sz w:val="24"/>
        </w:rPr>
      </w:pPr>
      <w:r>
        <w:rPr>
          <w:rFonts w:hint="eastAsia" w:ascii="宋体" w:hAnsi="宋体"/>
          <w:bCs/>
          <w:sz w:val="24"/>
        </w:rPr>
        <w:t>注：1、此表为表样，行数可自行添加，但表式不变。</w:t>
      </w:r>
    </w:p>
    <w:p w14:paraId="6D510BC0">
      <w:pPr>
        <w:shd w:val="clear" w:color="auto" w:fill="FFFFFF"/>
        <w:snapToGrid w:val="0"/>
        <w:spacing w:line="360" w:lineRule="auto"/>
        <w:ind w:firstLine="480" w:firstLineChars="200"/>
        <w:rPr>
          <w:rFonts w:hint="eastAsia" w:ascii="宋体" w:hAnsi="宋体"/>
          <w:bCs/>
          <w:sz w:val="24"/>
        </w:rPr>
      </w:pPr>
      <w:r>
        <w:rPr>
          <w:rFonts w:hint="eastAsia" w:ascii="宋体" w:hAnsi="宋体"/>
          <w:bCs/>
          <w:sz w:val="24"/>
        </w:rPr>
        <w:t>2、供应商在“响应文件应答”中填写所投服务/项目的服务需求/功能描述情况。</w:t>
      </w:r>
    </w:p>
    <w:p w14:paraId="593CA734">
      <w:pPr>
        <w:shd w:val="clear" w:color="auto" w:fill="FFFFFF"/>
        <w:snapToGrid w:val="0"/>
        <w:spacing w:line="360" w:lineRule="auto"/>
        <w:ind w:firstLine="480" w:firstLineChars="200"/>
        <w:rPr>
          <w:rFonts w:hint="eastAsia" w:ascii="宋体" w:hAnsi="宋体"/>
          <w:bCs/>
          <w:sz w:val="24"/>
        </w:rPr>
      </w:pPr>
      <w:r>
        <w:rPr>
          <w:rFonts w:hint="eastAsia" w:ascii="宋体" w:hAnsi="宋体"/>
          <w:bCs/>
          <w:sz w:val="24"/>
        </w:rPr>
        <w:t>3、偏离情况说明分正偏离、完全响应、负偏离，分别表示优于要求、满足要求、不满足要求。</w:t>
      </w:r>
      <w:r>
        <w:rPr>
          <w:rFonts w:hint="eastAsia" w:ascii="宋体" w:hAnsi="宋体"/>
          <w:b/>
          <w:bCs/>
          <w:sz w:val="24"/>
          <w:u w:val="single"/>
        </w:rPr>
        <w:t>评委评审时不能只根据供应商填写的偏离情况说明来判断是否响应</w:t>
      </w:r>
      <w:r>
        <w:rPr>
          <w:rFonts w:hint="eastAsia" w:ascii="宋体" w:hAnsi="宋体"/>
          <w:bCs/>
          <w:sz w:val="24"/>
        </w:rPr>
        <w:t>，而应认真查阅“响应文件应答”内容以及相关的技术资料判断是否满足要求。</w:t>
      </w:r>
    </w:p>
    <w:p w14:paraId="06E769CF">
      <w:pPr>
        <w:pStyle w:val="9"/>
      </w:pPr>
    </w:p>
    <w:p w14:paraId="76D2DD99">
      <w:pPr>
        <w:rPr>
          <w:sz w:val="28"/>
          <w:szCs w:val="28"/>
        </w:rPr>
      </w:pPr>
      <w:bookmarkStart w:id="232" w:name="_Toc24180"/>
      <w:bookmarkStart w:id="233" w:name="_Toc7906"/>
      <w:bookmarkStart w:id="234" w:name="_Toc20554"/>
      <w:bookmarkStart w:id="235" w:name="_Toc12996"/>
      <w:r>
        <w:rPr>
          <w:rFonts w:hint="eastAsia"/>
          <w:sz w:val="28"/>
          <w:szCs w:val="28"/>
        </w:rPr>
        <w:br w:type="page"/>
      </w:r>
    </w:p>
    <w:bookmarkEnd w:id="232"/>
    <w:bookmarkEnd w:id="233"/>
    <w:bookmarkEnd w:id="234"/>
    <w:bookmarkEnd w:id="235"/>
    <w:p w14:paraId="5600067B">
      <w:pPr>
        <w:pStyle w:val="3"/>
        <w:keepNext w:val="0"/>
        <w:keepLines w:val="0"/>
        <w:spacing w:before="156" w:beforeLines="50" w:after="156" w:afterLines="50"/>
        <w:jc w:val="center"/>
        <w:rPr>
          <w:rFonts w:hint="eastAsia" w:cs="宋体"/>
          <w:sz w:val="28"/>
          <w:szCs w:val="28"/>
        </w:rPr>
      </w:pPr>
      <w:r>
        <w:rPr>
          <w:rFonts w:hint="eastAsia" w:cs="宋体"/>
          <w:sz w:val="28"/>
          <w:szCs w:val="28"/>
        </w:rPr>
        <w:t>七、其它</w:t>
      </w:r>
      <w:bookmarkEnd w:id="219"/>
      <w:bookmarkEnd w:id="220"/>
      <w:bookmarkEnd w:id="221"/>
      <w:bookmarkEnd w:id="222"/>
      <w:bookmarkEnd w:id="223"/>
      <w:bookmarkEnd w:id="224"/>
      <w:r>
        <w:rPr>
          <w:rFonts w:hint="eastAsia" w:cs="宋体"/>
          <w:sz w:val="28"/>
          <w:szCs w:val="28"/>
        </w:rPr>
        <w:t>资料</w:t>
      </w:r>
      <w:bookmarkEnd w:id="225"/>
    </w:p>
    <w:p w14:paraId="5A0570FA">
      <w:pPr>
        <w:rPr>
          <w:rFonts w:hint="eastAsia" w:ascii="宋体" w:hAnsi="宋体"/>
          <w:bCs/>
          <w:sz w:val="24"/>
        </w:rPr>
      </w:pPr>
      <w:bookmarkStart w:id="236" w:name="_Toc32590"/>
      <w:bookmarkStart w:id="237" w:name="_Toc27511954"/>
      <w:bookmarkStart w:id="238" w:name="_Toc26651"/>
      <w:r>
        <w:rPr>
          <w:rFonts w:hint="eastAsia" w:ascii="宋体" w:hAnsi="宋体"/>
          <w:bCs/>
          <w:sz w:val="24"/>
        </w:rPr>
        <w:t>供应商根据磋商文件要求认为需提供的其他商务技术说明材料，格式自定</w:t>
      </w:r>
      <w:bookmarkEnd w:id="236"/>
      <w:bookmarkEnd w:id="237"/>
      <w:bookmarkEnd w:id="238"/>
    </w:p>
    <w:p w14:paraId="1DCC0DED">
      <w:pPr>
        <w:spacing w:line="360" w:lineRule="auto"/>
        <w:rPr>
          <w:rFonts w:hint="eastAsia" w:ascii="宋体" w:hAnsi="宋体" w:cs="宋体"/>
          <w:bCs/>
          <w:sz w:val="24"/>
        </w:rPr>
      </w:pPr>
    </w:p>
    <w:p w14:paraId="383EEE2D">
      <w:pPr>
        <w:rPr>
          <w:rFonts w:cs="宋体"/>
          <w:sz w:val="28"/>
          <w:szCs w:val="28"/>
        </w:rPr>
      </w:pPr>
      <w:bookmarkStart w:id="239" w:name="_Toc5712"/>
      <w:r>
        <w:rPr>
          <w:rFonts w:hint="eastAsia" w:cs="宋体"/>
          <w:sz w:val="28"/>
          <w:szCs w:val="28"/>
        </w:rPr>
        <w:br w:type="page"/>
      </w:r>
    </w:p>
    <w:p w14:paraId="61440D36">
      <w:pPr>
        <w:pStyle w:val="3"/>
        <w:keepNext w:val="0"/>
        <w:keepLines w:val="0"/>
        <w:spacing w:before="156" w:beforeLines="50" w:after="156" w:afterLines="50"/>
        <w:jc w:val="center"/>
        <w:rPr>
          <w:rFonts w:hint="eastAsia" w:cs="宋体"/>
          <w:sz w:val="28"/>
          <w:szCs w:val="28"/>
        </w:rPr>
      </w:pPr>
      <w:r>
        <w:rPr>
          <w:rFonts w:hint="eastAsia" w:cs="宋体"/>
          <w:sz w:val="28"/>
          <w:szCs w:val="28"/>
        </w:rPr>
        <w:t>八、服务方案</w:t>
      </w:r>
      <w:bookmarkEnd w:id="239"/>
    </w:p>
    <w:p w14:paraId="0ABBBACB">
      <w:pPr>
        <w:pStyle w:val="46"/>
        <w:ind w:firstLine="480"/>
        <w:jc w:val="center"/>
      </w:pPr>
      <w:bookmarkStart w:id="240" w:name="_Toc3881"/>
      <w:r>
        <w:rPr>
          <w:rFonts w:hint="eastAsia"/>
        </w:rPr>
        <w:t>格式自定</w:t>
      </w:r>
      <w:bookmarkEnd w:id="240"/>
    </w:p>
    <w:p w14:paraId="5EF9BFFB">
      <w:pPr>
        <w:rPr>
          <w:rFonts w:hint="eastAsia" w:ascii="宋体" w:hAnsi="宋体" w:cs="宋体"/>
        </w:rPr>
      </w:pPr>
    </w:p>
    <w:p w14:paraId="2E46EFE7">
      <w:pPr>
        <w:pStyle w:val="40"/>
        <w:ind w:left="0" w:firstLine="0"/>
        <w:jc w:val="center"/>
        <w:rPr>
          <w:rFonts w:hint="eastAsia" w:ascii="宋体" w:eastAsia="宋体" w:cs="宋体"/>
          <w:sz w:val="24"/>
          <w:lang w:eastAsia="zh-CN"/>
        </w:rPr>
      </w:pPr>
      <w:r>
        <w:rPr>
          <w:rFonts w:hint="eastAsia" w:cs="宋体"/>
          <w:lang w:eastAsia="zh-CN"/>
        </w:rPr>
        <w:br w:type="page"/>
      </w:r>
      <w:bookmarkStart w:id="241" w:name="_Toc14672"/>
      <w:bookmarkStart w:id="242" w:name="_Toc20950"/>
      <w:r>
        <w:rPr>
          <w:rFonts w:hint="eastAsia" w:ascii="宋体" w:eastAsia="宋体" w:cs="宋体"/>
          <w:sz w:val="32"/>
          <w:lang w:eastAsia="zh-CN"/>
        </w:rPr>
        <w:t>附件1：中小企业声明函（如有）</w:t>
      </w:r>
      <w:bookmarkEnd w:id="241"/>
      <w:bookmarkEnd w:id="242"/>
    </w:p>
    <w:p w14:paraId="726E4416">
      <w:pPr>
        <w:pStyle w:val="46"/>
        <w:ind w:firstLine="482"/>
        <w:jc w:val="center"/>
        <w:rPr>
          <w:b/>
          <w:bCs/>
        </w:rPr>
      </w:pPr>
      <w:bookmarkStart w:id="243" w:name="_Toc15647"/>
      <w:bookmarkStart w:id="244" w:name="_Toc3508"/>
      <w:r>
        <w:rPr>
          <w:b/>
          <w:bCs/>
        </w:rPr>
        <w:t>中小企业声明函</w:t>
      </w:r>
      <w:r>
        <w:rPr>
          <w:rFonts w:hint="eastAsia"/>
          <w:b/>
          <w:bCs/>
        </w:rPr>
        <w:t>（工程、服务）</w:t>
      </w:r>
      <w:bookmarkEnd w:id="243"/>
      <w:bookmarkEnd w:id="244"/>
    </w:p>
    <w:p w14:paraId="0B36F1A9">
      <w:pPr>
        <w:pStyle w:val="46"/>
        <w:ind w:firstLine="0" w:firstLineChars="0"/>
        <w:jc w:val="center"/>
        <w:rPr>
          <w:b/>
          <w:bCs/>
        </w:rPr>
      </w:pPr>
      <w:r>
        <w:rPr>
          <w:rFonts w:hint="eastAsia"/>
          <w:b/>
          <w:bCs/>
        </w:rPr>
        <w:t>中小企业声明函</w:t>
      </w:r>
    </w:p>
    <w:p w14:paraId="55E1A900">
      <w:pPr>
        <w:spacing w:line="360" w:lineRule="auto"/>
        <w:ind w:firstLine="480" w:firstLineChars="200"/>
        <w:rPr>
          <w:sz w:val="24"/>
          <w:szCs w:val="32"/>
        </w:rPr>
      </w:pPr>
      <w:r>
        <w:rPr>
          <w:rFonts w:hint="eastAsia"/>
          <w:sz w:val="24"/>
          <w:szCs w:val="32"/>
        </w:rPr>
        <w:t>本公司（联合体）郑重声明，根据《政府采购促进中小企业发展管理办法》（财库﹝2020﹞46 号）的规定，本公司（联合体）参加</w:t>
      </w:r>
      <w:r>
        <w:rPr>
          <w:rFonts w:hint="eastAsia"/>
          <w:sz w:val="24"/>
          <w:szCs w:val="32"/>
          <w:u w:val="single"/>
        </w:rPr>
        <w:t xml:space="preserve">   （单位名称）</w:t>
      </w:r>
      <w:r>
        <w:rPr>
          <w:rFonts w:hint="eastAsia"/>
          <w:sz w:val="24"/>
          <w:szCs w:val="32"/>
        </w:rPr>
        <w:t>的</w:t>
      </w:r>
      <w:r>
        <w:rPr>
          <w:rFonts w:hint="eastAsia"/>
          <w:sz w:val="24"/>
          <w:szCs w:val="32"/>
          <w:u w:val="single"/>
        </w:rPr>
        <w:t xml:space="preserve">  （项目名称、项目编号及包号）</w:t>
      </w:r>
      <w:r>
        <w:rPr>
          <w:rFonts w:hint="eastAsia"/>
          <w:sz w:val="24"/>
          <w:szCs w:val="32"/>
        </w:rPr>
        <w:t>采购活动，工程的施工单位全部为符合政策要求的中小企业（或者：服务全部由符合政策要求的中小企业承接）。相关企业（含联合体中的中小企业、签订分包意向协议的中小企业）的具体情况如下：</w:t>
      </w:r>
    </w:p>
    <w:p w14:paraId="4D1D3F37">
      <w:pPr>
        <w:spacing w:line="360" w:lineRule="auto"/>
        <w:ind w:firstLine="480" w:firstLineChars="200"/>
        <w:rPr>
          <w:sz w:val="24"/>
          <w:szCs w:val="32"/>
        </w:rPr>
      </w:pPr>
      <w:r>
        <w:rPr>
          <w:rFonts w:hint="eastAsia"/>
          <w:sz w:val="24"/>
          <w:szCs w:val="32"/>
        </w:rPr>
        <w:t>1.</w:t>
      </w:r>
      <w:r>
        <w:rPr>
          <w:rFonts w:hint="eastAsia"/>
          <w:sz w:val="24"/>
          <w:szCs w:val="32"/>
          <w:u w:val="single"/>
        </w:rPr>
        <w:t xml:space="preserve">   （标的名称） </w:t>
      </w:r>
      <w:r>
        <w:rPr>
          <w:rFonts w:hint="eastAsia"/>
          <w:sz w:val="24"/>
          <w:szCs w:val="32"/>
        </w:rPr>
        <w:t>，属于</w:t>
      </w:r>
      <w:r>
        <w:rPr>
          <w:rFonts w:hint="eastAsia"/>
          <w:sz w:val="24"/>
          <w:szCs w:val="32"/>
          <w:u w:val="single"/>
        </w:rPr>
        <w:t>（采购文件中明确的所属行业）</w:t>
      </w:r>
      <w:r>
        <w:rPr>
          <w:rFonts w:hint="eastAsia"/>
          <w:sz w:val="24"/>
          <w:szCs w:val="32"/>
        </w:rPr>
        <w:t>；承建（承接）企业为</w:t>
      </w:r>
      <w:r>
        <w:rPr>
          <w:rFonts w:hint="eastAsia"/>
          <w:sz w:val="24"/>
          <w:szCs w:val="32"/>
          <w:u w:val="single"/>
        </w:rPr>
        <w:t xml:space="preserve">  （企业名称）</w:t>
      </w:r>
      <w:r>
        <w:rPr>
          <w:rFonts w:hint="eastAsia"/>
          <w:sz w:val="24"/>
          <w:szCs w:val="32"/>
        </w:rPr>
        <w:t>，从业人员</w:t>
      </w:r>
      <w:r>
        <w:rPr>
          <w:rFonts w:hint="eastAsia"/>
          <w:sz w:val="24"/>
          <w:szCs w:val="32"/>
          <w:u w:val="single"/>
        </w:rPr>
        <w:t xml:space="preserve">        </w:t>
      </w:r>
      <w:r>
        <w:rPr>
          <w:rFonts w:hint="eastAsia"/>
          <w:sz w:val="24"/>
          <w:szCs w:val="32"/>
        </w:rPr>
        <w:t>人，营业收入为</w:t>
      </w:r>
      <w:r>
        <w:rPr>
          <w:rFonts w:hint="eastAsia"/>
          <w:sz w:val="24"/>
          <w:szCs w:val="32"/>
          <w:u w:val="single"/>
        </w:rPr>
        <w:t xml:space="preserve">     </w:t>
      </w:r>
      <w:r>
        <w:rPr>
          <w:rFonts w:hint="eastAsia"/>
          <w:sz w:val="24"/>
          <w:szCs w:val="32"/>
        </w:rPr>
        <w:t>万元</w:t>
      </w:r>
      <w:r>
        <w:rPr>
          <w:rFonts w:hint="eastAsia"/>
          <w:sz w:val="24"/>
          <w:szCs w:val="32"/>
          <w:vertAlign w:val="superscript"/>
        </w:rPr>
        <w:t>1</w:t>
      </w:r>
      <w:r>
        <w:rPr>
          <w:rFonts w:hint="eastAsia"/>
          <w:sz w:val="24"/>
          <w:szCs w:val="32"/>
        </w:rPr>
        <w:t>，资产总额为</w:t>
      </w:r>
      <w:r>
        <w:rPr>
          <w:rFonts w:hint="eastAsia"/>
          <w:sz w:val="24"/>
          <w:szCs w:val="32"/>
          <w:u w:val="single"/>
        </w:rPr>
        <w:t xml:space="preserve">     </w:t>
      </w:r>
      <w:r>
        <w:rPr>
          <w:rFonts w:hint="eastAsia"/>
          <w:sz w:val="24"/>
          <w:szCs w:val="32"/>
        </w:rPr>
        <w:t>万元</w:t>
      </w:r>
      <w:r>
        <w:rPr>
          <w:rFonts w:hint="eastAsia"/>
          <w:sz w:val="24"/>
          <w:szCs w:val="32"/>
          <w:vertAlign w:val="superscript"/>
        </w:rPr>
        <w:t>1</w:t>
      </w:r>
      <w:r>
        <w:rPr>
          <w:rFonts w:hint="eastAsia"/>
          <w:sz w:val="24"/>
          <w:szCs w:val="32"/>
        </w:rPr>
        <w:t>，属于</w:t>
      </w:r>
      <w:r>
        <w:rPr>
          <w:rFonts w:hint="eastAsia"/>
          <w:sz w:val="24"/>
          <w:szCs w:val="32"/>
          <w:u w:val="single"/>
        </w:rPr>
        <w:t>（中型企业、小型企业、微型企业）</w:t>
      </w:r>
      <w:r>
        <w:rPr>
          <w:rFonts w:hint="eastAsia"/>
          <w:sz w:val="24"/>
          <w:szCs w:val="32"/>
        </w:rPr>
        <w:t>；</w:t>
      </w:r>
    </w:p>
    <w:p w14:paraId="760EEF21">
      <w:pPr>
        <w:spacing w:line="360" w:lineRule="auto"/>
        <w:ind w:firstLine="480" w:firstLineChars="200"/>
        <w:rPr>
          <w:sz w:val="24"/>
          <w:szCs w:val="32"/>
        </w:rPr>
      </w:pPr>
      <w:r>
        <w:rPr>
          <w:rFonts w:hint="eastAsia"/>
          <w:sz w:val="24"/>
          <w:szCs w:val="32"/>
        </w:rPr>
        <w:t xml:space="preserve">2. </w:t>
      </w:r>
      <w:r>
        <w:rPr>
          <w:rFonts w:hint="eastAsia"/>
          <w:sz w:val="24"/>
          <w:szCs w:val="32"/>
          <w:u w:val="single"/>
        </w:rPr>
        <w:t xml:space="preserve">  （标的名称） </w:t>
      </w:r>
      <w:r>
        <w:rPr>
          <w:rFonts w:hint="eastAsia"/>
          <w:sz w:val="24"/>
          <w:szCs w:val="32"/>
        </w:rPr>
        <w:t>，属于</w:t>
      </w:r>
      <w:r>
        <w:rPr>
          <w:rFonts w:hint="eastAsia"/>
          <w:sz w:val="24"/>
          <w:szCs w:val="32"/>
          <w:u w:val="single"/>
        </w:rPr>
        <w:t>（采购文件中明确的所属行业）</w:t>
      </w:r>
      <w:r>
        <w:rPr>
          <w:rFonts w:hint="eastAsia"/>
          <w:sz w:val="24"/>
          <w:szCs w:val="32"/>
        </w:rPr>
        <w:t>；承建（承接）企业为</w:t>
      </w:r>
      <w:r>
        <w:rPr>
          <w:rFonts w:hint="eastAsia"/>
          <w:sz w:val="24"/>
          <w:szCs w:val="32"/>
          <w:u w:val="single"/>
        </w:rPr>
        <w:t xml:space="preserve">  （企业名称）</w:t>
      </w:r>
      <w:r>
        <w:rPr>
          <w:rFonts w:hint="eastAsia"/>
          <w:sz w:val="24"/>
          <w:szCs w:val="32"/>
        </w:rPr>
        <w:t>，从业人员</w:t>
      </w:r>
      <w:r>
        <w:rPr>
          <w:rFonts w:hint="eastAsia"/>
          <w:sz w:val="24"/>
          <w:szCs w:val="32"/>
          <w:u w:val="single"/>
        </w:rPr>
        <w:t xml:space="preserve">        </w:t>
      </w:r>
      <w:r>
        <w:rPr>
          <w:rFonts w:hint="eastAsia"/>
          <w:sz w:val="24"/>
          <w:szCs w:val="32"/>
        </w:rPr>
        <w:t>人，营业收入为</w:t>
      </w:r>
      <w:r>
        <w:rPr>
          <w:rFonts w:hint="eastAsia"/>
          <w:sz w:val="24"/>
          <w:szCs w:val="32"/>
          <w:u w:val="single"/>
        </w:rPr>
        <w:t xml:space="preserve">     </w:t>
      </w:r>
      <w:r>
        <w:rPr>
          <w:rFonts w:hint="eastAsia"/>
          <w:sz w:val="24"/>
          <w:szCs w:val="32"/>
        </w:rPr>
        <w:t>万元</w:t>
      </w:r>
      <w:r>
        <w:rPr>
          <w:rFonts w:hint="eastAsia"/>
          <w:sz w:val="24"/>
          <w:szCs w:val="32"/>
          <w:vertAlign w:val="superscript"/>
        </w:rPr>
        <w:t>1</w:t>
      </w:r>
      <w:r>
        <w:rPr>
          <w:rFonts w:hint="eastAsia"/>
          <w:sz w:val="24"/>
          <w:szCs w:val="32"/>
        </w:rPr>
        <w:t>，资产总额为</w:t>
      </w:r>
      <w:r>
        <w:rPr>
          <w:rFonts w:hint="eastAsia"/>
          <w:sz w:val="24"/>
          <w:szCs w:val="32"/>
          <w:u w:val="single"/>
        </w:rPr>
        <w:t xml:space="preserve">     </w:t>
      </w:r>
      <w:r>
        <w:rPr>
          <w:rFonts w:hint="eastAsia"/>
          <w:sz w:val="24"/>
          <w:szCs w:val="32"/>
        </w:rPr>
        <w:t>万元，属于</w:t>
      </w:r>
      <w:r>
        <w:rPr>
          <w:rFonts w:hint="eastAsia"/>
          <w:sz w:val="24"/>
          <w:szCs w:val="32"/>
          <w:u w:val="single"/>
        </w:rPr>
        <w:t>（中型企业、小型企业、微型企业）</w:t>
      </w:r>
      <w:r>
        <w:rPr>
          <w:rFonts w:hint="eastAsia"/>
          <w:sz w:val="24"/>
          <w:szCs w:val="32"/>
        </w:rPr>
        <w:t>；</w:t>
      </w:r>
    </w:p>
    <w:p w14:paraId="35F8B023">
      <w:pPr>
        <w:spacing w:line="360" w:lineRule="auto"/>
        <w:ind w:firstLine="480" w:firstLineChars="200"/>
        <w:rPr>
          <w:sz w:val="24"/>
          <w:szCs w:val="32"/>
        </w:rPr>
      </w:pPr>
      <w:r>
        <w:rPr>
          <w:rFonts w:hint="eastAsia"/>
          <w:sz w:val="24"/>
          <w:szCs w:val="32"/>
        </w:rPr>
        <w:t>……</w:t>
      </w:r>
    </w:p>
    <w:p w14:paraId="2089FEF7">
      <w:pPr>
        <w:spacing w:line="360" w:lineRule="auto"/>
        <w:ind w:firstLine="480" w:firstLineChars="200"/>
        <w:rPr>
          <w:sz w:val="24"/>
          <w:szCs w:val="32"/>
        </w:rPr>
      </w:pPr>
      <w:r>
        <w:rPr>
          <w:rFonts w:hint="eastAsia"/>
          <w:sz w:val="24"/>
          <w:szCs w:val="32"/>
        </w:rPr>
        <w:t>以上企业，不属于大企业的分支机构，不存在控股股东为大企业的情形，也不存在与大企业的负责人为同一人的情形。</w:t>
      </w:r>
    </w:p>
    <w:p w14:paraId="690711CF">
      <w:pPr>
        <w:spacing w:line="360" w:lineRule="auto"/>
        <w:ind w:firstLine="480" w:firstLineChars="200"/>
        <w:rPr>
          <w:szCs w:val="21"/>
        </w:rPr>
      </w:pPr>
      <w:r>
        <w:rPr>
          <w:rFonts w:hint="eastAsia"/>
          <w:sz w:val="24"/>
          <w:szCs w:val="32"/>
        </w:rPr>
        <w:t>本企业对上述声明内容的真实性负责。如有虚假，将依法承担相应责任。</w:t>
      </w:r>
    </w:p>
    <w:p w14:paraId="4F43285C">
      <w:pPr>
        <w:spacing w:before="156" w:beforeLines="50" w:line="360" w:lineRule="auto"/>
        <w:ind w:firstLine="420" w:firstLineChars="200"/>
        <w:rPr>
          <w:szCs w:val="21"/>
        </w:rPr>
      </w:pPr>
      <w:r>
        <w:rPr>
          <w:szCs w:val="21"/>
        </w:rPr>
        <w:t>企业名称（盖章）：</w:t>
      </w:r>
    </w:p>
    <w:p w14:paraId="5E703C6B">
      <w:pPr>
        <w:spacing w:before="156" w:beforeLines="50" w:line="360" w:lineRule="auto"/>
        <w:ind w:firstLine="420" w:firstLineChars="200"/>
        <w:rPr>
          <w:sz w:val="15"/>
          <w:szCs w:val="18"/>
          <w:vertAlign w:val="superscript"/>
        </w:rPr>
      </w:pPr>
      <w:r>
        <w:rPr>
          <w:szCs w:val="21"/>
        </w:rPr>
        <w:t>日   期：</w:t>
      </w:r>
      <w:r>
        <w:rPr>
          <w:rFonts w:hint="eastAsia"/>
          <w:szCs w:val="21"/>
        </w:rPr>
        <w:t xml:space="preserve">   </w:t>
      </w:r>
      <w:r>
        <w:rPr>
          <w:szCs w:val="21"/>
        </w:rPr>
        <w:t>年   月   日</w:t>
      </w:r>
    </w:p>
    <w:p w14:paraId="12CABD66">
      <w:pPr>
        <w:spacing w:line="360" w:lineRule="auto"/>
        <w:ind w:firstLine="480" w:firstLineChars="200"/>
        <w:rPr>
          <w:sz w:val="24"/>
          <w:szCs w:val="32"/>
        </w:rPr>
      </w:pPr>
    </w:p>
    <w:p w14:paraId="06D0B472">
      <w:pPr>
        <w:spacing w:line="360" w:lineRule="auto"/>
        <w:ind w:firstLine="480" w:firstLineChars="200"/>
        <w:rPr>
          <w:sz w:val="24"/>
          <w:szCs w:val="32"/>
        </w:rPr>
      </w:pPr>
    </w:p>
    <w:p w14:paraId="0FA72A58">
      <w:pPr>
        <w:spacing w:line="360" w:lineRule="auto"/>
        <w:ind w:firstLine="480" w:firstLineChars="200"/>
        <w:rPr>
          <w:sz w:val="24"/>
          <w:szCs w:val="32"/>
        </w:rPr>
      </w:pPr>
    </w:p>
    <w:p w14:paraId="1B103CE6">
      <w:pPr>
        <w:spacing w:line="360" w:lineRule="auto"/>
        <w:ind w:firstLine="480" w:firstLineChars="200"/>
        <w:rPr>
          <w:sz w:val="24"/>
          <w:szCs w:val="32"/>
        </w:rPr>
      </w:pPr>
      <w:r>
        <w:rPr>
          <w:rFonts w:hint="eastAsia"/>
          <w:sz w:val="24"/>
          <w:szCs w:val="32"/>
        </w:rPr>
        <w:t>1 从业人员、营业收入、资产总额填报上一年度数据，无上一年度数据的新成立企业可不填报。</w:t>
      </w:r>
    </w:p>
    <w:p w14:paraId="58FD0F9B">
      <w:pPr>
        <w:spacing w:line="360" w:lineRule="auto"/>
        <w:ind w:firstLine="480" w:firstLineChars="200"/>
        <w:rPr>
          <w:rFonts w:hint="eastAsia" w:ascii="宋体" w:hAnsi="宋体" w:cs="宋体"/>
          <w:sz w:val="24"/>
        </w:rPr>
      </w:pPr>
    </w:p>
    <w:p w14:paraId="7F4C9528">
      <w:pPr>
        <w:pStyle w:val="40"/>
        <w:jc w:val="center"/>
        <w:rPr>
          <w:rFonts w:hint="eastAsia" w:ascii="宋体" w:eastAsia="宋体" w:cs="宋体"/>
          <w:sz w:val="32"/>
          <w:lang w:eastAsia="zh-CN"/>
        </w:rPr>
      </w:pPr>
      <w:bookmarkStart w:id="245" w:name="_Toc19807"/>
      <w:bookmarkStart w:id="246" w:name="_Toc524938917"/>
      <w:r>
        <w:rPr>
          <w:rFonts w:hint="eastAsia" w:ascii="宋体" w:eastAsia="宋体" w:cs="宋体"/>
          <w:lang w:eastAsia="zh-CN"/>
        </w:rPr>
        <w:br w:type="page"/>
      </w:r>
      <w:bookmarkStart w:id="247" w:name="_Toc38219035"/>
      <w:bookmarkStart w:id="248" w:name="_Toc6898"/>
      <w:bookmarkStart w:id="249" w:name="_Toc39873592"/>
      <w:bookmarkStart w:id="250" w:name="_Toc29776"/>
      <w:bookmarkStart w:id="251" w:name="_Toc18031"/>
      <w:r>
        <w:rPr>
          <w:rFonts w:hint="eastAsia" w:ascii="宋体" w:eastAsia="宋体" w:cs="宋体"/>
          <w:sz w:val="32"/>
          <w:lang w:eastAsia="zh-CN"/>
        </w:rPr>
        <w:t>附件2：监狱企业证明（如有）</w:t>
      </w:r>
      <w:bookmarkEnd w:id="245"/>
      <w:bookmarkEnd w:id="246"/>
      <w:bookmarkEnd w:id="247"/>
      <w:bookmarkEnd w:id="248"/>
      <w:bookmarkEnd w:id="249"/>
      <w:bookmarkEnd w:id="250"/>
      <w:bookmarkEnd w:id="251"/>
    </w:p>
    <w:p w14:paraId="3803164B">
      <w:pPr>
        <w:pStyle w:val="46"/>
        <w:ind w:firstLine="482"/>
        <w:jc w:val="center"/>
        <w:rPr>
          <w:b/>
          <w:bCs/>
        </w:rPr>
      </w:pPr>
      <w:r>
        <w:rPr>
          <w:rFonts w:hint="eastAsia"/>
          <w:b/>
          <w:bCs/>
        </w:rPr>
        <w:t>监狱企业证明</w:t>
      </w:r>
    </w:p>
    <w:p w14:paraId="697B1156">
      <w:pPr>
        <w:pStyle w:val="12"/>
        <w:snapToGrid w:val="0"/>
        <w:spacing w:before="156" w:beforeLines="50" w:line="360" w:lineRule="auto"/>
        <w:rPr>
          <w:rFonts w:hint="eastAsia" w:hAnsi="宋体" w:cs="宋体"/>
          <w:sz w:val="24"/>
        </w:rPr>
      </w:pPr>
    </w:p>
    <w:p w14:paraId="31550522">
      <w:pPr>
        <w:spacing w:line="360" w:lineRule="auto"/>
        <w:ind w:firstLine="480" w:firstLineChars="200"/>
        <w:rPr>
          <w:rFonts w:hint="eastAsia" w:ascii="宋体" w:hAnsi="宋体" w:cs="宋体"/>
          <w:sz w:val="24"/>
        </w:rPr>
      </w:pPr>
      <w:r>
        <w:rPr>
          <w:rFonts w:hint="eastAsia" w:ascii="宋体" w:hAnsi="宋体" w:cs="宋体"/>
          <w:sz w:val="24"/>
        </w:rPr>
        <w:t>省级以上监狱管理局、戒毒管理局（含新疆生产建设兵团）出具的属于监狱企业的证明文件。</w:t>
      </w:r>
    </w:p>
    <w:p w14:paraId="25B2AA9E">
      <w:pPr>
        <w:spacing w:line="360" w:lineRule="auto"/>
        <w:rPr>
          <w:rFonts w:hint="eastAsia" w:ascii="宋体" w:hAnsi="宋体" w:cs="宋体"/>
          <w:sz w:val="24"/>
        </w:rPr>
      </w:pPr>
    </w:p>
    <w:p w14:paraId="52482AE4">
      <w:pPr>
        <w:spacing w:line="360" w:lineRule="auto"/>
        <w:rPr>
          <w:rFonts w:hint="eastAsia" w:ascii="宋体" w:hAnsi="宋体" w:cs="宋体"/>
          <w:sz w:val="28"/>
        </w:rPr>
      </w:pPr>
    </w:p>
    <w:p w14:paraId="35A24F36">
      <w:pPr>
        <w:rPr>
          <w:rFonts w:ascii="宋体" w:cs="宋体"/>
          <w:sz w:val="32"/>
        </w:rPr>
      </w:pPr>
      <w:bookmarkStart w:id="252" w:name="_Toc11586_WPSOffice_Level1"/>
      <w:bookmarkStart w:id="253" w:name="_Toc8475_WPSOffice_Level2"/>
      <w:bookmarkStart w:id="254" w:name="_Toc6245"/>
      <w:bookmarkStart w:id="255" w:name="_Toc5545_WPSOffice_Level1"/>
      <w:bookmarkStart w:id="256" w:name="_Toc21061_WPSOffice_Level1"/>
      <w:bookmarkStart w:id="257" w:name="_Toc12099"/>
      <w:bookmarkStart w:id="258" w:name="_Toc38219036"/>
      <w:bookmarkStart w:id="259" w:name="_Toc634"/>
      <w:bookmarkStart w:id="260" w:name="_Toc20967"/>
      <w:bookmarkStart w:id="261" w:name="_Toc39873593"/>
      <w:bookmarkStart w:id="262" w:name="_Toc22767"/>
      <w:bookmarkStart w:id="263" w:name="_Toc524938918"/>
      <w:bookmarkStart w:id="264" w:name="_Toc13860"/>
      <w:r>
        <w:rPr>
          <w:rFonts w:hint="eastAsia" w:ascii="宋体" w:cs="宋体"/>
          <w:sz w:val="32"/>
        </w:rPr>
        <w:br w:type="page"/>
      </w:r>
    </w:p>
    <w:p w14:paraId="2EC5910D">
      <w:pPr>
        <w:pStyle w:val="40"/>
        <w:jc w:val="center"/>
        <w:rPr>
          <w:rFonts w:hint="eastAsia" w:ascii="宋体" w:eastAsia="宋体" w:cs="宋体"/>
          <w:sz w:val="32"/>
          <w:lang w:eastAsia="zh-CN"/>
        </w:rPr>
      </w:pPr>
      <w:r>
        <w:rPr>
          <w:rFonts w:hint="eastAsia" w:ascii="宋体" w:eastAsia="宋体" w:cs="宋体"/>
          <w:sz w:val="32"/>
          <w:lang w:eastAsia="zh-CN"/>
        </w:rPr>
        <w:t>附件3：残疾人福利性单位声</w:t>
      </w:r>
      <w:bookmarkEnd w:id="252"/>
      <w:r>
        <w:rPr>
          <w:rFonts w:hint="eastAsia" w:ascii="宋体" w:eastAsia="宋体" w:cs="宋体"/>
          <w:sz w:val="32"/>
          <w:lang w:eastAsia="zh-CN"/>
        </w:rPr>
        <w:t>明函</w:t>
      </w:r>
      <w:bookmarkEnd w:id="253"/>
      <w:bookmarkEnd w:id="254"/>
      <w:bookmarkEnd w:id="255"/>
      <w:bookmarkEnd w:id="256"/>
      <w:bookmarkEnd w:id="257"/>
      <w:r>
        <w:rPr>
          <w:rFonts w:hint="eastAsia" w:ascii="宋体" w:eastAsia="宋体" w:cs="宋体"/>
          <w:sz w:val="32"/>
          <w:lang w:eastAsia="zh-CN"/>
        </w:rPr>
        <w:t>（如有）</w:t>
      </w:r>
      <w:bookmarkEnd w:id="258"/>
      <w:bookmarkEnd w:id="259"/>
      <w:bookmarkEnd w:id="260"/>
      <w:bookmarkEnd w:id="261"/>
      <w:bookmarkEnd w:id="262"/>
      <w:bookmarkEnd w:id="263"/>
      <w:bookmarkEnd w:id="264"/>
    </w:p>
    <w:p w14:paraId="6C5A6FAB">
      <w:pPr>
        <w:pStyle w:val="46"/>
        <w:ind w:firstLine="482"/>
        <w:jc w:val="center"/>
        <w:rPr>
          <w:b/>
          <w:bCs/>
        </w:rPr>
      </w:pPr>
      <w:r>
        <w:rPr>
          <w:rFonts w:hint="eastAsia"/>
          <w:b/>
          <w:bCs/>
        </w:rPr>
        <w:t>残疾人福利性单位声明函</w:t>
      </w:r>
    </w:p>
    <w:p w14:paraId="647AEC0E">
      <w:pPr>
        <w:spacing w:line="360" w:lineRule="auto"/>
        <w:rPr>
          <w:rFonts w:hint="eastAsia" w:ascii="宋体" w:hAnsi="宋体" w:cs="宋体"/>
          <w:sz w:val="24"/>
        </w:rPr>
      </w:pPr>
    </w:p>
    <w:p w14:paraId="5ABEB584">
      <w:pPr>
        <w:spacing w:line="360" w:lineRule="auto"/>
        <w:ind w:firstLine="480" w:firstLineChars="200"/>
        <w:rPr>
          <w:rFonts w:hint="eastAsia" w:ascii="宋体" w:hAnsi="宋体" w:cs="宋体"/>
          <w:sz w:val="24"/>
        </w:rPr>
      </w:pPr>
      <w:r>
        <w:rPr>
          <w:rFonts w:hint="eastAsia" w:ascii="宋体" w:hAnsi="宋体" w:cs="宋体"/>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468063">
      <w:pPr>
        <w:spacing w:line="360" w:lineRule="auto"/>
        <w:rPr>
          <w:rFonts w:hint="eastAsia" w:ascii="宋体" w:hAnsi="宋体" w:cs="宋体"/>
          <w:sz w:val="24"/>
        </w:rPr>
      </w:pPr>
    </w:p>
    <w:p w14:paraId="68B84455">
      <w:pPr>
        <w:spacing w:line="360" w:lineRule="auto"/>
        <w:rPr>
          <w:rFonts w:hint="eastAsia" w:ascii="宋体" w:hAnsi="宋体" w:cs="宋体"/>
          <w:sz w:val="24"/>
        </w:rPr>
      </w:pPr>
      <w:r>
        <w:rPr>
          <w:rFonts w:hint="eastAsia" w:ascii="宋体" w:hAnsi="宋体" w:cs="宋体"/>
          <w:sz w:val="24"/>
        </w:rPr>
        <w:t>本单位对上述声明的真实性负责。如有虚假，将依法承担相应责任。</w:t>
      </w:r>
    </w:p>
    <w:p w14:paraId="00226014">
      <w:pPr>
        <w:spacing w:line="360" w:lineRule="auto"/>
        <w:rPr>
          <w:rFonts w:hint="eastAsia" w:ascii="宋体" w:hAnsi="宋体" w:cs="宋体"/>
          <w:sz w:val="24"/>
        </w:rPr>
      </w:pPr>
    </w:p>
    <w:p w14:paraId="41CC81A8">
      <w:pPr>
        <w:spacing w:line="360" w:lineRule="auto"/>
        <w:rPr>
          <w:rFonts w:hint="eastAsia" w:ascii="宋体" w:hAnsi="宋体" w:cs="宋体"/>
          <w:sz w:val="24"/>
        </w:rPr>
      </w:pPr>
    </w:p>
    <w:p w14:paraId="5D96F22E">
      <w:pPr>
        <w:spacing w:line="360" w:lineRule="auto"/>
        <w:ind w:firstLine="480" w:firstLineChars="200"/>
        <w:rPr>
          <w:rFonts w:hint="eastAsia" w:ascii="宋体" w:hAnsi="宋体" w:cs="宋体"/>
          <w:sz w:val="24"/>
        </w:rPr>
      </w:pPr>
    </w:p>
    <w:p w14:paraId="02D5C95F">
      <w:pPr>
        <w:spacing w:line="360" w:lineRule="auto"/>
        <w:ind w:firstLine="480" w:firstLineChars="200"/>
        <w:rPr>
          <w:rFonts w:hint="eastAsia" w:ascii="宋体" w:hAnsi="宋体" w:cs="宋体"/>
          <w:sz w:val="24"/>
        </w:rPr>
      </w:pPr>
      <w:r>
        <w:rPr>
          <w:rFonts w:hint="eastAsia" w:ascii="宋体" w:hAnsi="宋体" w:cs="宋体"/>
          <w:sz w:val="24"/>
        </w:rPr>
        <w:t>单位名称（盖章）：</w:t>
      </w:r>
    </w:p>
    <w:p w14:paraId="5E9B0240">
      <w:pPr>
        <w:spacing w:line="360" w:lineRule="auto"/>
        <w:ind w:firstLine="480" w:firstLineChars="200"/>
        <w:rPr>
          <w:rFonts w:hint="eastAsia" w:ascii="宋体" w:hAnsi="宋体" w:cs="宋体"/>
          <w:sz w:val="24"/>
        </w:rPr>
      </w:pPr>
      <w:r>
        <w:rPr>
          <w:rFonts w:hint="eastAsia" w:ascii="宋体" w:hAnsi="宋体" w:cs="宋体"/>
          <w:sz w:val="24"/>
        </w:rPr>
        <w:t>日期：</w:t>
      </w:r>
    </w:p>
    <w:p w14:paraId="7BB228B1">
      <w:pPr>
        <w:spacing w:line="360" w:lineRule="auto"/>
        <w:rPr>
          <w:rFonts w:hint="eastAsia" w:ascii="宋体" w:hAnsi="宋体" w:cs="宋体"/>
          <w:sz w:val="24"/>
        </w:rPr>
      </w:pPr>
      <w:r>
        <w:rPr>
          <w:rFonts w:hint="eastAsia" w:ascii="宋体" w:hAnsi="宋体" w:cs="宋体"/>
          <w:sz w:val="24"/>
        </w:rPr>
        <w:t>注：</w:t>
      </w:r>
    </w:p>
    <w:p w14:paraId="7CCFFE2A">
      <w:pPr>
        <w:spacing w:line="360" w:lineRule="auto"/>
        <w:rPr>
          <w:rFonts w:hint="eastAsia" w:ascii="宋体" w:hAnsi="宋体" w:cs="宋体"/>
          <w:sz w:val="24"/>
        </w:rPr>
      </w:pPr>
      <w:r>
        <w:rPr>
          <w:rFonts w:hint="eastAsia" w:ascii="宋体" w:hAnsi="宋体" w:cs="宋体"/>
          <w:sz w:val="24"/>
        </w:rPr>
        <w:t>1、残疾人福利性单位视同小型、微型企业，享受预留份额、评审中价格扣除等促进中小企业发展的政府采购政策。残疾人福利性单位属于小型、微型企业的，不重复享受政策。</w:t>
      </w:r>
    </w:p>
    <w:p w14:paraId="525698CD">
      <w:pPr>
        <w:spacing w:line="432" w:lineRule="auto"/>
        <w:ind w:right="600"/>
        <w:rPr>
          <w:rFonts w:hint="eastAsia" w:ascii="宋体" w:hAnsi="宋体" w:cs="宋体"/>
          <w:sz w:val="24"/>
        </w:rPr>
      </w:pPr>
      <w:r>
        <w:rPr>
          <w:rFonts w:hint="eastAsia" w:ascii="宋体" w:hAnsi="宋体" w:cs="宋体"/>
          <w:sz w:val="24"/>
        </w:rPr>
        <w:t>2、供应商为非残疾人福利性单位的，可不提供此声明。</w:t>
      </w:r>
    </w:p>
    <w:p w14:paraId="5F30E0F0">
      <w:pPr>
        <w:rPr>
          <w:rFonts w:hint="eastAsia" w:ascii="宋体" w:hAnsi="宋体" w:cs="宋体"/>
          <w:sz w:val="24"/>
        </w:rPr>
      </w:pPr>
      <w:r>
        <w:rPr>
          <w:rFonts w:hint="eastAsia" w:ascii="宋体" w:hAnsi="宋体" w:cs="宋体"/>
          <w:sz w:val="24"/>
        </w:rPr>
        <w:br w:type="page"/>
      </w:r>
    </w:p>
    <w:p w14:paraId="713249AD">
      <w:pPr>
        <w:pStyle w:val="3"/>
        <w:jc w:val="center"/>
        <w:rPr>
          <w:rFonts w:hint="eastAsia"/>
        </w:rPr>
      </w:pPr>
      <w:bookmarkStart w:id="265" w:name="_Toc13381"/>
      <w:bookmarkStart w:id="266" w:name="_Toc11081_WPSOffice_Level1"/>
      <w:bookmarkStart w:id="267" w:name="_Toc32173"/>
      <w:r>
        <w:rPr>
          <w:rFonts w:hint="eastAsia"/>
        </w:rPr>
        <w:t>报价函</w:t>
      </w:r>
      <w:bookmarkEnd w:id="265"/>
      <w:bookmarkEnd w:id="266"/>
      <w:bookmarkEnd w:id="267"/>
    </w:p>
    <w:p w14:paraId="314160AB">
      <w:pPr>
        <w:spacing w:line="360" w:lineRule="auto"/>
        <w:ind w:firstLine="355"/>
        <w:jc w:val="center"/>
        <w:rPr>
          <w:rFonts w:hint="eastAsia" w:ascii="宋体" w:hAnsi="宋体" w:cs="宋体"/>
          <w:b/>
          <w:sz w:val="24"/>
        </w:rPr>
      </w:pPr>
      <w:r>
        <w:rPr>
          <w:rFonts w:hint="eastAsia" w:ascii="宋体" w:hAnsi="宋体" w:cs="宋体"/>
          <w:b/>
          <w:sz w:val="24"/>
        </w:rPr>
        <w:t>二次报价一览表（最终报价）</w:t>
      </w:r>
    </w:p>
    <w:p w14:paraId="34264C79">
      <w:pPr>
        <w:widowControl/>
        <w:spacing w:line="500" w:lineRule="exact"/>
        <w:ind w:firstLine="482" w:firstLineChars="200"/>
        <w:rPr>
          <w:b/>
          <w:sz w:val="24"/>
        </w:rPr>
      </w:pPr>
      <w:r>
        <w:rPr>
          <w:rFonts w:hint="eastAsia"/>
          <w:b/>
          <w:sz w:val="24"/>
        </w:rPr>
        <w:t>项目名称：</w:t>
      </w:r>
    </w:p>
    <w:p w14:paraId="3C509B51">
      <w:pPr>
        <w:widowControl/>
        <w:spacing w:line="500" w:lineRule="exact"/>
        <w:ind w:firstLine="482" w:firstLineChars="200"/>
        <w:rPr>
          <w:b/>
          <w:sz w:val="24"/>
        </w:rPr>
      </w:pPr>
      <w:bookmarkStart w:id="268" w:name="_Toc5548_WPSOffice_Level2"/>
      <w:r>
        <w:rPr>
          <w:rFonts w:hint="eastAsia"/>
          <w:b/>
          <w:sz w:val="24"/>
        </w:rPr>
        <w:t>项目编号：</w:t>
      </w:r>
      <w:bookmarkEnd w:id="268"/>
    </w:p>
    <w:p w14:paraId="7B6358B3">
      <w:pPr>
        <w:widowControl/>
        <w:spacing w:line="500" w:lineRule="exact"/>
        <w:ind w:firstLine="482" w:firstLineChars="200"/>
        <w:rPr>
          <w:rFonts w:hint="eastAsia" w:ascii="宋体" w:hAnsi="宋体" w:cs="宋体"/>
          <w:b/>
          <w:sz w:val="24"/>
        </w:rPr>
      </w:pPr>
      <w:r>
        <w:rPr>
          <w:rFonts w:hint="eastAsia"/>
          <w:b/>
          <w:sz w:val="24"/>
        </w:rPr>
        <w:t>采 购 人：</w:t>
      </w:r>
    </w:p>
    <w:p w14:paraId="2D4EC8E9">
      <w:pPr>
        <w:widowControl/>
        <w:spacing w:line="360" w:lineRule="auto"/>
        <w:ind w:firstLine="241" w:firstLineChars="100"/>
        <w:rPr>
          <w:lang w:val="en-GB"/>
        </w:rPr>
      </w:pPr>
      <w:r>
        <w:rPr>
          <w:rFonts w:hint="eastAsia" w:ascii="宋体" w:hAnsi="宋体"/>
          <w:b/>
          <w:sz w:val="24"/>
        </w:rPr>
        <w:t>1、最终报价为：</w:t>
      </w:r>
    </w:p>
    <w:tbl>
      <w:tblPr>
        <w:tblStyle w:val="2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81"/>
      </w:tblGrid>
      <w:tr w14:paraId="26E0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427E4C1D">
            <w:pPr>
              <w:spacing w:line="440" w:lineRule="exact"/>
              <w:jc w:val="center"/>
              <w:rPr>
                <w:rFonts w:hint="eastAsia" w:ascii="宋体" w:hAnsi="宋体" w:cs="宋体"/>
                <w:b/>
                <w:bCs/>
                <w:szCs w:val="21"/>
                <w:lang w:val="en-GB"/>
              </w:rPr>
            </w:pPr>
            <w:bookmarkStart w:id="269" w:name="_Toc8515_WPSOffice_Level1"/>
            <w:r>
              <w:rPr>
                <w:rFonts w:hint="eastAsia" w:ascii="宋体" w:hAnsi="宋体" w:cs="宋体"/>
                <w:b/>
                <w:bCs/>
                <w:szCs w:val="21"/>
                <w:lang w:val="en-GB"/>
              </w:rPr>
              <w:t>项目名称</w:t>
            </w:r>
          </w:p>
        </w:tc>
        <w:tc>
          <w:tcPr>
            <w:tcW w:w="7081" w:type="dxa"/>
          </w:tcPr>
          <w:p w14:paraId="023ADA97">
            <w:pPr>
              <w:spacing w:before="156" w:beforeLines="50" w:after="156" w:afterLines="50" w:line="440" w:lineRule="exact"/>
              <w:jc w:val="center"/>
              <w:rPr>
                <w:rFonts w:hint="eastAsia" w:ascii="宋体" w:hAnsi="宋体" w:cs="宋体"/>
                <w:b/>
                <w:bCs/>
                <w:szCs w:val="21"/>
                <w:lang w:val="en-GB"/>
              </w:rPr>
            </w:pPr>
          </w:p>
        </w:tc>
      </w:tr>
      <w:tr w14:paraId="533B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0D2E26F">
            <w:pPr>
              <w:spacing w:line="440" w:lineRule="exact"/>
              <w:jc w:val="center"/>
              <w:rPr>
                <w:rFonts w:hint="eastAsia" w:ascii="宋体" w:hAnsi="宋体" w:cs="宋体"/>
                <w:b/>
                <w:bCs/>
                <w:szCs w:val="21"/>
              </w:rPr>
            </w:pPr>
            <w:r>
              <w:rPr>
                <w:rFonts w:hint="eastAsia" w:ascii="宋体" w:hAnsi="宋体" w:cs="宋体"/>
                <w:b/>
                <w:bCs/>
                <w:szCs w:val="21"/>
              </w:rPr>
              <w:t>项目编号</w:t>
            </w:r>
          </w:p>
        </w:tc>
        <w:tc>
          <w:tcPr>
            <w:tcW w:w="7081" w:type="dxa"/>
          </w:tcPr>
          <w:p w14:paraId="05456B88">
            <w:pPr>
              <w:spacing w:before="156" w:beforeLines="50" w:after="156" w:afterLines="50" w:line="440" w:lineRule="exact"/>
              <w:jc w:val="center"/>
              <w:rPr>
                <w:rFonts w:hint="eastAsia" w:ascii="宋体" w:hAnsi="宋体" w:cs="宋体"/>
                <w:b/>
                <w:bCs/>
                <w:szCs w:val="21"/>
                <w:lang w:val="en-GB"/>
              </w:rPr>
            </w:pPr>
          </w:p>
        </w:tc>
      </w:tr>
      <w:tr w14:paraId="2850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A291A11">
            <w:pPr>
              <w:spacing w:before="312" w:beforeLines="100" w:after="312" w:afterLines="100" w:line="440" w:lineRule="exact"/>
              <w:jc w:val="center"/>
              <w:rPr>
                <w:rFonts w:hint="eastAsia" w:ascii="宋体" w:hAnsi="宋体" w:cs="宋体"/>
                <w:b/>
                <w:bCs/>
                <w:szCs w:val="21"/>
                <w:lang w:val="en-GB"/>
              </w:rPr>
            </w:pPr>
            <w:r>
              <w:rPr>
                <w:rFonts w:hint="eastAsia" w:ascii="宋体" w:hAnsi="宋体" w:cs="宋体"/>
                <w:b/>
                <w:bCs/>
                <w:szCs w:val="21"/>
                <w:lang w:val="en-GB"/>
              </w:rPr>
              <w:t>投标报价总计</w:t>
            </w:r>
          </w:p>
        </w:tc>
        <w:tc>
          <w:tcPr>
            <w:tcW w:w="7081" w:type="dxa"/>
          </w:tcPr>
          <w:p w14:paraId="35D9B70C">
            <w:pPr>
              <w:spacing w:before="312" w:beforeLines="100" w:after="312" w:afterLines="100" w:line="440" w:lineRule="exact"/>
              <w:rPr>
                <w:rFonts w:hint="eastAsia" w:ascii="宋体" w:hAnsi="宋体" w:cs="宋体"/>
                <w:szCs w:val="21"/>
                <w:u w:val="single"/>
                <w:lang w:val="en-GB"/>
              </w:rPr>
            </w:pPr>
            <w:r>
              <w:rPr>
                <w:rFonts w:hint="eastAsia" w:ascii="宋体" w:hAnsi="宋体" w:cs="宋体"/>
                <w:szCs w:val="21"/>
                <w:lang w:val="en-GB"/>
              </w:rPr>
              <w:t>（小写）：</w:t>
            </w:r>
          </w:p>
          <w:p w14:paraId="7C501C06">
            <w:pPr>
              <w:spacing w:before="312" w:beforeLines="100" w:after="312" w:afterLines="100" w:line="440" w:lineRule="exact"/>
              <w:rPr>
                <w:rFonts w:hint="eastAsia" w:ascii="宋体" w:hAnsi="宋体" w:cs="宋体"/>
                <w:szCs w:val="21"/>
                <w:lang w:val="en-GB"/>
              </w:rPr>
            </w:pPr>
            <w:r>
              <w:rPr>
                <w:rFonts w:hint="eastAsia" w:ascii="宋体" w:hAnsi="宋体" w:cs="宋体"/>
                <w:szCs w:val="21"/>
                <w:lang w:val="en-GB"/>
              </w:rPr>
              <w:t>（大写）：</w:t>
            </w:r>
          </w:p>
        </w:tc>
      </w:tr>
      <w:tr w14:paraId="07E7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453BA8A">
            <w:pPr>
              <w:spacing w:line="440" w:lineRule="exact"/>
              <w:jc w:val="center"/>
              <w:rPr>
                <w:rFonts w:hint="eastAsia" w:ascii="宋体" w:hAnsi="宋体" w:cs="宋体"/>
                <w:b/>
                <w:bCs/>
                <w:szCs w:val="21"/>
                <w:lang w:val="en-GB"/>
              </w:rPr>
            </w:pPr>
            <w:r>
              <w:rPr>
                <w:rFonts w:hint="eastAsia" w:ascii="宋体" w:hAnsi="宋体" w:cs="宋体"/>
                <w:b/>
                <w:bCs/>
                <w:szCs w:val="21"/>
                <w:lang w:val="en-GB"/>
              </w:rPr>
              <w:t>合同履行期限（服务期）</w:t>
            </w:r>
          </w:p>
        </w:tc>
        <w:tc>
          <w:tcPr>
            <w:tcW w:w="7081" w:type="dxa"/>
          </w:tcPr>
          <w:p w14:paraId="3B27FB7A">
            <w:pPr>
              <w:spacing w:before="156" w:beforeLines="50" w:after="156" w:afterLines="50" w:line="440" w:lineRule="exact"/>
              <w:rPr>
                <w:rFonts w:hint="eastAsia" w:ascii="宋体" w:hAnsi="宋体" w:cs="宋体"/>
                <w:szCs w:val="21"/>
                <w:lang w:val="en-GB"/>
              </w:rPr>
            </w:pPr>
          </w:p>
        </w:tc>
      </w:tr>
      <w:tr w14:paraId="186E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4F526CE1">
            <w:pPr>
              <w:spacing w:line="440" w:lineRule="exact"/>
              <w:jc w:val="center"/>
              <w:rPr>
                <w:rFonts w:hint="eastAsia" w:ascii="宋体" w:hAnsi="宋体" w:cs="宋体"/>
                <w:b/>
                <w:bCs/>
                <w:szCs w:val="21"/>
                <w:lang w:val="en-GB"/>
              </w:rPr>
            </w:pPr>
            <w:r>
              <w:rPr>
                <w:rFonts w:hint="eastAsia" w:ascii="宋体" w:hAnsi="宋体" w:cs="宋体"/>
                <w:b/>
                <w:bCs/>
                <w:szCs w:val="21"/>
                <w:lang w:val="en-GB"/>
              </w:rPr>
              <w:t>备注</w:t>
            </w:r>
          </w:p>
        </w:tc>
        <w:tc>
          <w:tcPr>
            <w:tcW w:w="7081" w:type="dxa"/>
          </w:tcPr>
          <w:p w14:paraId="2827C2F0">
            <w:pPr>
              <w:spacing w:before="156" w:beforeLines="50" w:after="156" w:afterLines="50" w:line="440" w:lineRule="exact"/>
              <w:rPr>
                <w:rFonts w:hint="eastAsia" w:ascii="宋体" w:hAnsi="宋体" w:cs="宋体"/>
                <w:szCs w:val="21"/>
                <w:lang w:val="en-GB"/>
              </w:rPr>
            </w:pPr>
          </w:p>
        </w:tc>
      </w:tr>
    </w:tbl>
    <w:p w14:paraId="5A387D9A">
      <w:pPr>
        <w:widowControl/>
        <w:spacing w:line="360" w:lineRule="auto"/>
        <w:rPr>
          <w:rFonts w:hint="eastAsia" w:ascii="宋体" w:hAnsi="宋体"/>
          <w:b/>
          <w:sz w:val="24"/>
        </w:rPr>
      </w:pPr>
    </w:p>
    <w:p w14:paraId="443762B3">
      <w:pPr>
        <w:widowControl/>
        <w:spacing w:line="360" w:lineRule="auto"/>
        <w:ind w:firstLine="241" w:firstLineChars="100"/>
        <w:rPr>
          <w:rFonts w:hint="eastAsia" w:ascii="宋体" w:hAnsi="宋体"/>
          <w:sz w:val="24"/>
        </w:rPr>
      </w:pPr>
      <w:r>
        <w:rPr>
          <w:rFonts w:hint="eastAsia" w:ascii="宋体" w:hAnsi="宋体"/>
          <w:b/>
          <w:sz w:val="24"/>
        </w:rPr>
        <w:t>2、其它承诺</w:t>
      </w:r>
    </w:p>
    <w:p w14:paraId="1BD23A22">
      <w:pPr>
        <w:widowControl/>
        <w:spacing w:line="360" w:lineRule="auto"/>
        <w:ind w:firstLine="480" w:firstLineChars="200"/>
        <w:rPr>
          <w:rFonts w:hint="eastAsia" w:ascii="宋体" w:hAnsi="宋体"/>
          <w:sz w:val="24"/>
        </w:rPr>
      </w:pPr>
      <w:r>
        <w:rPr>
          <w:rFonts w:hint="eastAsia" w:ascii="宋体" w:hAnsi="宋体"/>
          <w:sz w:val="24"/>
        </w:rPr>
        <w:t>其余部分均以已递交的响应文件为准。</w:t>
      </w:r>
    </w:p>
    <w:p w14:paraId="6B0CDA4E"/>
    <w:p w14:paraId="671FC5C4">
      <w:pPr>
        <w:widowControl/>
        <w:spacing w:line="360" w:lineRule="auto"/>
        <w:ind w:firstLine="482" w:firstLineChars="200"/>
        <w:rPr>
          <w:rFonts w:hint="eastAsia" w:ascii="宋体" w:hAnsi="宋体"/>
          <w:b/>
          <w:sz w:val="24"/>
        </w:rPr>
      </w:pPr>
      <w:r>
        <w:rPr>
          <w:rFonts w:hint="eastAsia" w:ascii="宋体" w:hAnsi="宋体"/>
          <w:b/>
          <w:sz w:val="24"/>
        </w:rPr>
        <w:t>供应商全称（盖章）：</w:t>
      </w:r>
    </w:p>
    <w:p w14:paraId="48F2CB8A">
      <w:pPr>
        <w:pStyle w:val="9"/>
      </w:pPr>
    </w:p>
    <w:p w14:paraId="25775715">
      <w:pPr>
        <w:widowControl/>
        <w:spacing w:line="360" w:lineRule="auto"/>
        <w:ind w:firstLine="482" w:firstLineChars="200"/>
        <w:rPr>
          <w:rFonts w:hint="eastAsia" w:ascii="宋体" w:hAnsi="宋体"/>
          <w:sz w:val="24"/>
        </w:rPr>
      </w:pPr>
      <w:r>
        <w:rPr>
          <w:rFonts w:hint="eastAsia" w:ascii="宋体" w:hAnsi="宋体"/>
          <w:b/>
          <w:sz w:val="24"/>
        </w:rPr>
        <w:t>法定代表人或其委托代理人（签字)：</w:t>
      </w:r>
    </w:p>
    <w:p w14:paraId="6E549452">
      <w:pPr>
        <w:widowControl/>
        <w:spacing w:line="360" w:lineRule="auto"/>
        <w:ind w:firstLine="480" w:firstLineChars="200"/>
      </w:pPr>
      <w:r>
        <w:rPr>
          <w:rFonts w:hint="eastAsia" w:ascii="宋体" w:hAnsi="宋体"/>
          <w:sz w:val="24"/>
        </w:rPr>
        <w:t>日期：   年   月   日</w:t>
      </w:r>
    </w:p>
    <w:p w14:paraId="3DCB09DF">
      <w:pPr>
        <w:rPr>
          <w:b/>
          <w:bCs/>
          <w:sz w:val="24"/>
        </w:rPr>
      </w:pPr>
    </w:p>
    <w:p w14:paraId="3146820F">
      <w:r>
        <w:rPr>
          <w:rFonts w:hint="eastAsia"/>
          <w:b/>
          <w:bCs/>
          <w:sz w:val="24"/>
        </w:rPr>
        <w:t>说明：</w:t>
      </w:r>
      <w:r>
        <w:rPr>
          <w:rFonts w:hint="eastAsia"/>
          <w:sz w:val="24"/>
        </w:rPr>
        <w:t>本报价一览表供应商提前盖好单位公章带到开标现场，待通过初步评审及采购代理工作人员通知后现场填写报价，否则视为无效报价。如未携带此报价一览表，视为放弃本项目响应。</w:t>
      </w:r>
      <w:bookmarkEnd w:id="269"/>
    </w:p>
    <w:sectPr>
      <w:footerReference r:id="rId12" w:type="default"/>
      <w:pgSz w:w="11906" w:h="16838"/>
      <w:pgMar w:top="1247" w:right="1247" w:bottom="113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05DB">
    <w:pPr>
      <w:pStyle w:val="14"/>
      <w:jc w:val="center"/>
    </w:pPr>
  </w:p>
  <w:p w14:paraId="687E9F76">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FE33">
    <w:pPr>
      <w:pStyle w:val="14"/>
      <w:framePr w:wrap="around" w:vAnchor="text" w:hAnchor="margin" w:xAlign="right" w:y="3"/>
      <w:rPr>
        <w:rStyle w:val="23"/>
      </w:rPr>
    </w:pPr>
    <w:r>
      <w:fldChar w:fldCharType="begin"/>
    </w:r>
    <w:r>
      <w:rPr>
        <w:rStyle w:val="23"/>
      </w:rPr>
      <w:instrText xml:space="preserve">PAGE  </w:instrText>
    </w:r>
    <w:r>
      <w:fldChar w:fldCharType="end"/>
    </w:r>
  </w:p>
  <w:p w14:paraId="16F3D561">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1FBAA">
    <w:pPr>
      <w:pStyle w:val="14"/>
      <w:jc w:val="center"/>
    </w:pPr>
  </w:p>
  <w:p w14:paraId="77B0626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2F04">
    <w:pPr>
      <w:pStyle w:val="14"/>
      <w:jc w:val="center"/>
    </w:pPr>
  </w:p>
  <w:p w14:paraId="58939966">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6D6E1">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1B710">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F01B710">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w:t>
    </w:r>
  </w:p>
  <w:p w14:paraId="4ECE56C5">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0195">
    <w:pPr>
      <w:pStyle w:val="1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F016A">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67F016A">
                    <w:pPr>
                      <w:pStyle w:val="14"/>
                    </w:pPr>
                    <w:r>
                      <w:fldChar w:fldCharType="begin"/>
                    </w:r>
                    <w:r>
                      <w:instrText xml:space="preserve"> PAGE  \* MERGEFORMAT </w:instrText>
                    </w:r>
                    <w:r>
                      <w:fldChar w:fldCharType="separate"/>
                    </w:r>
                    <w:r>
                      <w:t>33</w:t>
                    </w:r>
                    <w:r>
                      <w:fldChar w:fldCharType="end"/>
                    </w:r>
                  </w:p>
                </w:txbxContent>
              </v:textbox>
            </v:shape>
          </w:pict>
        </mc:Fallback>
      </mc:AlternateContent>
    </w:r>
  </w:p>
  <w:p w14:paraId="51FA7CF5">
    <w:pPr>
      <w:pStyle w:val="1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D680A">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C507A">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ABC507A">
                    <w:pPr>
                      <w:pStyle w:val="14"/>
                    </w:pPr>
                    <w:r>
                      <w:fldChar w:fldCharType="begin"/>
                    </w:r>
                    <w:r>
                      <w:instrText xml:space="preserve"> PAGE  \* MERGEFORMAT </w:instrText>
                    </w:r>
                    <w:r>
                      <w:fldChar w:fldCharType="separate"/>
                    </w:r>
                    <w:r>
                      <w:t>32</w:t>
                    </w:r>
                    <w:r>
                      <w:fldChar w:fldCharType="end"/>
                    </w:r>
                  </w:p>
                </w:txbxContent>
              </v:textbox>
            </v:shape>
          </w:pict>
        </mc:Fallback>
      </mc:AlternateContent>
    </w:r>
  </w:p>
  <w:p w14:paraId="6E4D1C86">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9DD18">
    <w:pPr>
      <w:pStyle w:val="14"/>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9AAE7">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79AAE7">
                    <w:pPr>
                      <w:pStyle w:val="14"/>
                    </w:pPr>
                    <w:r>
                      <w:fldChar w:fldCharType="begin"/>
                    </w:r>
                    <w:r>
                      <w:instrText xml:space="preserve"> PAGE  \* MERGEFORMAT </w:instrText>
                    </w:r>
                    <w:r>
                      <w:fldChar w:fldCharType="separate"/>
                    </w:r>
                    <w:r>
                      <w:t>41</w:t>
                    </w:r>
                    <w:r>
                      <w:fldChar w:fldCharType="end"/>
                    </w:r>
                  </w:p>
                </w:txbxContent>
              </v:textbox>
            </v:shape>
          </w:pict>
        </mc:Fallback>
      </mc:AlternateContent>
    </w:r>
  </w:p>
  <w:p w14:paraId="28E3BD95">
    <w:pPr>
      <w:pStyle w:val="1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8E32">
    <w:pPr>
      <w:pStyle w:val="14"/>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01EBA">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101EBA">
                    <w:pPr>
                      <w:pStyle w:val="14"/>
                    </w:pPr>
                    <w:r>
                      <w:fldChar w:fldCharType="begin"/>
                    </w:r>
                    <w:r>
                      <w:instrText xml:space="preserve"> PAGE  \* MERGEFORMAT </w:instrText>
                    </w:r>
                    <w:r>
                      <w:fldChar w:fldCharType="separate"/>
                    </w:r>
                    <w:r>
                      <w:t>41</w:t>
                    </w:r>
                    <w:r>
                      <w:fldChar w:fldCharType="end"/>
                    </w:r>
                  </w:p>
                </w:txbxContent>
              </v:textbox>
            </v:shape>
          </w:pict>
        </mc:Fallback>
      </mc:AlternateContent>
    </w:r>
  </w:p>
  <w:p w14:paraId="311112DE">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478A">
    <w:pPr>
      <w:pStyle w:val="15"/>
      <w:pBdr>
        <w:bottom w:val="none" w:color="auto" w:sz="0" w:space="0"/>
      </w:pBdr>
    </w:pPr>
  </w:p>
  <w:p w14:paraId="06382AA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lvlText w:val="%1"/>
      <w:lvlJc w:val="left"/>
      <w:pPr>
        <w:tabs>
          <w:tab w:val="left" w:pos="425"/>
        </w:tabs>
        <w:ind w:left="425" w:hanging="425"/>
      </w:pPr>
      <w:rPr>
        <w:rFonts w:hint="eastAsia"/>
      </w:rPr>
    </w:lvl>
    <w:lvl w:ilvl="1" w:tentative="0">
      <w:start w:val="1"/>
      <w:numFmt w:val="decimal"/>
      <w:pStyle w:val="5"/>
      <w:lvlText w:val="%1.%2"/>
      <w:lvlJc w:val="left"/>
      <w:pPr>
        <w:tabs>
          <w:tab w:val="left" w:pos="992"/>
        </w:tabs>
        <w:ind w:left="992" w:hanging="567"/>
      </w:pPr>
      <w:rPr>
        <w:rFonts w:hint="default" w:ascii="Times New Roman" w:hAnsi="Times New Roman" w:cs="Times New Roman"/>
        <w:color w:val="auto"/>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15505CC5"/>
    <w:multiLevelType w:val="multilevel"/>
    <w:tmpl w:val="15505CC5"/>
    <w:lvl w:ilvl="0" w:tentative="0">
      <w:start w:val="3"/>
      <w:numFmt w:val="decimal"/>
      <w:pStyle w:val="47"/>
      <w:isLgl/>
      <w:lvlText w:val="%1"/>
      <w:lvlJc w:val="left"/>
      <w:pPr>
        <w:ind w:left="6" w:firstLine="0"/>
      </w:pPr>
      <w:rPr>
        <w:rFonts w:hint="eastAsia" w:ascii="仿宋" w:hAnsi="仿宋" w:eastAsia="仿宋"/>
        <w:b/>
        <w:i w:val="0"/>
        <w:sz w:val="28"/>
      </w:rPr>
    </w:lvl>
    <w:lvl w:ilvl="1" w:tentative="0">
      <w:start w:val="1"/>
      <w:numFmt w:val="decimal"/>
      <w:pStyle w:val="48"/>
      <w:lvlText w:val="%1.%2"/>
      <w:lvlJc w:val="left"/>
      <w:pPr>
        <w:ind w:left="11" w:firstLine="0"/>
      </w:pPr>
      <w:rPr>
        <w:rFonts w:hint="eastAsia" w:ascii="仿宋" w:hAnsi="仿宋" w:eastAsia="仿宋"/>
      </w:rPr>
    </w:lvl>
    <w:lvl w:ilvl="2" w:tentative="0">
      <w:start w:val="1"/>
      <w:numFmt w:val="decimal"/>
      <w:pStyle w:val="50"/>
      <w:lvlText w:val="%1.%2.%3"/>
      <w:lvlJc w:val="left"/>
      <w:pPr>
        <w:ind w:left="17" w:firstLine="0"/>
      </w:pPr>
      <w:rPr>
        <w:rFonts w:hint="eastAsia" w:ascii="仿宋" w:hAnsi="仿宋" w:eastAsia="仿宋"/>
      </w:rPr>
    </w:lvl>
    <w:lvl w:ilvl="3" w:tentative="0">
      <w:start w:val="1"/>
      <w:numFmt w:val="decimal"/>
      <w:pStyle w:val="49"/>
      <w:lvlText w:val="%1.%2.%3.%4"/>
      <w:lvlJc w:val="left"/>
      <w:pPr>
        <w:ind w:left="23" w:firstLine="0"/>
      </w:pPr>
      <w:rPr>
        <w:rFonts w:hint="eastAsia" w:ascii="仿宋" w:hAnsi="仿宋" w:eastAsia="仿宋"/>
      </w:rPr>
    </w:lvl>
    <w:lvl w:ilvl="4" w:tentative="0">
      <w:start w:val="1"/>
      <w:numFmt w:val="decimal"/>
      <w:pStyle w:val="51"/>
      <w:lvlText w:val="%1.%2.%3.%4.%5"/>
      <w:lvlJc w:val="left"/>
      <w:pPr>
        <w:ind w:left="28" w:firstLine="0"/>
      </w:pPr>
      <w:rPr>
        <w:rFonts w:hint="eastAsia" w:ascii="仿宋" w:hAnsi="仿宋" w:eastAsia="仿宋"/>
      </w:rPr>
    </w:lvl>
    <w:lvl w:ilvl="5" w:tentative="0">
      <w:start w:val="1"/>
      <w:numFmt w:val="decimal"/>
      <w:pStyle w:val="52"/>
      <w:lvlText w:val="%1.%2.%3.%4.%5.%6"/>
      <w:lvlJc w:val="left"/>
      <w:pPr>
        <w:ind w:left="34" w:firstLine="0"/>
      </w:pPr>
      <w:rPr>
        <w:rFonts w:hint="eastAsia" w:ascii="仿宋" w:hAnsi="仿宋" w:eastAsia="仿宋"/>
      </w:rPr>
    </w:lvl>
    <w:lvl w:ilvl="6" w:tentative="0">
      <w:start w:val="1"/>
      <w:numFmt w:val="decimal"/>
      <w:pStyle w:val="53"/>
      <w:lvlText w:val="%1.%2.%3.%4.%5.%6.%7"/>
      <w:lvlJc w:val="left"/>
      <w:pPr>
        <w:ind w:left="40" w:firstLine="0"/>
      </w:pPr>
      <w:rPr>
        <w:rFonts w:hint="eastAsia" w:ascii="仿宋" w:hAnsi="仿宋" w:eastAsia="仿宋"/>
      </w:rPr>
    </w:lvl>
    <w:lvl w:ilvl="7" w:tentative="0">
      <w:start w:val="1"/>
      <w:numFmt w:val="decimal"/>
      <w:pStyle w:val="54"/>
      <w:lvlText w:val="%1.%2.%3.%4.%5.%6.%7.%8"/>
      <w:lvlJc w:val="left"/>
      <w:pPr>
        <w:ind w:left="45" w:firstLine="0"/>
      </w:pPr>
      <w:rPr>
        <w:rFonts w:hint="eastAsia" w:ascii="仿宋" w:hAnsi="仿宋" w:eastAsia="仿宋"/>
      </w:rPr>
    </w:lvl>
    <w:lvl w:ilvl="8" w:tentative="0">
      <w:start w:val="1"/>
      <w:numFmt w:val="decimal"/>
      <w:pStyle w:val="55"/>
      <w:lvlText w:val="%1.%2.%3.%4.%5.%6.%7.%8.%9"/>
      <w:lvlJc w:val="left"/>
      <w:pPr>
        <w:tabs>
          <w:tab w:val="left" w:pos="510"/>
        </w:tabs>
        <w:ind w:left="51" w:firstLine="0"/>
      </w:pPr>
      <w:rPr>
        <w:rFonts w:hint="eastAsia" w:ascii="仿宋" w:hAnsi="仿宋" w:eastAsia="仿宋"/>
      </w:rPr>
    </w:lvl>
  </w:abstractNum>
  <w:abstractNum w:abstractNumId="2">
    <w:nsid w:val="3AD36283"/>
    <w:multiLevelType w:val="multilevel"/>
    <w:tmpl w:val="3AD36283"/>
    <w:lvl w:ilvl="0" w:tentative="0">
      <w:start w:val="1"/>
      <w:numFmt w:val="decimal"/>
      <w:lvlText w:val="第%1章"/>
      <w:lvlJc w:val="left"/>
      <w:pPr>
        <w:ind w:left="432" w:hanging="432"/>
      </w:pPr>
      <w:rPr>
        <w:rFonts w:hint="eastAsia"/>
      </w:rPr>
    </w:lvl>
    <w:lvl w:ilvl="1" w:tentative="0">
      <w:start w:val="1"/>
      <w:numFmt w:val="decimal"/>
      <w:pStyle w:val="30"/>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NjBkYjJmMjJhYWM4OWY0OGE3ZTUxZjExYjA0MDQifQ=="/>
    <w:docVar w:name="KSO_WPS_MARK_KEY" w:val="60cd1087-ad4b-4d05-9c8c-12bcbf6f8f19"/>
  </w:docVars>
  <w:rsids>
    <w:rsidRoot w:val="00172A27"/>
    <w:rsid w:val="0002117A"/>
    <w:rsid w:val="0005714B"/>
    <w:rsid w:val="0007012A"/>
    <w:rsid w:val="000920E0"/>
    <w:rsid w:val="000D6310"/>
    <w:rsid w:val="001116BA"/>
    <w:rsid w:val="001158A7"/>
    <w:rsid w:val="00133387"/>
    <w:rsid w:val="00172A27"/>
    <w:rsid w:val="001D1422"/>
    <w:rsid w:val="001E033A"/>
    <w:rsid w:val="0020592A"/>
    <w:rsid w:val="00225F24"/>
    <w:rsid w:val="00234D7C"/>
    <w:rsid w:val="00240B2A"/>
    <w:rsid w:val="00261A88"/>
    <w:rsid w:val="002D3AD9"/>
    <w:rsid w:val="002D51FC"/>
    <w:rsid w:val="002F2801"/>
    <w:rsid w:val="00334094"/>
    <w:rsid w:val="00341519"/>
    <w:rsid w:val="0034259A"/>
    <w:rsid w:val="00343CA9"/>
    <w:rsid w:val="003903AF"/>
    <w:rsid w:val="00393BE5"/>
    <w:rsid w:val="003D65E8"/>
    <w:rsid w:val="003E7BDA"/>
    <w:rsid w:val="00412BF2"/>
    <w:rsid w:val="00427265"/>
    <w:rsid w:val="00440334"/>
    <w:rsid w:val="004672B9"/>
    <w:rsid w:val="004D0469"/>
    <w:rsid w:val="004D08A4"/>
    <w:rsid w:val="004D7B41"/>
    <w:rsid w:val="00522E55"/>
    <w:rsid w:val="005255E5"/>
    <w:rsid w:val="00530AFC"/>
    <w:rsid w:val="00541FBE"/>
    <w:rsid w:val="005728C9"/>
    <w:rsid w:val="005A0FB6"/>
    <w:rsid w:val="005A193E"/>
    <w:rsid w:val="005F7F4C"/>
    <w:rsid w:val="0061093D"/>
    <w:rsid w:val="00622533"/>
    <w:rsid w:val="00685CC3"/>
    <w:rsid w:val="00690A6A"/>
    <w:rsid w:val="006A167E"/>
    <w:rsid w:val="006C01ED"/>
    <w:rsid w:val="006F6694"/>
    <w:rsid w:val="00705BA5"/>
    <w:rsid w:val="00763EDD"/>
    <w:rsid w:val="0078115F"/>
    <w:rsid w:val="00782567"/>
    <w:rsid w:val="007A5919"/>
    <w:rsid w:val="007B7394"/>
    <w:rsid w:val="00836D06"/>
    <w:rsid w:val="008447DB"/>
    <w:rsid w:val="00856D56"/>
    <w:rsid w:val="0090191F"/>
    <w:rsid w:val="00993ED5"/>
    <w:rsid w:val="009C54F6"/>
    <w:rsid w:val="009C769B"/>
    <w:rsid w:val="009D1C2C"/>
    <w:rsid w:val="00A010BF"/>
    <w:rsid w:val="00A34296"/>
    <w:rsid w:val="00A47DA9"/>
    <w:rsid w:val="00AA5249"/>
    <w:rsid w:val="00AA766D"/>
    <w:rsid w:val="00AB2E53"/>
    <w:rsid w:val="00AD68AE"/>
    <w:rsid w:val="00B22B5B"/>
    <w:rsid w:val="00B32D7F"/>
    <w:rsid w:val="00B5321C"/>
    <w:rsid w:val="00B532CA"/>
    <w:rsid w:val="00B61A23"/>
    <w:rsid w:val="00B77ED6"/>
    <w:rsid w:val="00BC46ED"/>
    <w:rsid w:val="00C13371"/>
    <w:rsid w:val="00C25AA9"/>
    <w:rsid w:val="00C33529"/>
    <w:rsid w:val="00C356C1"/>
    <w:rsid w:val="00CB30F3"/>
    <w:rsid w:val="00CD23FA"/>
    <w:rsid w:val="00CE14CC"/>
    <w:rsid w:val="00D01CF9"/>
    <w:rsid w:val="00D518A3"/>
    <w:rsid w:val="00D73CFE"/>
    <w:rsid w:val="00D86FB8"/>
    <w:rsid w:val="00D94024"/>
    <w:rsid w:val="00DB6472"/>
    <w:rsid w:val="00DC19CB"/>
    <w:rsid w:val="00DC7C1D"/>
    <w:rsid w:val="00DF098D"/>
    <w:rsid w:val="00E11D96"/>
    <w:rsid w:val="00E32D5A"/>
    <w:rsid w:val="00E71168"/>
    <w:rsid w:val="00E73AF1"/>
    <w:rsid w:val="00E971C4"/>
    <w:rsid w:val="00EC7078"/>
    <w:rsid w:val="00EF4891"/>
    <w:rsid w:val="00F0561D"/>
    <w:rsid w:val="00F44E5C"/>
    <w:rsid w:val="00F64F58"/>
    <w:rsid w:val="00F71085"/>
    <w:rsid w:val="00F96106"/>
    <w:rsid w:val="00FB5285"/>
    <w:rsid w:val="00FB5E0D"/>
    <w:rsid w:val="00FC414F"/>
    <w:rsid w:val="00FF6195"/>
    <w:rsid w:val="00FF6911"/>
    <w:rsid w:val="010F0F53"/>
    <w:rsid w:val="017A70CE"/>
    <w:rsid w:val="017E30C5"/>
    <w:rsid w:val="0193608E"/>
    <w:rsid w:val="019404F8"/>
    <w:rsid w:val="01A00C4B"/>
    <w:rsid w:val="01B23BD6"/>
    <w:rsid w:val="01B3097E"/>
    <w:rsid w:val="01BA61B0"/>
    <w:rsid w:val="01C25065"/>
    <w:rsid w:val="01E539C0"/>
    <w:rsid w:val="01EB6E21"/>
    <w:rsid w:val="01F86CD9"/>
    <w:rsid w:val="020D4519"/>
    <w:rsid w:val="025263E9"/>
    <w:rsid w:val="027A149C"/>
    <w:rsid w:val="028C11CF"/>
    <w:rsid w:val="028D5BF3"/>
    <w:rsid w:val="02A40988"/>
    <w:rsid w:val="02A76009"/>
    <w:rsid w:val="02B56978"/>
    <w:rsid w:val="02BA3F8E"/>
    <w:rsid w:val="02D84414"/>
    <w:rsid w:val="02F96864"/>
    <w:rsid w:val="030572D9"/>
    <w:rsid w:val="030A0A72"/>
    <w:rsid w:val="03157416"/>
    <w:rsid w:val="03195159"/>
    <w:rsid w:val="032805D9"/>
    <w:rsid w:val="033C626F"/>
    <w:rsid w:val="03443858"/>
    <w:rsid w:val="03A11E29"/>
    <w:rsid w:val="03C72C07"/>
    <w:rsid w:val="03D742F1"/>
    <w:rsid w:val="03E31959"/>
    <w:rsid w:val="04162F44"/>
    <w:rsid w:val="04167610"/>
    <w:rsid w:val="04206073"/>
    <w:rsid w:val="043F6BDA"/>
    <w:rsid w:val="046B2748"/>
    <w:rsid w:val="04784101"/>
    <w:rsid w:val="048E2A7B"/>
    <w:rsid w:val="049F51EA"/>
    <w:rsid w:val="04C60AC7"/>
    <w:rsid w:val="04D57CB8"/>
    <w:rsid w:val="04D70E27"/>
    <w:rsid w:val="05110BD1"/>
    <w:rsid w:val="05177476"/>
    <w:rsid w:val="051B042A"/>
    <w:rsid w:val="051E3C15"/>
    <w:rsid w:val="054B4370"/>
    <w:rsid w:val="05614B95"/>
    <w:rsid w:val="056251B4"/>
    <w:rsid w:val="059E1945"/>
    <w:rsid w:val="05A84572"/>
    <w:rsid w:val="05B06D57"/>
    <w:rsid w:val="05B41169"/>
    <w:rsid w:val="05CF6DDB"/>
    <w:rsid w:val="05D46017"/>
    <w:rsid w:val="05D830A9"/>
    <w:rsid w:val="061122A5"/>
    <w:rsid w:val="06163BD1"/>
    <w:rsid w:val="061C3C03"/>
    <w:rsid w:val="062260D2"/>
    <w:rsid w:val="06336531"/>
    <w:rsid w:val="063536AC"/>
    <w:rsid w:val="063D2F0C"/>
    <w:rsid w:val="064B271D"/>
    <w:rsid w:val="0661309E"/>
    <w:rsid w:val="06A42F8B"/>
    <w:rsid w:val="06B220E5"/>
    <w:rsid w:val="06D17630"/>
    <w:rsid w:val="06D96635"/>
    <w:rsid w:val="06E11AE9"/>
    <w:rsid w:val="06E96BF0"/>
    <w:rsid w:val="06F118E3"/>
    <w:rsid w:val="07032F1D"/>
    <w:rsid w:val="07253106"/>
    <w:rsid w:val="07261BF2"/>
    <w:rsid w:val="073257B5"/>
    <w:rsid w:val="074958E1"/>
    <w:rsid w:val="07A86AAB"/>
    <w:rsid w:val="07C03DF5"/>
    <w:rsid w:val="07DB7273"/>
    <w:rsid w:val="07EC2E3C"/>
    <w:rsid w:val="080812F8"/>
    <w:rsid w:val="080A44FE"/>
    <w:rsid w:val="0817778D"/>
    <w:rsid w:val="08487F59"/>
    <w:rsid w:val="0854278F"/>
    <w:rsid w:val="086E3851"/>
    <w:rsid w:val="087C111E"/>
    <w:rsid w:val="0890547B"/>
    <w:rsid w:val="089D56B0"/>
    <w:rsid w:val="08D54DED"/>
    <w:rsid w:val="08E9531B"/>
    <w:rsid w:val="08E9737B"/>
    <w:rsid w:val="090613F9"/>
    <w:rsid w:val="091A1B9B"/>
    <w:rsid w:val="09595441"/>
    <w:rsid w:val="0977188E"/>
    <w:rsid w:val="09AF5ECF"/>
    <w:rsid w:val="09C96BAE"/>
    <w:rsid w:val="09CA66BE"/>
    <w:rsid w:val="09E16673"/>
    <w:rsid w:val="09E65669"/>
    <w:rsid w:val="09EA5159"/>
    <w:rsid w:val="0A211EA3"/>
    <w:rsid w:val="0A300C8C"/>
    <w:rsid w:val="0A325C37"/>
    <w:rsid w:val="0A597DC1"/>
    <w:rsid w:val="0A7333A0"/>
    <w:rsid w:val="0AAF0151"/>
    <w:rsid w:val="0AB1211B"/>
    <w:rsid w:val="0ABF65E6"/>
    <w:rsid w:val="0ACC74A7"/>
    <w:rsid w:val="0ACE57A1"/>
    <w:rsid w:val="0AE04D10"/>
    <w:rsid w:val="0AF838A6"/>
    <w:rsid w:val="0B116FAE"/>
    <w:rsid w:val="0B1B1342"/>
    <w:rsid w:val="0B705B32"/>
    <w:rsid w:val="0B7C6285"/>
    <w:rsid w:val="0B8F76BF"/>
    <w:rsid w:val="0C171767"/>
    <w:rsid w:val="0C1738EF"/>
    <w:rsid w:val="0C466E48"/>
    <w:rsid w:val="0C5E598A"/>
    <w:rsid w:val="0C7D3317"/>
    <w:rsid w:val="0C8A49D1"/>
    <w:rsid w:val="0C8C24F7"/>
    <w:rsid w:val="0C8F1FD6"/>
    <w:rsid w:val="0CCA1272"/>
    <w:rsid w:val="0CCE0A8A"/>
    <w:rsid w:val="0CE73BD2"/>
    <w:rsid w:val="0D132C19"/>
    <w:rsid w:val="0D3C216F"/>
    <w:rsid w:val="0D7D62E4"/>
    <w:rsid w:val="0DA60738"/>
    <w:rsid w:val="0DA73F9F"/>
    <w:rsid w:val="0DE34399"/>
    <w:rsid w:val="0DF26CD2"/>
    <w:rsid w:val="0E0F33E0"/>
    <w:rsid w:val="0E3746E5"/>
    <w:rsid w:val="0E47636D"/>
    <w:rsid w:val="0E5057A7"/>
    <w:rsid w:val="0E5A6108"/>
    <w:rsid w:val="0E5C239D"/>
    <w:rsid w:val="0E63197E"/>
    <w:rsid w:val="0E665769"/>
    <w:rsid w:val="0E786CCF"/>
    <w:rsid w:val="0E981627"/>
    <w:rsid w:val="0EE91E83"/>
    <w:rsid w:val="0F0E7B3C"/>
    <w:rsid w:val="0F0F11BE"/>
    <w:rsid w:val="0F12680D"/>
    <w:rsid w:val="0F1D12BD"/>
    <w:rsid w:val="0F2904D1"/>
    <w:rsid w:val="0F2C1D70"/>
    <w:rsid w:val="0F566DED"/>
    <w:rsid w:val="0FAA5C38"/>
    <w:rsid w:val="0FAE6C29"/>
    <w:rsid w:val="0FC63F72"/>
    <w:rsid w:val="0FD11D09"/>
    <w:rsid w:val="0FD22A7F"/>
    <w:rsid w:val="0FDC19E8"/>
    <w:rsid w:val="0FE95EB3"/>
    <w:rsid w:val="10134CDE"/>
    <w:rsid w:val="101F18D4"/>
    <w:rsid w:val="103849D0"/>
    <w:rsid w:val="10417A9D"/>
    <w:rsid w:val="106D7816"/>
    <w:rsid w:val="10D17073"/>
    <w:rsid w:val="10DB6C77"/>
    <w:rsid w:val="11082369"/>
    <w:rsid w:val="111A38EF"/>
    <w:rsid w:val="112C43F3"/>
    <w:rsid w:val="1137024E"/>
    <w:rsid w:val="113969C6"/>
    <w:rsid w:val="11AD363C"/>
    <w:rsid w:val="11BA7DDA"/>
    <w:rsid w:val="121265D0"/>
    <w:rsid w:val="122A4683"/>
    <w:rsid w:val="12371157"/>
    <w:rsid w:val="12792076"/>
    <w:rsid w:val="127C6B6A"/>
    <w:rsid w:val="12AB4AC8"/>
    <w:rsid w:val="12D93FBD"/>
    <w:rsid w:val="12E017EF"/>
    <w:rsid w:val="12F66D1C"/>
    <w:rsid w:val="13152856"/>
    <w:rsid w:val="13317592"/>
    <w:rsid w:val="138B5744"/>
    <w:rsid w:val="138E4DA7"/>
    <w:rsid w:val="13DF3855"/>
    <w:rsid w:val="13E56991"/>
    <w:rsid w:val="140D6614"/>
    <w:rsid w:val="141229A6"/>
    <w:rsid w:val="14237E81"/>
    <w:rsid w:val="142D4116"/>
    <w:rsid w:val="146D2C0E"/>
    <w:rsid w:val="147D084F"/>
    <w:rsid w:val="149F25F2"/>
    <w:rsid w:val="14BE16BC"/>
    <w:rsid w:val="14D02DA7"/>
    <w:rsid w:val="14D56A06"/>
    <w:rsid w:val="14EC02C0"/>
    <w:rsid w:val="15033573"/>
    <w:rsid w:val="154047C7"/>
    <w:rsid w:val="154232E2"/>
    <w:rsid w:val="15432EEB"/>
    <w:rsid w:val="15567A5B"/>
    <w:rsid w:val="155E2E9F"/>
    <w:rsid w:val="157B3BA2"/>
    <w:rsid w:val="158F4E06"/>
    <w:rsid w:val="15910B7E"/>
    <w:rsid w:val="15982251"/>
    <w:rsid w:val="15B64E1F"/>
    <w:rsid w:val="15BF26AA"/>
    <w:rsid w:val="15C40F54"/>
    <w:rsid w:val="15E64719"/>
    <w:rsid w:val="15EA028F"/>
    <w:rsid w:val="160752E5"/>
    <w:rsid w:val="162C2183"/>
    <w:rsid w:val="163E5686"/>
    <w:rsid w:val="168129A1"/>
    <w:rsid w:val="168A247C"/>
    <w:rsid w:val="16935FB9"/>
    <w:rsid w:val="16E85D16"/>
    <w:rsid w:val="17285513"/>
    <w:rsid w:val="17326391"/>
    <w:rsid w:val="17653080"/>
    <w:rsid w:val="1772678E"/>
    <w:rsid w:val="1776002C"/>
    <w:rsid w:val="17861C1B"/>
    <w:rsid w:val="17A821AF"/>
    <w:rsid w:val="17C12BED"/>
    <w:rsid w:val="17D411F6"/>
    <w:rsid w:val="17E56F60"/>
    <w:rsid w:val="17EA0A1A"/>
    <w:rsid w:val="181522B3"/>
    <w:rsid w:val="18221F62"/>
    <w:rsid w:val="182B350C"/>
    <w:rsid w:val="182D760D"/>
    <w:rsid w:val="183B7BCB"/>
    <w:rsid w:val="183D3DB6"/>
    <w:rsid w:val="18673E19"/>
    <w:rsid w:val="18925339"/>
    <w:rsid w:val="18B057C0"/>
    <w:rsid w:val="190873AA"/>
    <w:rsid w:val="1925609F"/>
    <w:rsid w:val="19287A4C"/>
    <w:rsid w:val="192D568A"/>
    <w:rsid w:val="19355814"/>
    <w:rsid w:val="193747BC"/>
    <w:rsid w:val="19405606"/>
    <w:rsid w:val="194D300E"/>
    <w:rsid w:val="195F2D42"/>
    <w:rsid w:val="196A3BC0"/>
    <w:rsid w:val="196B2458"/>
    <w:rsid w:val="196C5B8A"/>
    <w:rsid w:val="197F37D2"/>
    <w:rsid w:val="19A21814"/>
    <w:rsid w:val="19E33973"/>
    <w:rsid w:val="1A332204"/>
    <w:rsid w:val="1A4708E4"/>
    <w:rsid w:val="1A8125AB"/>
    <w:rsid w:val="1ABB1F40"/>
    <w:rsid w:val="1AC00AA7"/>
    <w:rsid w:val="1AD5150D"/>
    <w:rsid w:val="1ADA6B24"/>
    <w:rsid w:val="1AF021AC"/>
    <w:rsid w:val="1B2F59B1"/>
    <w:rsid w:val="1B5543FC"/>
    <w:rsid w:val="1B6D7998"/>
    <w:rsid w:val="1B7D6BB0"/>
    <w:rsid w:val="1B9C7C68"/>
    <w:rsid w:val="1B9F09E2"/>
    <w:rsid w:val="1BFD0D1C"/>
    <w:rsid w:val="1C306702"/>
    <w:rsid w:val="1C760ACE"/>
    <w:rsid w:val="1C7A6810"/>
    <w:rsid w:val="1CB515F6"/>
    <w:rsid w:val="1CBF2475"/>
    <w:rsid w:val="1CCB1FF0"/>
    <w:rsid w:val="1CD93E1B"/>
    <w:rsid w:val="1CFA34AD"/>
    <w:rsid w:val="1D305121"/>
    <w:rsid w:val="1D347BB9"/>
    <w:rsid w:val="1D3C1D18"/>
    <w:rsid w:val="1D484219"/>
    <w:rsid w:val="1D683BC3"/>
    <w:rsid w:val="1D685007"/>
    <w:rsid w:val="1D81772B"/>
    <w:rsid w:val="1D905BC0"/>
    <w:rsid w:val="1DBB2B48"/>
    <w:rsid w:val="1DC6338F"/>
    <w:rsid w:val="1DD27F86"/>
    <w:rsid w:val="1DE41A3B"/>
    <w:rsid w:val="1DF20628"/>
    <w:rsid w:val="1E1862E1"/>
    <w:rsid w:val="1E2E5F88"/>
    <w:rsid w:val="1E2F48B1"/>
    <w:rsid w:val="1E42510C"/>
    <w:rsid w:val="1E4F5A7B"/>
    <w:rsid w:val="1E537319"/>
    <w:rsid w:val="1E5427C8"/>
    <w:rsid w:val="1E577298"/>
    <w:rsid w:val="1E734091"/>
    <w:rsid w:val="1EB3600A"/>
    <w:rsid w:val="1EF02DBA"/>
    <w:rsid w:val="1F131015"/>
    <w:rsid w:val="1F2C0391"/>
    <w:rsid w:val="1F374545"/>
    <w:rsid w:val="1F4B659D"/>
    <w:rsid w:val="1F8418FB"/>
    <w:rsid w:val="1F852B08"/>
    <w:rsid w:val="1FBE050D"/>
    <w:rsid w:val="1FD837FF"/>
    <w:rsid w:val="1FDC564F"/>
    <w:rsid w:val="1FDE2C12"/>
    <w:rsid w:val="1FF511B8"/>
    <w:rsid w:val="200A61ED"/>
    <w:rsid w:val="2021138E"/>
    <w:rsid w:val="202D7745"/>
    <w:rsid w:val="20360964"/>
    <w:rsid w:val="207817DB"/>
    <w:rsid w:val="20801E70"/>
    <w:rsid w:val="208B11F0"/>
    <w:rsid w:val="208E288A"/>
    <w:rsid w:val="20A26336"/>
    <w:rsid w:val="20C62ED5"/>
    <w:rsid w:val="20E406FC"/>
    <w:rsid w:val="20E56222"/>
    <w:rsid w:val="20E83E27"/>
    <w:rsid w:val="21185B98"/>
    <w:rsid w:val="211A5ECC"/>
    <w:rsid w:val="211F1734"/>
    <w:rsid w:val="213A23AF"/>
    <w:rsid w:val="21555156"/>
    <w:rsid w:val="215B6DA9"/>
    <w:rsid w:val="21661111"/>
    <w:rsid w:val="21723CFB"/>
    <w:rsid w:val="2190618E"/>
    <w:rsid w:val="21A97250"/>
    <w:rsid w:val="21D059E5"/>
    <w:rsid w:val="21E17450"/>
    <w:rsid w:val="21E93AF0"/>
    <w:rsid w:val="2219713B"/>
    <w:rsid w:val="221C2118"/>
    <w:rsid w:val="22206D13"/>
    <w:rsid w:val="222114DC"/>
    <w:rsid w:val="22391808"/>
    <w:rsid w:val="22462048"/>
    <w:rsid w:val="225F3404"/>
    <w:rsid w:val="22625D7D"/>
    <w:rsid w:val="229972C4"/>
    <w:rsid w:val="22BA5BB9"/>
    <w:rsid w:val="22BB548D"/>
    <w:rsid w:val="22D95913"/>
    <w:rsid w:val="22ED79DA"/>
    <w:rsid w:val="22F10EAE"/>
    <w:rsid w:val="22F17505"/>
    <w:rsid w:val="22F47F22"/>
    <w:rsid w:val="23377209"/>
    <w:rsid w:val="234C5386"/>
    <w:rsid w:val="2375131B"/>
    <w:rsid w:val="239662A6"/>
    <w:rsid w:val="239E4762"/>
    <w:rsid w:val="23B733DB"/>
    <w:rsid w:val="23B95E70"/>
    <w:rsid w:val="23BA5744"/>
    <w:rsid w:val="23C12F77"/>
    <w:rsid w:val="24003A9F"/>
    <w:rsid w:val="243113F3"/>
    <w:rsid w:val="243472A5"/>
    <w:rsid w:val="24395B8D"/>
    <w:rsid w:val="2452597D"/>
    <w:rsid w:val="246A716A"/>
    <w:rsid w:val="248F3F2D"/>
    <w:rsid w:val="24CD76F9"/>
    <w:rsid w:val="24F3786B"/>
    <w:rsid w:val="250273A3"/>
    <w:rsid w:val="255319AC"/>
    <w:rsid w:val="255F2A47"/>
    <w:rsid w:val="256F255E"/>
    <w:rsid w:val="2573204F"/>
    <w:rsid w:val="258B34F9"/>
    <w:rsid w:val="259C56A9"/>
    <w:rsid w:val="25ED1E01"/>
    <w:rsid w:val="25EF0DD5"/>
    <w:rsid w:val="26341FA4"/>
    <w:rsid w:val="2685203A"/>
    <w:rsid w:val="26A128E2"/>
    <w:rsid w:val="26A5448A"/>
    <w:rsid w:val="26BA68F7"/>
    <w:rsid w:val="26D07B7D"/>
    <w:rsid w:val="26FA337A"/>
    <w:rsid w:val="270A0791"/>
    <w:rsid w:val="27321A96"/>
    <w:rsid w:val="27342A19"/>
    <w:rsid w:val="27541A0C"/>
    <w:rsid w:val="275D58BB"/>
    <w:rsid w:val="277A5916"/>
    <w:rsid w:val="2793585F"/>
    <w:rsid w:val="27950C48"/>
    <w:rsid w:val="279E2283"/>
    <w:rsid w:val="27AE736E"/>
    <w:rsid w:val="27CD5050"/>
    <w:rsid w:val="27D4174D"/>
    <w:rsid w:val="27DF1C1D"/>
    <w:rsid w:val="28046B4F"/>
    <w:rsid w:val="28233AAC"/>
    <w:rsid w:val="283006CB"/>
    <w:rsid w:val="283F173A"/>
    <w:rsid w:val="285E0D94"/>
    <w:rsid w:val="28803CA8"/>
    <w:rsid w:val="28810F26"/>
    <w:rsid w:val="2895312D"/>
    <w:rsid w:val="28D56A54"/>
    <w:rsid w:val="29205F2E"/>
    <w:rsid w:val="292B04C5"/>
    <w:rsid w:val="295602D3"/>
    <w:rsid w:val="296A5517"/>
    <w:rsid w:val="29747698"/>
    <w:rsid w:val="298F4ADE"/>
    <w:rsid w:val="29933FED"/>
    <w:rsid w:val="299E7928"/>
    <w:rsid w:val="29BA7CB8"/>
    <w:rsid w:val="29C410CB"/>
    <w:rsid w:val="29D357B2"/>
    <w:rsid w:val="29DD013B"/>
    <w:rsid w:val="29E45245"/>
    <w:rsid w:val="29EC1A39"/>
    <w:rsid w:val="2A332E37"/>
    <w:rsid w:val="2A342310"/>
    <w:rsid w:val="2A5C7555"/>
    <w:rsid w:val="2A6B1546"/>
    <w:rsid w:val="2A7025D5"/>
    <w:rsid w:val="2A954815"/>
    <w:rsid w:val="2A9A007E"/>
    <w:rsid w:val="2AC12D31"/>
    <w:rsid w:val="2ACE3248"/>
    <w:rsid w:val="2AF250F2"/>
    <w:rsid w:val="2AFA6690"/>
    <w:rsid w:val="2B3C216B"/>
    <w:rsid w:val="2B563FA5"/>
    <w:rsid w:val="2B5841C1"/>
    <w:rsid w:val="2B6A4E0F"/>
    <w:rsid w:val="2B710DDE"/>
    <w:rsid w:val="2BC929C8"/>
    <w:rsid w:val="2BF0654E"/>
    <w:rsid w:val="2C0E5190"/>
    <w:rsid w:val="2C1520B2"/>
    <w:rsid w:val="2C59229A"/>
    <w:rsid w:val="2C7B08E4"/>
    <w:rsid w:val="2C7C5C8D"/>
    <w:rsid w:val="2CA13945"/>
    <w:rsid w:val="2CA46F92"/>
    <w:rsid w:val="2CAD4098"/>
    <w:rsid w:val="2CCC46FF"/>
    <w:rsid w:val="2CED26E7"/>
    <w:rsid w:val="2CEF46B1"/>
    <w:rsid w:val="2CFB12A7"/>
    <w:rsid w:val="2D097AA7"/>
    <w:rsid w:val="2D35408E"/>
    <w:rsid w:val="2D4B56B9"/>
    <w:rsid w:val="2D4F4BD3"/>
    <w:rsid w:val="2D6B72D5"/>
    <w:rsid w:val="2D7505C6"/>
    <w:rsid w:val="2D776454"/>
    <w:rsid w:val="2D7C1CBC"/>
    <w:rsid w:val="2D7D7F0E"/>
    <w:rsid w:val="2D7E5A35"/>
    <w:rsid w:val="2D945E26"/>
    <w:rsid w:val="2D99461C"/>
    <w:rsid w:val="2DB96A6D"/>
    <w:rsid w:val="2DBA0C4D"/>
    <w:rsid w:val="2DD928A7"/>
    <w:rsid w:val="2DE735DA"/>
    <w:rsid w:val="2DEA54F8"/>
    <w:rsid w:val="2DEC299E"/>
    <w:rsid w:val="2E1B14D5"/>
    <w:rsid w:val="2E1B4BAE"/>
    <w:rsid w:val="2E297874"/>
    <w:rsid w:val="2E2B7AFE"/>
    <w:rsid w:val="2E3424AE"/>
    <w:rsid w:val="2E56698D"/>
    <w:rsid w:val="2E5844D8"/>
    <w:rsid w:val="2E5A1FFE"/>
    <w:rsid w:val="2E806B3E"/>
    <w:rsid w:val="2E975000"/>
    <w:rsid w:val="2EDF4D6F"/>
    <w:rsid w:val="2EE94038"/>
    <w:rsid w:val="2EF12C6E"/>
    <w:rsid w:val="2EF75A9F"/>
    <w:rsid w:val="2EFC4E63"/>
    <w:rsid w:val="2F005540"/>
    <w:rsid w:val="2F0E68BD"/>
    <w:rsid w:val="2F367B1A"/>
    <w:rsid w:val="2F370591"/>
    <w:rsid w:val="2F3960B7"/>
    <w:rsid w:val="2F3C6F86"/>
    <w:rsid w:val="2F546E19"/>
    <w:rsid w:val="2F5F5E2F"/>
    <w:rsid w:val="2F902C6A"/>
    <w:rsid w:val="2FBC2844"/>
    <w:rsid w:val="2FCB3E32"/>
    <w:rsid w:val="2FDE2471"/>
    <w:rsid w:val="2FFC235A"/>
    <w:rsid w:val="30003903"/>
    <w:rsid w:val="300217A5"/>
    <w:rsid w:val="30103706"/>
    <w:rsid w:val="30344BF1"/>
    <w:rsid w:val="304E07E8"/>
    <w:rsid w:val="304E7940"/>
    <w:rsid w:val="30696445"/>
    <w:rsid w:val="30872E52"/>
    <w:rsid w:val="3088734F"/>
    <w:rsid w:val="308C1111"/>
    <w:rsid w:val="308E5F8F"/>
    <w:rsid w:val="30AA08EF"/>
    <w:rsid w:val="30B11C7D"/>
    <w:rsid w:val="30B71989"/>
    <w:rsid w:val="30C9346B"/>
    <w:rsid w:val="310A1F3B"/>
    <w:rsid w:val="3143321D"/>
    <w:rsid w:val="314F4AD5"/>
    <w:rsid w:val="31692558"/>
    <w:rsid w:val="31693B1A"/>
    <w:rsid w:val="317909ED"/>
    <w:rsid w:val="318C4BC4"/>
    <w:rsid w:val="3196159F"/>
    <w:rsid w:val="31AA3F79"/>
    <w:rsid w:val="31AC0DC2"/>
    <w:rsid w:val="31B1462B"/>
    <w:rsid w:val="31BF420A"/>
    <w:rsid w:val="31C41857"/>
    <w:rsid w:val="31C559E0"/>
    <w:rsid w:val="31C854D0"/>
    <w:rsid w:val="31D14209"/>
    <w:rsid w:val="31DC0F7C"/>
    <w:rsid w:val="31F34DB1"/>
    <w:rsid w:val="322A618B"/>
    <w:rsid w:val="323243B7"/>
    <w:rsid w:val="32805DAB"/>
    <w:rsid w:val="3285129C"/>
    <w:rsid w:val="329B5CE6"/>
    <w:rsid w:val="32A7027D"/>
    <w:rsid w:val="32DA2B31"/>
    <w:rsid w:val="33072028"/>
    <w:rsid w:val="331C1F78"/>
    <w:rsid w:val="332130EA"/>
    <w:rsid w:val="333332A5"/>
    <w:rsid w:val="33441E18"/>
    <w:rsid w:val="337C6572"/>
    <w:rsid w:val="338173A6"/>
    <w:rsid w:val="340622E0"/>
    <w:rsid w:val="340869E7"/>
    <w:rsid w:val="34254E5C"/>
    <w:rsid w:val="34594B05"/>
    <w:rsid w:val="34645984"/>
    <w:rsid w:val="348002E4"/>
    <w:rsid w:val="3480471C"/>
    <w:rsid w:val="34A91522"/>
    <w:rsid w:val="34AD49E8"/>
    <w:rsid w:val="34B61F58"/>
    <w:rsid w:val="34F20AE9"/>
    <w:rsid w:val="351530B1"/>
    <w:rsid w:val="3529272A"/>
    <w:rsid w:val="353A4937"/>
    <w:rsid w:val="355A6A30"/>
    <w:rsid w:val="35866593"/>
    <w:rsid w:val="358D2CB9"/>
    <w:rsid w:val="3595270B"/>
    <w:rsid w:val="35957DBF"/>
    <w:rsid w:val="359F0C3E"/>
    <w:rsid w:val="35AD6EB7"/>
    <w:rsid w:val="35B3327A"/>
    <w:rsid w:val="35DE019D"/>
    <w:rsid w:val="35F42D38"/>
    <w:rsid w:val="35FA68CC"/>
    <w:rsid w:val="361372D3"/>
    <w:rsid w:val="361C228F"/>
    <w:rsid w:val="361D7AA3"/>
    <w:rsid w:val="36401AD9"/>
    <w:rsid w:val="364041CF"/>
    <w:rsid w:val="36457468"/>
    <w:rsid w:val="365732C7"/>
    <w:rsid w:val="365E28A7"/>
    <w:rsid w:val="368E4F3A"/>
    <w:rsid w:val="36A24542"/>
    <w:rsid w:val="36BB5604"/>
    <w:rsid w:val="36D21734"/>
    <w:rsid w:val="36D84407"/>
    <w:rsid w:val="36F53602"/>
    <w:rsid w:val="375F2433"/>
    <w:rsid w:val="3764489E"/>
    <w:rsid w:val="37661A13"/>
    <w:rsid w:val="37677539"/>
    <w:rsid w:val="3776777C"/>
    <w:rsid w:val="37DC3A83"/>
    <w:rsid w:val="37DD15AA"/>
    <w:rsid w:val="37EA43F2"/>
    <w:rsid w:val="380A016F"/>
    <w:rsid w:val="380B4369"/>
    <w:rsid w:val="382E4752"/>
    <w:rsid w:val="383166DB"/>
    <w:rsid w:val="383B2EA0"/>
    <w:rsid w:val="384D4981"/>
    <w:rsid w:val="38513B03"/>
    <w:rsid w:val="38752EFE"/>
    <w:rsid w:val="387E2D8D"/>
    <w:rsid w:val="38855EC9"/>
    <w:rsid w:val="3888238D"/>
    <w:rsid w:val="38966328"/>
    <w:rsid w:val="38A47697"/>
    <w:rsid w:val="38AD71CE"/>
    <w:rsid w:val="38AE69BE"/>
    <w:rsid w:val="38E250CA"/>
    <w:rsid w:val="38EE7FD5"/>
    <w:rsid w:val="38FD63A7"/>
    <w:rsid w:val="39033519"/>
    <w:rsid w:val="39100C1F"/>
    <w:rsid w:val="39237490"/>
    <w:rsid w:val="39243934"/>
    <w:rsid w:val="39602492"/>
    <w:rsid w:val="39813B1B"/>
    <w:rsid w:val="39930C32"/>
    <w:rsid w:val="399565E0"/>
    <w:rsid w:val="39F72DF7"/>
    <w:rsid w:val="3A331955"/>
    <w:rsid w:val="3A3D3C0B"/>
    <w:rsid w:val="3A4927BA"/>
    <w:rsid w:val="3A4A5A91"/>
    <w:rsid w:val="3A671182"/>
    <w:rsid w:val="3A700586"/>
    <w:rsid w:val="3A9F5D34"/>
    <w:rsid w:val="3AC76C6D"/>
    <w:rsid w:val="3ACA22B9"/>
    <w:rsid w:val="3ACE7FFB"/>
    <w:rsid w:val="3AED7D56"/>
    <w:rsid w:val="3AF45E5A"/>
    <w:rsid w:val="3B091033"/>
    <w:rsid w:val="3B1704E7"/>
    <w:rsid w:val="3B21786A"/>
    <w:rsid w:val="3B474991"/>
    <w:rsid w:val="3B7F4E52"/>
    <w:rsid w:val="3B951034"/>
    <w:rsid w:val="3B9A460B"/>
    <w:rsid w:val="3BA01E31"/>
    <w:rsid w:val="3BAF7879"/>
    <w:rsid w:val="3BCD6B9E"/>
    <w:rsid w:val="3BDA47C6"/>
    <w:rsid w:val="3BEE1FD7"/>
    <w:rsid w:val="3C0E61D6"/>
    <w:rsid w:val="3C1B557E"/>
    <w:rsid w:val="3C1F109A"/>
    <w:rsid w:val="3C2105FF"/>
    <w:rsid w:val="3C320116"/>
    <w:rsid w:val="3C35756E"/>
    <w:rsid w:val="3C3F2833"/>
    <w:rsid w:val="3C4A75EA"/>
    <w:rsid w:val="3C4D4EBB"/>
    <w:rsid w:val="3C6417DD"/>
    <w:rsid w:val="3C7626BC"/>
    <w:rsid w:val="3C830F46"/>
    <w:rsid w:val="3CBE25E8"/>
    <w:rsid w:val="3CBE7BFC"/>
    <w:rsid w:val="3D2263DC"/>
    <w:rsid w:val="3D2F3811"/>
    <w:rsid w:val="3D424389"/>
    <w:rsid w:val="3D8175A7"/>
    <w:rsid w:val="3DA52B6A"/>
    <w:rsid w:val="3DB1150E"/>
    <w:rsid w:val="3DFC0A9C"/>
    <w:rsid w:val="3E1C00C4"/>
    <w:rsid w:val="3E316CD8"/>
    <w:rsid w:val="3E6309CA"/>
    <w:rsid w:val="3E7376C7"/>
    <w:rsid w:val="3E796B9B"/>
    <w:rsid w:val="3E9F580B"/>
    <w:rsid w:val="3EB23790"/>
    <w:rsid w:val="3EBD1A70"/>
    <w:rsid w:val="3ECC13F9"/>
    <w:rsid w:val="3ECF4342"/>
    <w:rsid w:val="3EDE4284"/>
    <w:rsid w:val="3F04504A"/>
    <w:rsid w:val="3F0F283A"/>
    <w:rsid w:val="3F0F2990"/>
    <w:rsid w:val="3F3B3785"/>
    <w:rsid w:val="3F3B5533"/>
    <w:rsid w:val="3F516B05"/>
    <w:rsid w:val="3F6820A1"/>
    <w:rsid w:val="3F9410E8"/>
    <w:rsid w:val="3FC714BD"/>
    <w:rsid w:val="3FC9623B"/>
    <w:rsid w:val="3FCF3D6E"/>
    <w:rsid w:val="3FD341E0"/>
    <w:rsid w:val="400C5122"/>
    <w:rsid w:val="401F4E55"/>
    <w:rsid w:val="4033445D"/>
    <w:rsid w:val="403770EA"/>
    <w:rsid w:val="405B57EB"/>
    <w:rsid w:val="4070745F"/>
    <w:rsid w:val="4085729F"/>
    <w:rsid w:val="40880C4C"/>
    <w:rsid w:val="409A0980"/>
    <w:rsid w:val="409D3B42"/>
    <w:rsid w:val="40A414BE"/>
    <w:rsid w:val="40E216CB"/>
    <w:rsid w:val="41016309"/>
    <w:rsid w:val="41452699"/>
    <w:rsid w:val="415C79E3"/>
    <w:rsid w:val="415E7BFF"/>
    <w:rsid w:val="41635215"/>
    <w:rsid w:val="416F7716"/>
    <w:rsid w:val="41A27AEC"/>
    <w:rsid w:val="41D872F3"/>
    <w:rsid w:val="41ED7771"/>
    <w:rsid w:val="4214206C"/>
    <w:rsid w:val="421F2EEA"/>
    <w:rsid w:val="423A7D24"/>
    <w:rsid w:val="424348A5"/>
    <w:rsid w:val="425F59DD"/>
    <w:rsid w:val="42687C81"/>
    <w:rsid w:val="426D634C"/>
    <w:rsid w:val="429C453B"/>
    <w:rsid w:val="42BE6BA7"/>
    <w:rsid w:val="42CA547B"/>
    <w:rsid w:val="42CE66BF"/>
    <w:rsid w:val="42D907EA"/>
    <w:rsid w:val="42F61B0D"/>
    <w:rsid w:val="43193DDE"/>
    <w:rsid w:val="43343989"/>
    <w:rsid w:val="433E3844"/>
    <w:rsid w:val="437E00E5"/>
    <w:rsid w:val="43832A92"/>
    <w:rsid w:val="43C80611"/>
    <w:rsid w:val="43F9776B"/>
    <w:rsid w:val="43FD54AD"/>
    <w:rsid w:val="442C5D93"/>
    <w:rsid w:val="442E5667"/>
    <w:rsid w:val="44485339"/>
    <w:rsid w:val="444A6219"/>
    <w:rsid w:val="445D7CFA"/>
    <w:rsid w:val="44683FF6"/>
    <w:rsid w:val="446A1E39"/>
    <w:rsid w:val="446E3CB5"/>
    <w:rsid w:val="447C2EA5"/>
    <w:rsid w:val="449A2CFC"/>
    <w:rsid w:val="44C67F95"/>
    <w:rsid w:val="44FE358C"/>
    <w:rsid w:val="452B604A"/>
    <w:rsid w:val="4545710C"/>
    <w:rsid w:val="45596713"/>
    <w:rsid w:val="4588349D"/>
    <w:rsid w:val="45A858ED"/>
    <w:rsid w:val="45B147A1"/>
    <w:rsid w:val="45C1250B"/>
    <w:rsid w:val="45CD0EAF"/>
    <w:rsid w:val="45DC10F2"/>
    <w:rsid w:val="45E8717C"/>
    <w:rsid w:val="45F75F2C"/>
    <w:rsid w:val="45FE0DF0"/>
    <w:rsid w:val="46072613"/>
    <w:rsid w:val="46081EE8"/>
    <w:rsid w:val="461865CE"/>
    <w:rsid w:val="463070F1"/>
    <w:rsid w:val="46641385"/>
    <w:rsid w:val="46724ED1"/>
    <w:rsid w:val="46860566"/>
    <w:rsid w:val="4689127A"/>
    <w:rsid w:val="468F312C"/>
    <w:rsid w:val="469D2F78"/>
    <w:rsid w:val="46AB11F1"/>
    <w:rsid w:val="46C706EC"/>
    <w:rsid w:val="46E841F3"/>
    <w:rsid w:val="46FA2178"/>
    <w:rsid w:val="47280A93"/>
    <w:rsid w:val="473E02B7"/>
    <w:rsid w:val="474D377B"/>
    <w:rsid w:val="47574ED5"/>
    <w:rsid w:val="47775577"/>
    <w:rsid w:val="477A16C7"/>
    <w:rsid w:val="477C34D7"/>
    <w:rsid w:val="477E4F02"/>
    <w:rsid w:val="478A34FC"/>
    <w:rsid w:val="47906638"/>
    <w:rsid w:val="47A6238E"/>
    <w:rsid w:val="47AD0F98"/>
    <w:rsid w:val="47C02A7A"/>
    <w:rsid w:val="47C87B80"/>
    <w:rsid w:val="483376F0"/>
    <w:rsid w:val="4871260C"/>
    <w:rsid w:val="488C5052"/>
    <w:rsid w:val="489A579B"/>
    <w:rsid w:val="48D72DF6"/>
    <w:rsid w:val="48E50FF5"/>
    <w:rsid w:val="48EB7FCA"/>
    <w:rsid w:val="48FB1588"/>
    <w:rsid w:val="49382AE4"/>
    <w:rsid w:val="49444FF0"/>
    <w:rsid w:val="497E0E3E"/>
    <w:rsid w:val="498A4557"/>
    <w:rsid w:val="49A554EA"/>
    <w:rsid w:val="49B605D8"/>
    <w:rsid w:val="49BA0091"/>
    <w:rsid w:val="4A143551"/>
    <w:rsid w:val="4A325785"/>
    <w:rsid w:val="4A36540F"/>
    <w:rsid w:val="4A5D79DB"/>
    <w:rsid w:val="4A5E2D13"/>
    <w:rsid w:val="4A673681"/>
    <w:rsid w:val="4A7B3947"/>
    <w:rsid w:val="4A7D0B23"/>
    <w:rsid w:val="4AC86F4F"/>
    <w:rsid w:val="4AD34597"/>
    <w:rsid w:val="4AEF4E56"/>
    <w:rsid w:val="4AFC3029"/>
    <w:rsid w:val="4B447E66"/>
    <w:rsid w:val="4B871B00"/>
    <w:rsid w:val="4B893ACB"/>
    <w:rsid w:val="4BAF1783"/>
    <w:rsid w:val="4BF9391C"/>
    <w:rsid w:val="4BFA7EC7"/>
    <w:rsid w:val="4C03562B"/>
    <w:rsid w:val="4C206469"/>
    <w:rsid w:val="4C2F4368"/>
    <w:rsid w:val="4C3752D5"/>
    <w:rsid w:val="4C4D3D5B"/>
    <w:rsid w:val="4C5C2F8D"/>
    <w:rsid w:val="4C646006"/>
    <w:rsid w:val="4C716A38"/>
    <w:rsid w:val="4C7B3413"/>
    <w:rsid w:val="4C9E7102"/>
    <w:rsid w:val="4CBD12E9"/>
    <w:rsid w:val="4CC56D84"/>
    <w:rsid w:val="4CDF44D1"/>
    <w:rsid w:val="4CE41429"/>
    <w:rsid w:val="4CE470D0"/>
    <w:rsid w:val="4D0C6761"/>
    <w:rsid w:val="4D1829A9"/>
    <w:rsid w:val="4D4E28D6"/>
    <w:rsid w:val="4D5679DC"/>
    <w:rsid w:val="4D700A9E"/>
    <w:rsid w:val="4D853934"/>
    <w:rsid w:val="4D8E44E5"/>
    <w:rsid w:val="4D90674F"/>
    <w:rsid w:val="4DA65A7B"/>
    <w:rsid w:val="4DAE62C2"/>
    <w:rsid w:val="4DDF5C24"/>
    <w:rsid w:val="4DE2664B"/>
    <w:rsid w:val="4DE374C2"/>
    <w:rsid w:val="4E127DA7"/>
    <w:rsid w:val="4E1458EF"/>
    <w:rsid w:val="4E381440"/>
    <w:rsid w:val="4E4C762D"/>
    <w:rsid w:val="4E726A98"/>
    <w:rsid w:val="4E773DC7"/>
    <w:rsid w:val="4E874FC1"/>
    <w:rsid w:val="4E8E297B"/>
    <w:rsid w:val="4E94668E"/>
    <w:rsid w:val="4E983985"/>
    <w:rsid w:val="4E992277"/>
    <w:rsid w:val="4EB279E1"/>
    <w:rsid w:val="4EB55C3E"/>
    <w:rsid w:val="4EC60829"/>
    <w:rsid w:val="4EE80B08"/>
    <w:rsid w:val="4EE90A0B"/>
    <w:rsid w:val="4F0C1A95"/>
    <w:rsid w:val="4F0D5971"/>
    <w:rsid w:val="4F2204BE"/>
    <w:rsid w:val="4F302BDB"/>
    <w:rsid w:val="4F3B1644"/>
    <w:rsid w:val="4F4C5C72"/>
    <w:rsid w:val="4F585C8E"/>
    <w:rsid w:val="4F806F93"/>
    <w:rsid w:val="4F876573"/>
    <w:rsid w:val="4F921D80"/>
    <w:rsid w:val="4FA54613"/>
    <w:rsid w:val="4FAD19FD"/>
    <w:rsid w:val="4FC11A85"/>
    <w:rsid w:val="4FCB6460"/>
    <w:rsid w:val="4FE17A31"/>
    <w:rsid w:val="4FEB08B0"/>
    <w:rsid w:val="50342257"/>
    <w:rsid w:val="50673462"/>
    <w:rsid w:val="50807F48"/>
    <w:rsid w:val="508839C8"/>
    <w:rsid w:val="50884351"/>
    <w:rsid w:val="5099030C"/>
    <w:rsid w:val="50AB770D"/>
    <w:rsid w:val="50B02DD7"/>
    <w:rsid w:val="50B75316"/>
    <w:rsid w:val="50E36FE8"/>
    <w:rsid w:val="50EC4197"/>
    <w:rsid w:val="50F025BD"/>
    <w:rsid w:val="50F55A68"/>
    <w:rsid w:val="510B27C4"/>
    <w:rsid w:val="510D5693"/>
    <w:rsid w:val="5119769F"/>
    <w:rsid w:val="511978B7"/>
    <w:rsid w:val="512F7F29"/>
    <w:rsid w:val="51385D77"/>
    <w:rsid w:val="51473FAC"/>
    <w:rsid w:val="514A5AAA"/>
    <w:rsid w:val="51954F77"/>
    <w:rsid w:val="519A2C67"/>
    <w:rsid w:val="51A258E6"/>
    <w:rsid w:val="51C12C1E"/>
    <w:rsid w:val="51CB6BEB"/>
    <w:rsid w:val="51D11D27"/>
    <w:rsid w:val="51EC6A01"/>
    <w:rsid w:val="51EF7D52"/>
    <w:rsid w:val="52032E31"/>
    <w:rsid w:val="52123C42"/>
    <w:rsid w:val="5213321C"/>
    <w:rsid w:val="52377DDC"/>
    <w:rsid w:val="52481FEA"/>
    <w:rsid w:val="525E7251"/>
    <w:rsid w:val="527032EE"/>
    <w:rsid w:val="527C7EE5"/>
    <w:rsid w:val="528B637A"/>
    <w:rsid w:val="52992845"/>
    <w:rsid w:val="530D4FE1"/>
    <w:rsid w:val="53332C9A"/>
    <w:rsid w:val="5345477B"/>
    <w:rsid w:val="534722A1"/>
    <w:rsid w:val="5385101B"/>
    <w:rsid w:val="538928BA"/>
    <w:rsid w:val="539D6365"/>
    <w:rsid w:val="539F032F"/>
    <w:rsid w:val="53BC274A"/>
    <w:rsid w:val="53C03E02"/>
    <w:rsid w:val="53D31D87"/>
    <w:rsid w:val="53D578AD"/>
    <w:rsid w:val="53EE096F"/>
    <w:rsid w:val="53FC752F"/>
    <w:rsid w:val="54204145"/>
    <w:rsid w:val="544D7D8B"/>
    <w:rsid w:val="547800C4"/>
    <w:rsid w:val="547F1F0F"/>
    <w:rsid w:val="548C2946"/>
    <w:rsid w:val="54977258"/>
    <w:rsid w:val="54AD16E8"/>
    <w:rsid w:val="54D42249"/>
    <w:rsid w:val="54D45DB6"/>
    <w:rsid w:val="54D95CF7"/>
    <w:rsid w:val="550D3076"/>
    <w:rsid w:val="551268DF"/>
    <w:rsid w:val="55230AEC"/>
    <w:rsid w:val="552A3C32"/>
    <w:rsid w:val="5533091B"/>
    <w:rsid w:val="5536081F"/>
    <w:rsid w:val="557E53B7"/>
    <w:rsid w:val="55A03EEB"/>
    <w:rsid w:val="55D122F6"/>
    <w:rsid w:val="55D3606E"/>
    <w:rsid w:val="55E53FF3"/>
    <w:rsid w:val="563F54B2"/>
    <w:rsid w:val="56542303"/>
    <w:rsid w:val="56927CD7"/>
    <w:rsid w:val="56990A29"/>
    <w:rsid w:val="56BF65F2"/>
    <w:rsid w:val="56C43C09"/>
    <w:rsid w:val="56D03958"/>
    <w:rsid w:val="56E115BC"/>
    <w:rsid w:val="5705621C"/>
    <w:rsid w:val="570A1F63"/>
    <w:rsid w:val="570E3F26"/>
    <w:rsid w:val="57664CC0"/>
    <w:rsid w:val="57827AD7"/>
    <w:rsid w:val="57C00874"/>
    <w:rsid w:val="57C069AE"/>
    <w:rsid w:val="57DF519E"/>
    <w:rsid w:val="57F42D41"/>
    <w:rsid w:val="57FB1E12"/>
    <w:rsid w:val="58042049"/>
    <w:rsid w:val="580C5A23"/>
    <w:rsid w:val="58430F7C"/>
    <w:rsid w:val="58463DB1"/>
    <w:rsid w:val="58597A5F"/>
    <w:rsid w:val="586E1939"/>
    <w:rsid w:val="58733B38"/>
    <w:rsid w:val="588F4C03"/>
    <w:rsid w:val="58AB6E2E"/>
    <w:rsid w:val="58C01CB1"/>
    <w:rsid w:val="58C425E6"/>
    <w:rsid w:val="590066E2"/>
    <w:rsid w:val="59263C11"/>
    <w:rsid w:val="597C07CB"/>
    <w:rsid w:val="597F003C"/>
    <w:rsid w:val="59D13967"/>
    <w:rsid w:val="5A221372"/>
    <w:rsid w:val="5A8F7E8C"/>
    <w:rsid w:val="5A92305F"/>
    <w:rsid w:val="5A947B93"/>
    <w:rsid w:val="5AE22263"/>
    <w:rsid w:val="5B172EA1"/>
    <w:rsid w:val="5B1769FD"/>
    <w:rsid w:val="5B184523"/>
    <w:rsid w:val="5B1E42D9"/>
    <w:rsid w:val="5B2335F4"/>
    <w:rsid w:val="5B433C96"/>
    <w:rsid w:val="5B585A42"/>
    <w:rsid w:val="5B7974BE"/>
    <w:rsid w:val="5B922527"/>
    <w:rsid w:val="5BA86F23"/>
    <w:rsid w:val="5BAD58AC"/>
    <w:rsid w:val="5BAF30D9"/>
    <w:rsid w:val="5BB00A38"/>
    <w:rsid w:val="5BB57FC4"/>
    <w:rsid w:val="5BBD4F2D"/>
    <w:rsid w:val="5BFE7BBD"/>
    <w:rsid w:val="5C125416"/>
    <w:rsid w:val="5C1E3DBB"/>
    <w:rsid w:val="5C2E04A2"/>
    <w:rsid w:val="5C41253D"/>
    <w:rsid w:val="5C4A2E02"/>
    <w:rsid w:val="5C5D48E3"/>
    <w:rsid w:val="5C6907C8"/>
    <w:rsid w:val="5C7C3269"/>
    <w:rsid w:val="5C9D7102"/>
    <w:rsid w:val="5CBC3D00"/>
    <w:rsid w:val="5CCC1A69"/>
    <w:rsid w:val="5CDD5A96"/>
    <w:rsid w:val="5CE47E70"/>
    <w:rsid w:val="5CE84AF5"/>
    <w:rsid w:val="5CFD7E74"/>
    <w:rsid w:val="5D0F4535"/>
    <w:rsid w:val="5D106C02"/>
    <w:rsid w:val="5D3C6BEF"/>
    <w:rsid w:val="5D521DE0"/>
    <w:rsid w:val="5D6B2358"/>
    <w:rsid w:val="5DA33C1E"/>
    <w:rsid w:val="5DAF116F"/>
    <w:rsid w:val="5E264E11"/>
    <w:rsid w:val="5E4A10D9"/>
    <w:rsid w:val="5E5D5B52"/>
    <w:rsid w:val="5E604B5F"/>
    <w:rsid w:val="5EA848A7"/>
    <w:rsid w:val="5EC40C4A"/>
    <w:rsid w:val="5EC549C2"/>
    <w:rsid w:val="5EC5709D"/>
    <w:rsid w:val="5ED82947"/>
    <w:rsid w:val="5EF05EE3"/>
    <w:rsid w:val="5F0059FA"/>
    <w:rsid w:val="5F335AED"/>
    <w:rsid w:val="5F5521EA"/>
    <w:rsid w:val="5F631F12"/>
    <w:rsid w:val="5F90410F"/>
    <w:rsid w:val="5FA6034F"/>
    <w:rsid w:val="5FE61C42"/>
    <w:rsid w:val="5FEF1D4F"/>
    <w:rsid w:val="606049A2"/>
    <w:rsid w:val="60BB09FD"/>
    <w:rsid w:val="60C84D06"/>
    <w:rsid w:val="60F65306"/>
    <w:rsid w:val="60FF41BB"/>
    <w:rsid w:val="6126799A"/>
    <w:rsid w:val="61314591"/>
    <w:rsid w:val="617C580C"/>
    <w:rsid w:val="6185098A"/>
    <w:rsid w:val="61A7112A"/>
    <w:rsid w:val="61AF3E33"/>
    <w:rsid w:val="61D8383E"/>
    <w:rsid w:val="61DC4F2F"/>
    <w:rsid w:val="61F07FA8"/>
    <w:rsid w:val="620902A1"/>
    <w:rsid w:val="62364F22"/>
    <w:rsid w:val="623D6CC3"/>
    <w:rsid w:val="623F45BB"/>
    <w:rsid w:val="62442EBF"/>
    <w:rsid w:val="62443AEA"/>
    <w:rsid w:val="62750C70"/>
    <w:rsid w:val="62855991"/>
    <w:rsid w:val="62A750F4"/>
    <w:rsid w:val="62A96AD4"/>
    <w:rsid w:val="62BD2580"/>
    <w:rsid w:val="62C84579"/>
    <w:rsid w:val="62D81168"/>
    <w:rsid w:val="63534C92"/>
    <w:rsid w:val="6370632C"/>
    <w:rsid w:val="63A31739"/>
    <w:rsid w:val="6416019A"/>
    <w:rsid w:val="64177A6E"/>
    <w:rsid w:val="642529FE"/>
    <w:rsid w:val="643A375C"/>
    <w:rsid w:val="64410F8F"/>
    <w:rsid w:val="6461518D"/>
    <w:rsid w:val="646D1D84"/>
    <w:rsid w:val="647732ED"/>
    <w:rsid w:val="64790728"/>
    <w:rsid w:val="647A5AE9"/>
    <w:rsid w:val="64871EC7"/>
    <w:rsid w:val="64884C14"/>
    <w:rsid w:val="64C85D56"/>
    <w:rsid w:val="65143FAD"/>
    <w:rsid w:val="654C6575"/>
    <w:rsid w:val="655C74EF"/>
    <w:rsid w:val="659713E0"/>
    <w:rsid w:val="65A05841"/>
    <w:rsid w:val="65AB3A7F"/>
    <w:rsid w:val="65C64121"/>
    <w:rsid w:val="65CE2AC8"/>
    <w:rsid w:val="660D2ED6"/>
    <w:rsid w:val="6618187B"/>
    <w:rsid w:val="668D5E58"/>
    <w:rsid w:val="669E73DD"/>
    <w:rsid w:val="66A55799"/>
    <w:rsid w:val="66AF0431"/>
    <w:rsid w:val="66D14200"/>
    <w:rsid w:val="66EB4457"/>
    <w:rsid w:val="67092047"/>
    <w:rsid w:val="6716400D"/>
    <w:rsid w:val="67534662"/>
    <w:rsid w:val="678A67A9"/>
    <w:rsid w:val="67BA0E3C"/>
    <w:rsid w:val="67BC2E06"/>
    <w:rsid w:val="67C4621D"/>
    <w:rsid w:val="67E934CF"/>
    <w:rsid w:val="680B78E9"/>
    <w:rsid w:val="68106541"/>
    <w:rsid w:val="681A18DB"/>
    <w:rsid w:val="68330DDF"/>
    <w:rsid w:val="685E210F"/>
    <w:rsid w:val="6860298C"/>
    <w:rsid w:val="688A757B"/>
    <w:rsid w:val="689E440A"/>
    <w:rsid w:val="68A11FFC"/>
    <w:rsid w:val="68A613C0"/>
    <w:rsid w:val="68B65AA7"/>
    <w:rsid w:val="68B85D9E"/>
    <w:rsid w:val="68BC6E36"/>
    <w:rsid w:val="68C42F08"/>
    <w:rsid w:val="68E51EE8"/>
    <w:rsid w:val="68F71B4A"/>
    <w:rsid w:val="691602F4"/>
    <w:rsid w:val="692443C4"/>
    <w:rsid w:val="69A7779B"/>
    <w:rsid w:val="69B30320"/>
    <w:rsid w:val="69B31251"/>
    <w:rsid w:val="69B96762"/>
    <w:rsid w:val="69D837FB"/>
    <w:rsid w:val="6A1707C7"/>
    <w:rsid w:val="6A3B56EF"/>
    <w:rsid w:val="6A4178F9"/>
    <w:rsid w:val="6A4A6A5B"/>
    <w:rsid w:val="6A576E16"/>
    <w:rsid w:val="6AD40467"/>
    <w:rsid w:val="6AD9782B"/>
    <w:rsid w:val="6AF428B7"/>
    <w:rsid w:val="6B032AFA"/>
    <w:rsid w:val="6B037BDF"/>
    <w:rsid w:val="6B0F3052"/>
    <w:rsid w:val="6B1B7628"/>
    <w:rsid w:val="6B3C600C"/>
    <w:rsid w:val="6B3D24B0"/>
    <w:rsid w:val="6B5D72B8"/>
    <w:rsid w:val="6B7B450B"/>
    <w:rsid w:val="6B8C4FFE"/>
    <w:rsid w:val="6BA265C6"/>
    <w:rsid w:val="6BBE5E1B"/>
    <w:rsid w:val="6BC77FCB"/>
    <w:rsid w:val="6BD85894"/>
    <w:rsid w:val="6BE75F78"/>
    <w:rsid w:val="6C007039"/>
    <w:rsid w:val="6C1B3E73"/>
    <w:rsid w:val="6C270A6A"/>
    <w:rsid w:val="6C2E5151"/>
    <w:rsid w:val="6C353187"/>
    <w:rsid w:val="6C501D6F"/>
    <w:rsid w:val="6C5630FD"/>
    <w:rsid w:val="6C57095D"/>
    <w:rsid w:val="6C5E658D"/>
    <w:rsid w:val="6C69293D"/>
    <w:rsid w:val="6C77547D"/>
    <w:rsid w:val="6C7D4DAE"/>
    <w:rsid w:val="6C7F1300"/>
    <w:rsid w:val="6C830396"/>
    <w:rsid w:val="6C8B5C21"/>
    <w:rsid w:val="6C9958B1"/>
    <w:rsid w:val="6CC66319"/>
    <w:rsid w:val="6CDA5ADC"/>
    <w:rsid w:val="6CE81FA7"/>
    <w:rsid w:val="6D107750"/>
    <w:rsid w:val="6D282CEC"/>
    <w:rsid w:val="6D3E250F"/>
    <w:rsid w:val="6D413DAD"/>
    <w:rsid w:val="6D4D2752"/>
    <w:rsid w:val="6D734B75"/>
    <w:rsid w:val="6D7A573B"/>
    <w:rsid w:val="6D7A7BF5"/>
    <w:rsid w:val="6D7E46BA"/>
    <w:rsid w:val="6D8C003B"/>
    <w:rsid w:val="6D8E05A2"/>
    <w:rsid w:val="6DA265FA"/>
    <w:rsid w:val="6DA30088"/>
    <w:rsid w:val="6DAA54AF"/>
    <w:rsid w:val="6DD93FE6"/>
    <w:rsid w:val="6DEA7FA1"/>
    <w:rsid w:val="6DF84813"/>
    <w:rsid w:val="6DFF1C9E"/>
    <w:rsid w:val="6E156A76"/>
    <w:rsid w:val="6E27481B"/>
    <w:rsid w:val="6E49116B"/>
    <w:rsid w:val="6E66587A"/>
    <w:rsid w:val="6E6C718D"/>
    <w:rsid w:val="6E865F1C"/>
    <w:rsid w:val="6E8977BA"/>
    <w:rsid w:val="6E9D5013"/>
    <w:rsid w:val="6EB011EB"/>
    <w:rsid w:val="6EC8234F"/>
    <w:rsid w:val="6EEF62AD"/>
    <w:rsid w:val="6F0817D1"/>
    <w:rsid w:val="6F1A57AF"/>
    <w:rsid w:val="6F2E0918"/>
    <w:rsid w:val="6F2E4AF3"/>
    <w:rsid w:val="6F8F7052"/>
    <w:rsid w:val="6F93364C"/>
    <w:rsid w:val="6FB8117E"/>
    <w:rsid w:val="6FE27182"/>
    <w:rsid w:val="6FFB60BB"/>
    <w:rsid w:val="700417EE"/>
    <w:rsid w:val="700C64C3"/>
    <w:rsid w:val="700F0193"/>
    <w:rsid w:val="701E2184"/>
    <w:rsid w:val="70243426"/>
    <w:rsid w:val="702A0B29"/>
    <w:rsid w:val="70331310"/>
    <w:rsid w:val="703D260A"/>
    <w:rsid w:val="7072591B"/>
    <w:rsid w:val="707C3A1E"/>
    <w:rsid w:val="70A266F9"/>
    <w:rsid w:val="70AA2DBF"/>
    <w:rsid w:val="70ED4903"/>
    <w:rsid w:val="711361A6"/>
    <w:rsid w:val="71167DAF"/>
    <w:rsid w:val="71235CA4"/>
    <w:rsid w:val="71557614"/>
    <w:rsid w:val="716123F7"/>
    <w:rsid w:val="71970440"/>
    <w:rsid w:val="719721EE"/>
    <w:rsid w:val="71D50FD6"/>
    <w:rsid w:val="71D7565D"/>
    <w:rsid w:val="71E116BB"/>
    <w:rsid w:val="71E52F59"/>
    <w:rsid w:val="71E61425"/>
    <w:rsid w:val="71F92EA9"/>
    <w:rsid w:val="7218332F"/>
    <w:rsid w:val="72203F91"/>
    <w:rsid w:val="724A3704"/>
    <w:rsid w:val="724C4D86"/>
    <w:rsid w:val="72543DC4"/>
    <w:rsid w:val="72C62D8B"/>
    <w:rsid w:val="72C8707A"/>
    <w:rsid w:val="73010267"/>
    <w:rsid w:val="732B59BF"/>
    <w:rsid w:val="73306456"/>
    <w:rsid w:val="739C4A95"/>
    <w:rsid w:val="73B07597"/>
    <w:rsid w:val="73B25925"/>
    <w:rsid w:val="73B37C10"/>
    <w:rsid w:val="73CC5185"/>
    <w:rsid w:val="73DB10EC"/>
    <w:rsid w:val="73F12089"/>
    <w:rsid w:val="740718AD"/>
    <w:rsid w:val="74123DAE"/>
    <w:rsid w:val="74220495"/>
    <w:rsid w:val="745148D6"/>
    <w:rsid w:val="746E4AAC"/>
    <w:rsid w:val="74720851"/>
    <w:rsid w:val="74AE1D28"/>
    <w:rsid w:val="74BE7A92"/>
    <w:rsid w:val="74DD616A"/>
    <w:rsid w:val="75355FA6"/>
    <w:rsid w:val="753C37D8"/>
    <w:rsid w:val="755251F8"/>
    <w:rsid w:val="756E0815"/>
    <w:rsid w:val="75752846"/>
    <w:rsid w:val="7576554C"/>
    <w:rsid w:val="75863220"/>
    <w:rsid w:val="758F527F"/>
    <w:rsid w:val="75947170"/>
    <w:rsid w:val="75963308"/>
    <w:rsid w:val="75A66EA3"/>
    <w:rsid w:val="75B82733"/>
    <w:rsid w:val="75EB2B08"/>
    <w:rsid w:val="75ED6880"/>
    <w:rsid w:val="763218FE"/>
    <w:rsid w:val="764C5CE7"/>
    <w:rsid w:val="7671300D"/>
    <w:rsid w:val="769972F2"/>
    <w:rsid w:val="76B94A43"/>
    <w:rsid w:val="76C5423A"/>
    <w:rsid w:val="76EC2FDC"/>
    <w:rsid w:val="76F667DF"/>
    <w:rsid w:val="7711659E"/>
    <w:rsid w:val="772462D2"/>
    <w:rsid w:val="773F0A8C"/>
    <w:rsid w:val="7771703D"/>
    <w:rsid w:val="779352F0"/>
    <w:rsid w:val="77D5581E"/>
    <w:rsid w:val="77DC2E91"/>
    <w:rsid w:val="77E93077"/>
    <w:rsid w:val="781F4CEB"/>
    <w:rsid w:val="782B48B7"/>
    <w:rsid w:val="783A0CDB"/>
    <w:rsid w:val="785F6DF6"/>
    <w:rsid w:val="787E1268"/>
    <w:rsid w:val="78850089"/>
    <w:rsid w:val="78A23952"/>
    <w:rsid w:val="78D17470"/>
    <w:rsid w:val="78D43D28"/>
    <w:rsid w:val="78E55F35"/>
    <w:rsid w:val="78F93DB3"/>
    <w:rsid w:val="79005979"/>
    <w:rsid w:val="790B6A53"/>
    <w:rsid w:val="792A094A"/>
    <w:rsid w:val="79734CC1"/>
    <w:rsid w:val="79955265"/>
    <w:rsid w:val="79AE6D28"/>
    <w:rsid w:val="7A081EDB"/>
    <w:rsid w:val="7A1C2B65"/>
    <w:rsid w:val="7A1D11A1"/>
    <w:rsid w:val="7A770E0E"/>
    <w:rsid w:val="7A7F1A71"/>
    <w:rsid w:val="7A862E00"/>
    <w:rsid w:val="7AC00F6A"/>
    <w:rsid w:val="7AD718AD"/>
    <w:rsid w:val="7B1B79EC"/>
    <w:rsid w:val="7B30793B"/>
    <w:rsid w:val="7B333AE6"/>
    <w:rsid w:val="7B4278F3"/>
    <w:rsid w:val="7B462A9E"/>
    <w:rsid w:val="7B821819"/>
    <w:rsid w:val="7B9630A2"/>
    <w:rsid w:val="7BA90803"/>
    <w:rsid w:val="7BD302C6"/>
    <w:rsid w:val="7C0F6C65"/>
    <w:rsid w:val="7C122B9D"/>
    <w:rsid w:val="7C29147F"/>
    <w:rsid w:val="7C305719"/>
    <w:rsid w:val="7C59275C"/>
    <w:rsid w:val="7C5D2DA0"/>
    <w:rsid w:val="7C63002F"/>
    <w:rsid w:val="7C694787"/>
    <w:rsid w:val="7C9C7AC2"/>
    <w:rsid w:val="7CAD0B17"/>
    <w:rsid w:val="7CC36E48"/>
    <w:rsid w:val="7CDE6F23"/>
    <w:rsid w:val="7CE54755"/>
    <w:rsid w:val="7CFE5817"/>
    <w:rsid w:val="7D2D3BAB"/>
    <w:rsid w:val="7D4A0A5C"/>
    <w:rsid w:val="7D5947FB"/>
    <w:rsid w:val="7D747887"/>
    <w:rsid w:val="7D8016C5"/>
    <w:rsid w:val="7D893333"/>
    <w:rsid w:val="7D8F646F"/>
    <w:rsid w:val="7DA261A2"/>
    <w:rsid w:val="7DA97E51"/>
    <w:rsid w:val="7DD525A4"/>
    <w:rsid w:val="7DF033B2"/>
    <w:rsid w:val="7DF10ED8"/>
    <w:rsid w:val="7E0429B9"/>
    <w:rsid w:val="7E461224"/>
    <w:rsid w:val="7E6F61AB"/>
    <w:rsid w:val="7E9C2F88"/>
    <w:rsid w:val="7E9D17A1"/>
    <w:rsid w:val="7ECC200C"/>
    <w:rsid w:val="7ED02D36"/>
    <w:rsid w:val="7EFB3DBC"/>
    <w:rsid w:val="7F030EC3"/>
    <w:rsid w:val="7F201A75"/>
    <w:rsid w:val="7F2A3E1C"/>
    <w:rsid w:val="7F5931D8"/>
    <w:rsid w:val="7F5D5499"/>
    <w:rsid w:val="7F6A0F42"/>
    <w:rsid w:val="7F6A2CF0"/>
    <w:rsid w:val="7F9D0738"/>
    <w:rsid w:val="7FDB599C"/>
    <w:rsid w:val="7FE9630A"/>
    <w:rsid w:val="7FF77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keepNext/>
      <w:keepLines/>
      <w:spacing w:line="360" w:lineRule="auto"/>
      <w:jc w:val="center"/>
      <w:outlineLvl w:val="0"/>
    </w:pPr>
    <w:rPr>
      <w:b/>
      <w:kern w:val="44"/>
      <w:sz w:val="36"/>
      <w:szCs w:val="44"/>
    </w:rPr>
  </w:style>
  <w:style w:type="paragraph" w:styleId="3">
    <w:name w:val="heading 2"/>
    <w:basedOn w:val="1"/>
    <w:next w:val="1"/>
    <w:link w:val="28"/>
    <w:qFormat/>
    <w:uiPriority w:val="9"/>
    <w:pPr>
      <w:keepNext/>
      <w:keepLines/>
      <w:spacing w:line="360" w:lineRule="auto"/>
      <w:outlineLvl w:val="1"/>
    </w:pPr>
    <w:rPr>
      <w:rFonts w:hAnsi="宋体"/>
      <w:b/>
      <w:bCs/>
      <w:sz w:val="32"/>
      <w:szCs w:val="32"/>
    </w:rPr>
  </w:style>
  <w:style w:type="paragraph" w:styleId="4">
    <w:name w:val="heading 3"/>
    <w:basedOn w:val="1"/>
    <w:next w:val="1"/>
    <w:qFormat/>
    <w:uiPriority w:val="0"/>
    <w:pPr>
      <w:keepNext/>
      <w:keepLines/>
      <w:spacing w:before="260" w:after="260" w:line="412" w:lineRule="auto"/>
      <w:jc w:val="left"/>
      <w:outlineLvl w:val="2"/>
    </w:pPr>
    <w:rPr>
      <w:b/>
      <w:sz w:val="24"/>
      <w:szCs w:val="32"/>
    </w:rPr>
  </w:style>
  <w:style w:type="paragraph" w:styleId="5">
    <w:name w:val="heading 4"/>
    <w:basedOn w:val="1"/>
    <w:next w:val="1"/>
    <w:qFormat/>
    <w:uiPriority w:val="0"/>
    <w:pPr>
      <w:numPr>
        <w:ilvl w:val="1"/>
        <w:numId w:val="1"/>
      </w:numPr>
      <w:spacing w:line="360" w:lineRule="auto"/>
      <w:outlineLvl w:val="3"/>
    </w:pPr>
    <w:rPr>
      <w:rFonts w:ascii="Arial" w:hAnsi="Arial"/>
      <w:bCs/>
      <w:sz w:val="24"/>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61"/>
    <w:autoRedefine/>
    <w:unhideWhenUsed/>
    <w:qFormat/>
    <w:uiPriority w:val="99"/>
    <w:pPr>
      <w:adjustRightInd w:val="0"/>
      <w:ind w:firstLine="420"/>
      <w:jc w:val="left"/>
      <w:textAlignment w:val="baseline"/>
    </w:pPr>
    <w:rPr>
      <w:rFonts w:eastAsia="楷体_GB2312"/>
      <w:sz w:val="24"/>
      <w:szCs w:val="20"/>
    </w:rPr>
  </w:style>
  <w:style w:type="paragraph" w:styleId="7">
    <w:name w:val="caption"/>
    <w:basedOn w:val="1"/>
    <w:next w:val="1"/>
    <w:autoRedefine/>
    <w:qFormat/>
    <w:uiPriority w:val="0"/>
    <w:rPr>
      <w:rFonts w:ascii="Arial" w:hAnsi="Arial" w:eastAsia="黑体"/>
      <w:sz w:val="20"/>
    </w:rPr>
  </w:style>
  <w:style w:type="paragraph" w:styleId="8">
    <w:name w:val="annotation text"/>
    <w:basedOn w:val="1"/>
    <w:link w:val="38"/>
    <w:autoRedefine/>
    <w:qFormat/>
    <w:uiPriority w:val="0"/>
    <w:pPr>
      <w:jc w:val="left"/>
    </w:pPr>
  </w:style>
  <w:style w:type="paragraph" w:styleId="9">
    <w:name w:val="Body Text"/>
    <w:basedOn w:val="1"/>
    <w:next w:val="10"/>
    <w:autoRedefine/>
    <w:qFormat/>
    <w:uiPriority w:val="0"/>
    <w:pPr>
      <w:spacing w:after="120"/>
    </w:pPr>
  </w:style>
  <w:style w:type="paragraph" w:styleId="10">
    <w:name w:val="toc 2"/>
    <w:basedOn w:val="1"/>
    <w:next w:val="1"/>
    <w:autoRedefine/>
    <w:unhideWhenUsed/>
    <w:qFormat/>
    <w:uiPriority w:val="39"/>
    <w:pPr>
      <w:ind w:left="210"/>
      <w:jc w:val="left"/>
    </w:pPr>
    <w:rPr>
      <w:smallCaps/>
      <w:sz w:val="20"/>
      <w:szCs w:val="20"/>
    </w:rPr>
  </w:style>
  <w:style w:type="paragraph" w:styleId="11">
    <w:name w:val="Body Text Indent"/>
    <w:basedOn w:val="1"/>
    <w:autoRedefine/>
    <w:qFormat/>
    <w:uiPriority w:val="99"/>
    <w:pPr>
      <w:spacing w:after="120"/>
      <w:ind w:left="420" w:leftChars="200"/>
    </w:pPr>
    <w:rPr>
      <w:sz w:val="22"/>
    </w:rPr>
  </w:style>
  <w:style w:type="paragraph" w:styleId="12">
    <w:name w:val="Plain Text"/>
    <w:basedOn w:val="1"/>
    <w:autoRedefine/>
    <w:qFormat/>
    <w:uiPriority w:val="0"/>
    <w:rPr>
      <w:rFonts w:ascii="宋体" w:hAnsi="Courier New"/>
      <w:b/>
      <w:szCs w:val="20"/>
    </w:rPr>
  </w:style>
  <w:style w:type="paragraph" w:styleId="13">
    <w:name w:val="Balloon Text"/>
    <w:basedOn w:val="1"/>
    <w:link w:val="35"/>
    <w:autoRedefine/>
    <w:qFormat/>
    <w:uiPriority w:val="0"/>
    <w:rPr>
      <w:sz w:val="18"/>
      <w:szCs w:val="18"/>
    </w:rPr>
  </w:style>
  <w:style w:type="paragraph" w:styleId="14">
    <w:name w:val="footer"/>
    <w:basedOn w:val="1"/>
    <w:autoRedefine/>
    <w:unhideWhenUsed/>
    <w:qFormat/>
    <w:uiPriority w:val="0"/>
    <w:pPr>
      <w:tabs>
        <w:tab w:val="center" w:pos="4153"/>
        <w:tab w:val="right" w:pos="8306"/>
      </w:tabs>
      <w:snapToGrid w:val="0"/>
      <w:jc w:val="left"/>
    </w:pPr>
    <w:rPr>
      <w:sz w:val="18"/>
    </w:rPr>
  </w:style>
  <w:style w:type="paragraph" w:styleId="15">
    <w:name w:val="header"/>
    <w:basedOn w:val="1"/>
    <w:next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6">
    <w:name w:val="toc 1"/>
    <w:basedOn w:val="1"/>
    <w:next w:val="1"/>
    <w:autoRedefine/>
    <w:unhideWhenUsed/>
    <w:qFormat/>
    <w:uiPriority w:val="39"/>
    <w:pPr>
      <w:jc w:val="left"/>
    </w:pPr>
    <w:rPr>
      <w:b/>
      <w:bCs/>
      <w:caps/>
      <w:sz w:val="20"/>
      <w:szCs w:val="20"/>
    </w:rPr>
  </w:style>
  <w:style w:type="paragraph" w:styleId="17">
    <w:name w:val="Normal (Web)"/>
    <w:basedOn w:val="1"/>
    <w:autoRedefine/>
    <w:unhideWhenUsed/>
    <w:qFormat/>
    <w:uiPriority w:val="0"/>
    <w:pPr>
      <w:widowControl/>
      <w:spacing w:before="75" w:after="75"/>
      <w:ind w:left="75" w:right="75"/>
      <w:jc w:val="left"/>
    </w:pPr>
    <w:rPr>
      <w:rFonts w:ascii="宋体" w:hAnsi="宋体" w:cs="宋体"/>
      <w:kern w:val="0"/>
      <w:sz w:val="24"/>
    </w:rPr>
  </w:style>
  <w:style w:type="paragraph" w:styleId="18">
    <w:name w:val="annotation subject"/>
    <w:basedOn w:val="8"/>
    <w:next w:val="8"/>
    <w:link w:val="39"/>
    <w:autoRedefine/>
    <w:qFormat/>
    <w:uiPriority w:val="0"/>
    <w:rPr>
      <w:b/>
      <w:bCs/>
    </w:rPr>
  </w:style>
  <w:style w:type="paragraph" w:styleId="19">
    <w:name w:val="Body Text First Indent 2"/>
    <w:basedOn w:val="11"/>
    <w:autoRedefine/>
    <w:qFormat/>
    <w:uiPriority w:val="0"/>
    <w:pPr>
      <w:ind w:firstLine="420" w:firstLineChars="200"/>
    </w:pPr>
    <w:rPr>
      <w:sz w:val="21"/>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page number"/>
    <w:basedOn w:val="22"/>
    <w:autoRedefine/>
    <w:unhideWhenUsed/>
    <w:qFormat/>
    <w:uiPriority w:val="99"/>
  </w:style>
  <w:style w:type="character" w:styleId="24">
    <w:name w:val="annotation reference"/>
    <w:basedOn w:val="22"/>
    <w:autoRedefine/>
    <w:qFormat/>
    <w:uiPriority w:val="0"/>
    <w:rPr>
      <w:sz w:val="21"/>
      <w:szCs w:val="21"/>
    </w:rPr>
  </w:style>
  <w:style w:type="paragraph" w:customStyle="1" w:styleId="25">
    <w:name w:val="&quot;Normal&quot;"/>
    <w:autoRedefine/>
    <w:qFormat/>
    <w:uiPriority w:val="0"/>
    <w:pPr>
      <w:widowControl w:val="0"/>
      <w:adjustRightInd w:val="0"/>
      <w:spacing w:line="312" w:lineRule="atLeast"/>
      <w:jc w:val="both"/>
    </w:pPr>
    <w:rPr>
      <w:rFonts w:ascii="宋体" w:hAnsi="Calibri" w:eastAsia="宋体" w:cs="Times New Roman"/>
      <w:sz w:val="34"/>
      <w:lang w:val="en-US" w:eastAsia="zh-CN" w:bidi="ar-SA"/>
    </w:rPr>
  </w:style>
  <w:style w:type="paragraph" w:customStyle="1" w:styleId="26">
    <w:name w:val="表内"/>
    <w:basedOn w:val="1"/>
    <w:qFormat/>
    <w:uiPriority w:val="0"/>
    <w:pPr>
      <w:spacing w:line="300" w:lineRule="auto"/>
    </w:pPr>
    <w:rPr>
      <w:bCs/>
      <w:kern w:val="0"/>
      <w:szCs w:val="21"/>
      <w:lang w:eastAsia="zh-TW"/>
    </w:rPr>
  </w:style>
  <w:style w:type="paragraph" w:customStyle="1" w:styleId="2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28">
    <w:name w:val="标题 2 字符"/>
    <w:link w:val="3"/>
    <w:qFormat/>
    <w:uiPriority w:val="9"/>
    <w:rPr>
      <w:rFonts w:ascii="宋体" w:hAnsi="宋体" w:eastAsia="宋体"/>
      <w:b/>
      <w:bCs/>
      <w:kern w:val="0"/>
      <w:sz w:val="32"/>
      <w:szCs w:val="32"/>
    </w:rPr>
  </w:style>
  <w:style w:type="character" w:customStyle="1" w:styleId="29">
    <w:name w:val="标题 1 字符"/>
    <w:link w:val="2"/>
    <w:qFormat/>
    <w:uiPriority w:val="0"/>
    <w:rPr>
      <w:rFonts w:eastAsia="宋体"/>
      <w:b/>
      <w:kern w:val="44"/>
      <w:sz w:val="36"/>
      <w:szCs w:val="44"/>
    </w:rPr>
  </w:style>
  <w:style w:type="paragraph" w:customStyle="1" w:styleId="30">
    <w:name w:val="样式2"/>
    <w:basedOn w:val="1"/>
    <w:next w:val="1"/>
    <w:autoRedefine/>
    <w:qFormat/>
    <w:uiPriority w:val="0"/>
    <w:pPr>
      <w:numPr>
        <w:ilvl w:val="1"/>
        <w:numId w:val="2"/>
      </w:numPr>
      <w:spacing w:before="240" w:after="240"/>
      <w:outlineLvl w:val="1"/>
    </w:pPr>
    <w:rPr>
      <w:rFonts w:eastAsia="黑体"/>
      <w:b/>
      <w:sz w:val="36"/>
    </w:rPr>
  </w:style>
  <w:style w:type="paragraph" w:customStyle="1" w:styleId="31">
    <w:name w:val="p0"/>
    <w:basedOn w:val="1"/>
    <w:qFormat/>
    <w:uiPriority w:val="0"/>
    <w:pPr>
      <w:widowControl/>
    </w:pPr>
    <w:rPr>
      <w:kern w:val="0"/>
      <w:szCs w:val="21"/>
    </w:rPr>
  </w:style>
  <w:style w:type="paragraph" w:customStyle="1" w:styleId="32">
    <w:name w:val="纯文本1"/>
    <w:basedOn w:val="1"/>
    <w:qFormat/>
    <w:uiPriority w:val="0"/>
    <w:pPr>
      <w:adjustRightInd w:val="0"/>
      <w:textAlignment w:val="baseline"/>
    </w:pPr>
    <w:rPr>
      <w:rFonts w:ascii="宋体" w:hAnsi="Courier New" w:eastAsia="楷体_GB2312"/>
      <w:sz w:val="28"/>
      <w:szCs w:val="20"/>
    </w:rPr>
  </w:style>
  <w:style w:type="paragraph" w:customStyle="1" w:styleId="33">
    <w:name w:val="1册标题1"/>
    <w:basedOn w:val="1"/>
    <w:next w:val="1"/>
    <w:autoRedefine/>
    <w:qFormat/>
    <w:uiPriority w:val="0"/>
    <w:pPr>
      <w:spacing w:beforeLines="50" w:afterLines="50"/>
      <w:jc w:val="center"/>
      <w:outlineLvl w:val="0"/>
    </w:pPr>
    <w:rPr>
      <w:rFonts w:ascii="宋体" w:hAnsi="宋体"/>
      <w:b/>
      <w:bCs/>
      <w:sz w:val="32"/>
      <w:szCs w:val="44"/>
    </w:rPr>
  </w:style>
  <w:style w:type="character" w:customStyle="1" w:styleId="34">
    <w:name w:val="font21"/>
    <w:basedOn w:val="22"/>
    <w:qFormat/>
    <w:uiPriority w:val="0"/>
    <w:rPr>
      <w:rFonts w:hint="eastAsia" w:ascii="宋体" w:hAnsi="宋体" w:eastAsia="宋体" w:cs="宋体"/>
      <w:color w:val="000000"/>
      <w:sz w:val="22"/>
      <w:szCs w:val="22"/>
      <w:u w:val="none"/>
    </w:rPr>
  </w:style>
  <w:style w:type="character" w:customStyle="1" w:styleId="35">
    <w:name w:val="批注框文本 字符"/>
    <w:basedOn w:val="22"/>
    <w:link w:val="13"/>
    <w:qFormat/>
    <w:uiPriority w:val="0"/>
    <w:rPr>
      <w:rFonts w:ascii="Calibri" w:hAnsi="Calibri"/>
      <w:kern w:val="2"/>
      <w:sz w:val="18"/>
      <w:szCs w:val="18"/>
    </w:rPr>
  </w:style>
  <w:style w:type="paragraph" w:customStyle="1" w:styleId="36">
    <w:name w:val="Table Paragraph"/>
    <w:basedOn w:val="1"/>
    <w:qFormat/>
    <w:uiPriority w:val="0"/>
    <w:rPr>
      <w:rFonts w:ascii="Times New Roman" w:hAnsi="Times New Roman"/>
    </w:rPr>
  </w:style>
  <w:style w:type="paragraph" w:customStyle="1" w:styleId="37">
    <w:name w:val="列出段落4"/>
    <w:basedOn w:val="1"/>
    <w:qFormat/>
    <w:uiPriority w:val="99"/>
    <w:pPr>
      <w:ind w:firstLine="420" w:firstLineChars="200"/>
    </w:pPr>
  </w:style>
  <w:style w:type="character" w:customStyle="1" w:styleId="38">
    <w:name w:val="批注文字 字符"/>
    <w:basedOn w:val="22"/>
    <w:link w:val="8"/>
    <w:qFormat/>
    <w:uiPriority w:val="0"/>
    <w:rPr>
      <w:rFonts w:ascii="Calibri" w:hAnsi="Calibri"/>
      <w:kern w:val="2"/>
      <w:sz w:val="21"/>
      <w:szCs w:val="24"/>
    </w:rPr>
  </w:style>
  <w:style w:type="character" w:customStyle="1" w:styleId="39">
    <w:name w:val="批注主题 字符"/>
    <w:basedOn w:val="38"/>
    <w:link w:val="18"/>
    <w:qFormat/>
    <w:uiPriority w:val="0"/>
    <w:rPr>
      <w:rFonts w:ascii="Calibri" w:hAnsi="Calibri"/>
      <w:b/>
      <w:bCs/>
      <w:kern w:val="2"/>
      <w:sz w:val="21"/>
      <w:szCs w:val="24"/>
    </w:rPr>
  </w:style>
  <w:style w:type="paragraph" w:customStyle="1" w:styleId="40">
    <w:name w:val="标题2"/>
    <w:basedOn w:val="3"/>
    <w:qFormat/>
    <w:uiPriority w:val="0"/>
    <w:pPr>
      <w:keepLines w:val="0"/>
      <w:widowControl/>
      <w:tabs>
        <w:tab w:val="left" w:pos="0"/>
        <w:tab w:val="left" w:pos="1814"/>
      </w:tabs>
      <w:spacing w:before="320" w:after="160" w:line="240" w:lineRule="auto"/>
      <w:ind w:left="1260" w:hanging="420"/>
      <w:jc w:val="left"/>
    </w:pPr>
    <w:rPr>
      <w:rFonts w:eastAsia="Times New Roman"/>
      <w:spacing w:val="20"/>
      <w:kern w:val="28"/>
      <w:sz w:val="28"/>
      <w:szCs w:val="28"/>
      <w:lang w:eastAsia="en-US"/>
    </w:rPr>
  </w:style>
  <w:style w:type="paragraph" w:customStyle="1" w:styleId="41">
    <w:name w:val="列表段落1"/>
    <w:basedOn w:val="1"/>
    <w:qFormat/>
    <w:uiPriority w:val="34"/>
    <w:pPr>
      <w:ind w:firstLine="420" w:firstLineChars="200"/>
    </w:pPr>
  </w:style>
  <w:style w:type="character" w:customStyle="1" w:styleId="42">
    <w:name w:val="font01"/>
    <w:basedOn w:val="22"/>
    <w:qFormat/>
    <w:uiPriority w:val="0"/>
    <w:rPr>
      <w:rFonts w:hint="default" w:ascii="仿宋_GB2312" w:hAnsi="Calibri" w:eastAsia="仿宋_GB2312" w:cs="仿宋_GB2312"/>
      <w:color w:val="FF0000"/>
      <w:sz w:val="28"/>
      <w:szCs w:val="28"/>
      <w:u w:val="none"/>
    </w:rPr>
  </w:style>
  <w:style w:type="paragraph" w:styleId="43">
    <w:name w:val="List Paragraph"/>
    <w:basedOn w:val="1"/>
    <w:autoRedefine/>
    <w:qFormat/>
    <w:uiPriority w:val="34"/>
    <w:pPr>
      <w:ind w:firstLine="420" w:firstLineChars="200"/>
    </w:pPr>
  </w:style>
  <w:style w:type="paragraph" w:customStyle="1" w:styleId="4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45">
    <w:name w:val="font11"/>
    <w:basedOn w:val="22"/>
    <w:qFormat/>
    <w:uiPriority w:val="0"/>
    <w:rPr>
      <w:rFonts w:hint="eastAsia" w:ascii="宋体" w:hAnsi="宋体" w:eastAsia="宋体" w:cs="宋体"/>
      <w:bCs/>
      <w:color w:val="000000"/>
      <w:sz w:val="22"/>
      <w:szCs w:val="22"/>
      <w:u w:val="none"/>
    </w:rPr>
  </w:style>
  <w:style w:type="paragraph" w:customStyle="1" w:styleId="46">
    <w:name w:val="!正文"/>
    <w:basedOn w:val="1"/>
    <w:qFormat/>
    <w:uiPriority w:val="0"/>
    <w:pPr>
      <w:spacing w:line="360" w:lineRule="auto"/>
      <w:ind w:firstLine="200" w:firstLineChars="200"/>
    </w:pPr>
    <w:rPr>
      <w:rFonts w:cs="Calibri"/>
      <w:sz w:val="24"/>
    </w:rPr>
  </w:style>
  <w:style w:type="paragraph" w:customStyle="1" w:styleId="47">
    <w:name w:val="F1 1"/>
    <w:basedOn w:val="1"/>
    <w:autoRedefine/>
    <w:qFormat/>
    <w:uiPriority w:val="0"/>
    <w:pPr>
      <w:numPr>
        <w:ilvl w:val="0"/>
        <w:numId w:val="3"/>
      </w:numPr>
      <w:spacing w:before="10" w:beforeLines="10" w:after="10" w:afterLines="10" w:line="360" w:lineRule="auto"/>
      <w:outlineLvl w:val="0"/>
    </w:pPr>
    <w:rPr>
      <w:rFonts w:eastAsia="仿宋" w:asciiTheme="minorHAnsi" w:hAnsiTheme="minorHAnsi" w:cstheme="minorBidi"/>
      <w:b/>
      <w:sz w:val="28"/>
      <w:szCs w:val="22"/>
    </w:rPr>
  </w:style>
  <w:style w:type="paragraph" w:customStyle="1" w:styleId="48">
    <w:name w:val="F1 2"/>
    <w:basedOn w:val="1"/>
    <w:link w:val="56"/>
    <w:autoRedefine/>
    <w:qFormat/>
    <w:uiPriority w:val="0"/>
    <w:pPr>
      <w:numPr>
        <w:ilvl w:val="1"/>
        <w:numId w:val="3"/>
      </w:numPr>
      <w:spacing w:before="31" w:beforeLines="10" w:after="31" w:afterLines="10" w:line="360" w:lineRule="auto"/>
      <w:outlineLvl w:val="1"/>
    </w:pPr>
    <w:rPr>
      <w:rFonts w:eastAsia="仿宋" w:asciiTheme="minorHAnsi" w:hAnsiTheme="minorHAnsi" w:cstheme="minorBidi"/>
      <w:b/>
      <w:sz w:val="28"/>
      <w:szCs w:val="22"/>
    </w:rPr>
  </w:style>
  <w:style w:type="paragraph" w:customStyle="1" w:styleId="49">
    <w:name w:val="F1 4"/>
    <w:basedOn w:val="50"/>
    <w:link w:val="58"/>
    <w:autoRedefine/>
    <w:qFormat/>
    <w:uiPriority w:val="0"/>
    <w:pPr>
      <w:numPr>
        <w:ilvl w:val="3"/>
      </w:numPr>
      <w:outlineLvl w:val="3"/>
    </w:pPr>
    <w:rPr>
      <w:rFonts w:ascii="宋体" w:hAnsi="宋体"/>
      <w:bCs/>
      <w:sz w:val="24"/>
      <w:szCs w:val="24"/>
    </w:rPr>
  </w:style>
  <w:style w:type="paragraph" w:customStyle="1" w:styleId="50">
    <w:name w:val="F1 3"/>
    <w:basedOn w:val="48"/>
    <w:link w:val="57"/>
    <w:autoRedefine/>
    <w:qFormat/>
    <w:uiPriority w:val="0"/>
    <w:pPr>
      <w:numPr>
        <w:ilvl w:val="2"/>
      </w:numPr>
      <w:outlineLvl w:val="2"/>
    </w:pPr>
  </w:style>
  <w:style w:type="paragraph" w:customStyle="1" w:styleId="51">
    <w:name w:val="F1  5"/>
    <w:basedOn w:val="49"/>
    <w:autoRedefine/>
    <w:qFormat/>
    <w:uiPriority w:val="0"/>
    <w:pPr>
      <w:numPr>
        <w:ilvl w:val="4"/>
      </w:numPr>
      <w:tabs>
        <w:tab w:val="left" w:pos="360"/>
      </w:tabs>
      <w:outlineLvl w:val="4"/>
    </w:pPr>
  </w:style>
  <w:style w:type="paragraph" w:customStyle="1" w:styleId="52">
    <w:name w:val="F1  6"/>
    <w:basedOn w:val="51"/>
    <w:autoRedefine/>
    <w:qFormat/>
    <w:uiPriority w:val="0"/>
    <w:pPr>
      <w:numPr>
        <w:ilvl w:val="5"/>
      </w:numPr>
      <w:outlineLvl w:val="5"/>
    </w:pPr>
  </w:style>
  <w:style w:type="paragraph" w:customStyle="1" w:styleId="53">
    <w:name w:val="F1  7"/>
    <w:basedOn w:val="52"/>
    <w:autoRedefine/>
    <w:qFormat/>
    <w:uiPriority w:val="0"/>
    <w:pPr>
      <w:numPr>
        <w:ilvl w:val="6"/>
      </w:numPr>
      <w:outlineLvl w:val="6"/>
    </w:pPr>
  </w:style>
  <w:style w:type="paragraph" w:customStyle="1" w:styleId="54">
    <w:name w:val="F1  8"/>
    <w:basedOn w:val="53"/>
    <w:autoRedefine/>
    <w:qFormat/>
    <w:uiPriority w:val="0"/>
    <w:pPr>
      <w:numPr>
        <w:ilvl w:val="7"/>
      </w:numPr>
      <w:outlineLvl w:val="7"/>
    </w:pPr>
  </w:style>
  <w:style w:type="paragraph" w:customStyle="1" w:styleId="55">
    <w:name w:val="F1  9"/>
    <w:basedOn w:val="54"/>
    <w:qFormat/>
    <w:uiPriority w:val="0"/>
    <w:pPr>
      <w:numPr>
        <w:ilvl w:val="8"/>
      </w:numPr>
      <w:outlineLvl w:val="8"/>
    </w:pPr>
  </w:style>
  <w:style w:type="character" w:customStyle="1" w:styleId="56">
    <w:name w:val="F1 2 Char"/>
    <w:basedOn w:val="22"/>
    <w:link w:val="48"/>
    <w:autoRedefine/>
    <w:qFormat/>
    <w:uiPriority w:val="0"/>
    <w:rPr>
      <w:rFonts w:eastAsia="仿宋" w:asciiTheme="minorHAnsi" w:hAnsiTheme="minorHAnsi" w:cstheme="minorBidi"/>
      <w:b/>
      <w:kern w:val="2"/>
      <w:sz w:val="28"/>
      <w:szCs w:val="22"/>
    </w:rPr>
  </w:style>
  <w:style w:type="character" w:customStyle="1" w:styleId="57">
    <w:name w:val="F1 3 Char"/>
    <w:basedOn w:val="56"/>
    <w:link w:val="50"/>
    <w:autoRedefine/>
    <w:qFormat/>
    <w:uiPriority w:val="0"/>
    <w:rPr>
      <w:rFonts w:eastAsia="仿宋" w:asciiTheme="minorHAnsi" w:hAnsiTheme="minorHAnsi" w:cstheme="minorBidi"/>
      <w:kern w:val="2"/>
      <w:sz w:val="28"/>
      <w:szCs w:val="22"/>
    </w:rPr>
  </w:style>
  <w:style w:type="character" w:customStyle="1" w:styleId="58">
    <w:name w:val="F1 4 Char"/>
    <w:basedOn w:val="57"/>
    <w:link w:val="49"/>
    <w:autoRedefine/>
    <w:qFormat/>
    <w:uiPriority w:val="0"/>
    <w:rPr>
      <w:rFonts w:ascii="宋体" w:hAnsi="宋体" w:eastAsia="仿宋" w:cstheme="minorBidi"/>
      <w:bCs/>
      <w:kern w:val="2"/>
      <w:sz w:val="24"/>
      <w:szCs w:val="24"/>
    </w:rPr>
  </w:style>
  <w:style w:type="paragraph" w:customStyle="1" w:styleId="59">
    <w:name w:val="正文缩进T"/>
    <w:basedOn w:val="1"/>
    <w:link w:val="60"/>
    <w:autoRedefine/>
    <w:qFormat/>
    <w:uiPriority w:val="0"/>
    <w:pPr>
      <w:spacing w:line="360" w:lineRule="auto"/>
      <w:ind w:firstLine="480" w:firstLineChars="200"/>
    </w:pPr>
    <w:rPr>
      <w:rFonts w:ascii="宋体" w:hAnsi="宋体" w:cs="宋体"/>
      <w:sz w:val="24"/>
    </w:rPr>
  </w:style>
  <w:style w:type="character" w:customStyle="1" w:styleId="60">
    <w:name w:val="正文缩进T Char"/>
    <w:basedOn w:val="22"/>
    <w:link w:val="59"/>
    <w:qFormat/>
    <w:uiPriority w:val="0"/>
    <w:rPr>
      <w:rFonts w:ascii="宋体" w:hAnsi="宋体" w:cs="宋体"/>
      <w:kern w:val="2"/>
      <w:sz w:val="24"/>
      <w:szCs w:val="24"/>
    </w:rPr>
  </w:style>
  <w:style w:type="character" w:customStyle="1" w:styleId="61">
    <w:name w:val="正文缩进 字符"/>
    <w:link w:val="6"/>
    <w:autoRedefine/>
    <w:qFormat/>
    <w:uiPriority w:val="99"/>
    <w:rPr>
      <w:rFonts w:ascii="Calibri" w:hAnsi="Calibri" w:eastAsia="楷体_GB2312"/>
      <w:kern w:val="2"/>
      <w:sz w:val="24"/>
    </w:rPr>
  </w:style>
  <w:style w:type="paragraph" w:customStyle="1" w:styleId="62">
    <w:name w:val="列出段落1"/>
    <w:basedOn w:val="1"/>
    <w:qFormat/>
    <w:uiPriority w:val="0"/>
    <w:rPr>
      <w:rFonts w:ascii="等线" w:hAnsi="等线" w:eastAsia="等线" w:cstheme="minorBidi"/>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28967</Words>
  <Characters>30286</Characters>
  <Lines>191</Lines>
  <Paragraphs>53</Paragraphs>
  <TotalTime>13</TotalTime>
  <ScaleCrop>false</ScaleCrop>
  <LinksUpToDate>false</LinksUpToDate>
  <CharactersWithSpaces>31929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2020-09-16T09:51:00Z</dcterms:created>
  <dc:creator>     ❀      </dc:creator>
  <cp:lastModifiedBy>云雨</cp:lastModifiedBy>
  <cp:lastPrinted>2024-09-09T08:13:00Z</cp:lastPrinted>
  <dcterms:modified xsi:type="dcterms:W3CDTF">2024-10-15T07:42:31Z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8D4B7AF8BB4D417CA504C834163D3B08_13</vt:lpwstr>
  </property>
</Properties>
</file>