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2EB8653">
      <w:pPr>
        <w:widowControl/>
        <w:spacing w:line="600" w:lineRule="atLeast"/>
        <w:jc w:val="center"/>
        <w:textAlignment w:val="bottom"/>
        <w:rPr>
          <w:rFonts w:ascii="宋体" w:hAnsi="宋体" w:cs="宋体"/>
          <w:b/>
          <w:color w:val="000000"/>
          <w:kern w:val="0"/>
          <w:sz w:val="32"/>
          <w:szCs w:val="32"/>
        </w:rPr>
      </w:pPr>
    </w:p>
    <w:p w14:paraId="53BF6416">
      <w:pPr>
        <w:widowControl/>
        <w:jc w:val="center"/>
        <w:rPr>
          <w:rFonts w:hint="eastAsia" w:ascii="宋体" w:hAnsi="宋体" w:eastAsia="宋体" w:cs="宋体"/>
          <w:b/>
          <w:color w:val="000000"/>
          <w:kern w:val="0"/>
          <w:sz w:val="60"/>
          <w:szCs w:val="36"/>
          <w:lang w:val="en-US" w:eastAsia="zh-CN" w:bidi="ar-SA"/>
        </w:rPr>
      </w:pPr>
      <w:bookmarkStart w:id="73" w:name="_GoBack"/>
      <w:r>
        <w:rPr>
          <w:rFonts w:hint="eastAsia" w:ascii="宋体" w:hAnsi="宋体" w:eastAsia="宋体" w:cs="宋体"/>
          <w:b/>
          <w:color w:val="000000"/>
          <w:kern w:val="0"/>
          <w:sz w:val="60"/>
          <w:szCs w:val="36"/>
          <w:lang w:val="en-US" w:eastAsia="zh-CN" w:bidi="ar-SA"/>
        </w:rPr>
        <w:t>低空经济航路建设研究及项目谋划</w:t>
      </w:r>
      <w:bookmarkEnd w:id="73"/>
    </w:p>
    <w:p w14:paraId="137A464D">
      <w:pPr>
        <w:pStyle w:val="28"/>
        <w:jc w:val="center"/>
        <w:rPr>
          <w:sz w:val="32"/>
          <w:szCs w:val="32"/>
        </w:rPr>
      </w:pPr>
    </w:p>
    <w:p w14:paraId="67A83507">
      <w:pPr>
        <w:pStyle w:val="28"/>
        <w:jc w:val="center"/>
        <w:rPr>
          <w:rFonts w:ascii="宋体" w:hAnsi="宋体" w:cs="宋体"/>
          <w:color w:val="000000"/>
          <w:kern w:val="0"/>
          <w:sz w:val="32"/>
          <w:szCs w:val="32"/>
        </w:rPr>
      </w:pPr>
    </w:p>
    <w:p w14:paraId="06049C75">
      <w:pPr>
        <w:pStyle w:val="28"/>
        <w:jc w:val="center"/>
        <w:rPr>
          <w:rFonts w:ascii="宋体" w:hAnsi="宋体" w:cs="宋体"/>
          <w:color w:val="000000"/>
          <w:kern w:val="0"/>
          <w:sz w:val="32"/>
          <w:szCs w:val="32"/>
        </w:rPr>
      </w:pPr>
    </w:p>
    <w:p w14:paraId="11E514D6">
      <w:pPr>
        <w:pStyle w:val="28"/>
        <w:jc w:val="center"/>
        <w:rPr>
          <w:rFonts w:ascii="宋体" w:hAnsi="宋体" w:cs="宋体"/>
          <w:color w:val="000000"/>
          <w:kern w:val="0"/>
          <w:sz w:val="32"/>
          <w:szCs w:val="32"/>
        </w:rPr>
      </w:pPr>
    </w:p>
    <w:p w14:paraId="79D03D1C">
      <w:pPr>
        <w:pStyle w:val="18"/>
        <w:widowControl/>
        <w:spacing w:before="0" w:beforeAutospacing="0" w:after="0" w:afterAutospacing="0"/>
        <w:jc w:val="center"/>
        <w:rPr>
          <w:color w:val="000000"/>
          <w:sz w:val="44"/>
        </w:rPr>
      </w:pPr>
      <w:r>
        <w:rPr>
          <w:rFonts w:hint="eastAsia" w:ascii="宋体" w:hAnsi="宋体" w:cs="宋体"/>
          <w:b/>
          <w:color w:val="000000"/>
          <w:sz w:val="72"/>
          <w:szCs w:val="40"/>
        </w:rPr>
        <w:t>公开招标文件</w:t>
      </w:r>
    </w:p>
    <w:p w14:paraId="361C2CE3">
      <w:pPr>
        <w:widowControl/>
        <w:spacing w:after="240"/>
        <w:jc w:val="center"/>
        <w:rPr>
          <w:rFonts w:ascii="宋体" w:hAnsi="宋体" w:cs="宋体"/>
          <w:color w:val="000000"/>
          <w:kern w:val="0"/>
          <w:sz w:val="32"/>
          <w:szCs w:val="32"/>
        </w:rPr>
      </w:pPr>
    </w:p>
    <w:p w14:paraId="1966BFA8">
      <w:pPr>
        <w:pStyle w:val="28"/>
        <w:jc w:val="center"/>
        <w:rPr>
          <w:sz w:val="32"/>
          <w:szCs w:val="32"/>
        </w:rPr>
      </w:pPr>
    </w:p>
    <w:p w14:paraId="3CB85714">
      <w:pPr>
        <w:pStyle w:val="28"/>
        <w:jc w:val="center"/>
        <w:rPr>
          <w:rFonts w:ascii="宋体" w:hAnsi="宋体" w:cs="宋体"/>
          <w:color w:val="000000"/>
          <w:kern w:val="0"/>
          <w:sz w:val="32"/>
          <w:szCs w:val="32"/>
        </w:rPr>
      </w:pPr>
    </w:p>
    <w:p w14:paraId="7896949C">
      <w:pPr>
        <w:pStyle w:val="28"/>
        <w:jc w:val="center"/>
        <w:rPr>
          <w:rFonts w:ascii="宋体" w:hAnsi="宋体" w:cs="宋体"/>
          <w:color w:val="000000"/>
          <w:kern w:val="0"/>
          <w:sz w:val="32"/>
          <w:szCs w:val="32"/>
        </w:rPr>
      </w:pPr>
    </w:p>
    <w:p w14:paraId="249FE21B">
      <w:pPr>
        <w:pStyle w:val="28"/>
        <w:jc w:val="center"/>
        <w:rPr>
          <w:rFonts w:ascii="宋体" w:hAnsi="宋体" w:cs="宋体"/>
          <w:color w:val="000000"/>
          <w:kern w:val="0"/>
          <w:sz w:val="32"/>
          <w:szCs w:val="32"/>
        </w:rPr>
      </w:pPr>
    </w:p>
    <w:p w14:paraId="5C9BA92A">
      <w:pPr>
        <w:pStyle w:val="28"/>
        <w:jc w:val="center"/>
        <w:rPr>
          <w:rFonts w:ascii="宋体" w:hAnsi="宋体" w:cs="宋体"/>
          <w:color w:val="000000"/>
          <w:kern w:val="0"/>
          <w:sz w:val="32"/>
          <w:szCs w:val="32"/>
        </w:rPr>
      </w:pPr>
    </w:p>
    <w:p w14:paraId="3D5DD215">
      <w:pPr>
        <w:ind w:firstLine="964" w:firstLineChars="300"/>
        <w:rPr>
          <w:rFonts w:hint="eastAsia" w:asciiTheme="minorEastAsia" w:hAnsiTheme="minorEastAsia" w:eastAsiaTheme="minorEastAsia"/>
          <w:b/>
          <w:sz w:val="32"/>
          <w:szCs w:val="32"/>
          <w:lang w:eastAsia="zh-CN"/>
        </w:rPr>
      </w:pPr>
      <w:r>
        <w:rPr>
          <w:rFonts w:hint="eastAsia" w:asciiTheme="minorEastAsia" w:hAnsiTheme="minorEastAsia" w:eastAsiaTheme="minorEastAsia"/>
          <w:b/>
          <w:sz w:val="32"/>
          <w:szCs w:val="32"/>
        </w:rPr>
        <w:t>项目编号：</w:t>
      </w:r>
      <w:r>
        <w:rPr>
          <w:rFonts w:hint="eastAsia" w:asciiTheme="minorEastAsia" w:hAnsiTheme="minorEastAsia" w:eastAsiaTheme="minorEastAsia"/>
          <w:b/>
          <w:sz w:val="32"/>
          <w:szCs w:val="32"/>
          <w:lang w:eastAsia="zh-CN"/>
        </w:rPr>
        <w:t>HNHS-2025-041</w:t>
      </w:r>
    </w:p>
    <w:p w14:paraId="536E8D63">
      <w:pPr>
        <w:ind w:firstLine="964" w:firstLineChars="300"/>
        <w:rPr>
          <w:rFonts w:hint="eastAsia" w:asciiTheme="minorEastAsia" w:hAnsiTheme="minorEastAsia" w:eastAsiaTheme="minorEastAsia"/>
          <w:b/>
          <w:sz w:val="32"/>
          <w:szCs w:val="32"/>
          <w:lang w:eastAsia="zh-CN"/>
        </w:rPr>
      </w:pPr>
      <w:r>
        <w:rPr>
          <w:rFonts w:hint="eastAsia" w:asciiTheme="minorEastAsia" w:hAnsiTheme="minorEastAsia" w:eastAsiaTheme="minorEastAsia"/>
          <w:b/>
          <w:sz w:val="32"/>
          <w:szCs w:val="32"/>
        </w:rPr>
        <w:t>采 购 人：</w:t>
      </w:r>
      <w:r>
        <w:rPr>
          <w:rFonts w:hint="eastAsia" w:asciiTheme="minorEastAsia" w:hAnsiTheme="minorEastAsia" w:eastAsiaTheme="minorEastAsia"/>
          <w:b/>
          <w:sz w:val="32"/>
          <w:szCs w:val="32"/>
          <w:lang w:eastAsia="zh-CN"/>
        </w:rPr>
        <w:t>海南省发展和改革委员会</w:t>
      </w:r>
    </w:p>
    <w:p w14:paraId="42D996B1">
      <w:pPr>
        <w:ind w:firstLine="964" w:firstLineChars="300"/>
        <w:rPr>
          <w:rFonts w:hint="eastAsia" w:asciiTheme="minorEastAsia" w:hAnsiTheme="minorEastAsia" w:eastAsiaTheme="minorEastAsia"/>
          <w:b/>
          <w:sz w:val="32"/>
          <w:szCs w:val="32"/>
          <w:lang w:eastAsia="zh-CN"/>
        </w:rPr>
      </w:pPr>
      <w:r>
        <w:rPr>
          <w:rFonts w:hint="eastAsia" w:asciiTheme="minorEastAsia" w:hAnsiTheme="minorEastAsia" w:eastAsiaTheme="minorEastAsia"/>
          <w:b/>
          <w:sz w:val="32"/>
          <w:szCs w:val="32"/>
        </w:rPr>
        <w:t>代理机构：</w:t>
      </w:r>
      <w:r>
        <w:rPr>
          <w:rFonts w:hint="eastAsia" w:asciiTheme="minorEastAsia" w:hAnsiTheme="minorEastAsia" w:eastAsiaTheme="minorEastAsia"/>
          <w:b/>
          <w:sz w:val="32"/>
          <w:szCs w:val="32"/>
          <w:lang w:eastAsia="zh-CN"/>
        </w:rPr>
        <w:t>海南和顺项目管理有限公司</w:t>
      </w:r>
    </w:p>
    <w:p w14:paraId="6DB9C0F7">
      <w:pPr>
        <w:ind w:firstLine="964" w:firstLineChars="300"/>
      </w:pPr>
      <w:r>
        <w:rPr>
          <w:rFonts w:hint="eastAsia" w:asciiTheme="minorEastAsia" w:hAnsiTheme="minorEastAsia" w:eastAsiaTheme="minorEastAsia"/>
          <w:b/>
          <w:sz w:val="32"/>
          <w:szCs w:val="32"/>
        </w:rPr>
        <w:t>日    期：</w:t>
      </w:r>
      <w:r>
        <w:rPr>
          <w:rFonts w:hint="eastAsia" w:asciiTheme="minorEastAsia" w:hAnsiTheme="minorEastAsia" w:eastAsiaTheme="minorEastAsia"/>
          <w:b/>
          <w:sz w:val="32"/>
          <w:szCs w:val="32"/>
          <w:lang w:val="en-US" w:eastAsia="zh-CN"/>
        </w:rPr>
        <w:t>2025</w:t>
      </w:r>
      <w:r>
        <w:rPr>
          <w:rFonts w:hint="eastAsia" w:asciiTheme="minorEastAsia" w:hAnsiTheme="minorEastAsia" w:eastAsiaTheme="minorEastAsia"/>
          <w:b/>
          <w:sz w:val="32"/>
          <w:szCs w:val="32"/>
        </w:rPr>
        <w:t>年</w:t>
      </w:r>
      <w:r>
        <w:rPr>
          <w:rFonts w:hint="eastAsia" w:asciiTheme="minorEastAsia" w:hAnsiTheme="minorEastAsia" w:eastAsiaTheme="minorEastAsia"/>
          <w:b/>
          <w:sz w:val="32"/>
          <w:szCs w:val="32"/>
          <w:lang w:val="en-US" w:eastAsia="zh-CN"/>
        </w:rPr>
        <w:t>7</w:t>
      </w:r>
      <w:r>
        <w:rPr>
          <w:rFonts w:hint="eastAsia" w:asciiTheme="minorEastAsia" w:hAnsiTheme="minorEastAsia" w:eastAsiaTheme="minorEastAsia"/>
          <w:b/>
          <w:sz w:val="32"/>
          <w:szCs w:val="32"/>
        </w:rPr>
        <w:t>月</w:t>
      </w:r>
    </w:p>
    <w:p w14:paraId="1E4BB249">
      <w:pPr>
        <w:pStyle w:val="28"/>
        <w:jc w:val="center"/>
      </w:pPr>
    </w:p>
    <w:p w14:paraId="49B3C172">
      <w:pPr>
        <w:pStyle w:val="28"/>
        <w:jc w:val="center"/>
      </w:pPr>
    </w:p>
    <w:p w14:paraId="51A2DF97">
      <w:pPr>
        <w:pStyle w:val="28"/>
        <w:jc w:val="center"/>
      </w:pPr>
    </w:p>
    <w:p w14:paraId="22775043">
      <w:pPr>
        <w:pStyle w:val="28"/>
        <w:jc w:val="center"/>
      </w:pPr>
    </w:p>
    <w:p w14:paraId="0A0EDE3F">
      <w:pPr>
        <w:pStyle w:val="28"/>
        <w:jc w:val="center"/>
      </w:pPr>
    </w:p>
    <w:p w14:paraId="25F2169D">
      <w:pPr>
        <w:pStyle w:val="28"/>
        <w:jc w:val="center"/>
      </w:pPr>
    </w:p>
    <w:p w14:paraId="69445679">
      <w:pPr>
        <w:pStyle w:val="28"/>
        <w:jc w:val="center"/>
      </w:pPr>
    </w:p>
    <w:sdt>
      <w:sdtPr>
        <w:rPr>
          <w:rFonts w:ascii="宋体" w:hAnsi="宋体"/>
        </w:rPr>
        <w:id w:val="147459925"/>
      </w:sdtPr>
      <w:sdtEndPr>
        <w:rPr>
          <w:rFonts w:ascii="宋体" w:hAnsi="宋体"/>
        </w:rPr>
      </w:sdtEndPr>
      <w:sdtContent>
        <w:p w14:paraId="1BA5CA75">
          <w:pPr>
            <w:jc w:val="center"/>
            <w:rPr>
              <w:sz w:val="72"/>
              <w:szCs w:val="72"/>
            </w:rPr>
          </w:pPr>
          <w:r>
            <w:rPr>
              <w:rFonts w:ascii="宋体" w:hAnsi="宋体"/>
              <w:sz w:val="48"/>
              <w:szCs w:val="48"/>
            </w:rPr>
            <w:t>目录</w:t>
          </w:r>
        </w:p>
        <w:p w14:paraId="44293200">
          <w:pPr>
            <w:pStyle w:val="15"/>
            <w:tabs>
              <w:tab w:val="right" w:leader="dot" w:pos="9355"/>
            </w:tabs>
            <w:rPr>
              <w:i w:val="0"/>
              <w:iCs w:val="0"/>
              <w:sz w:val="28"/>
              <w:szCs w:val="28"/>
            </w:rPr>
          </w:pPr>
          <w:r>
            <w:rPr>
              <w:i w:val="0"/>
              <w:iCs w:val="0"/>
              <w:sz w:val="28"/>
              <w:szCs w:val="28"/>
            </w:rPr>
            <w:fldChar w:fldCharType="begin"/>
          </w:r>
          <w:r>
            <w:rPr>
              <w:i w:val="0"/>
              <w:iCs w:val="0"/>
              <w:sz w:val="28"/>
              <w:szCs w:val="28"/>
            </w:rPr>
            <w:instrText xml:space="preserve">TOC \o "1-1" \h \u </w:instrText>
          </w:r>
          <w:r>
            <w:rPr>
              <w:i w:val="0"/>
              <w:iCs w:val="0"/>
              <w:sz w:val="28"/>
              <w:szCs w:val="28"/>
            </w:rPr>
            <w:fldChar w:fldCharType="separate"/>
          </w:r>
          <w:r>
            <w:fldChar w:fldCharType="begin"/>
          </w:r>
          <w:r>
            <w:instrText xml:space="preserve"> HYPERLINK \l "_Toc22256" </w:instrText>
          </w:r>
          <w:r>
            <w:fldChar w:fldCharType="separate"/>
          </w:r>
          <w:r>
            <w:rPr>
              <w:rFonts w:cs="宋体"/>
              <w:i w:val="0"/>
              <w:iCs w:val="0"/>
              <w:sz w:val="28"/>
              <w:szCs w:val="28"/>
              <w:shd w:val="clear" w:color="auto" w:fill="FFFFFF"/>
            </w:rPr>
            <w:t xml:space="preserve">第一章 </w:t>
          </w:r>
          <w:r>
            <w:rPr>
              <w:rFonts w:hint="eastAsia" w:cs="宋体"/>
              <w:i w:val="0"/>
              <w:iCs w:val="0"/>
              <w:sz w:val="28"/>
              <w:szCs w:val="28"/>
              <w:shd w:val="clear" w:color="auto" w:fill="FFFFFF"/>
            </w:rPr>
            <w:t>招标公告</w:t>
          </w:r>
          <w:r>
            <w:rPr>
              <w:i w:val="0"/>
              <w:iCs w:val="0"/>
              <w:sz w:val="28"/>
              <w:szCs w:val="28"/>
            </w:rPr>
            <w:tab/>
          </w:r>
          <w:r>
            <w:rPr>
              <w:i w:val="0"/>
              <w:iCs w:val="0"/>
              <w:sz w:val="28"/>
              <w:szCs w:val="28"/>
            </w:rPr>
            <w:fldChar w:fldCharType="begin"/>
          </w:r>
          <w:r>
            <w:rPr>
              <w:i w:val="0"/>
              <w:iCs w:val="0"/>
              <w:sz w:val="28"/>
              <w:szCs w:val="28"/>
            </w:rPr>
            <w:instrText xml:space="preserve"> PAGEREF _Toc22256 \h </w:instrText>
          </w:r>
          <w:r>
            <w:rPr>
              <w:i w:val="0"/>
              <w:iCs w:val="0"/>
              <w:sz w:val="28"/>
              <w:szCs w:val="28"/>
            </w:rPr>
            <w:fldChar w:fldCharType="separate"/>
          </w:r>
          <w:r>
            <w:rPr>
              <w:i w:val="0"/>
              <w:iCs w:val="0"/>
              <w:sz w:val="28"/>
              <w:szCs w:val="28"/>
            </w:rPr>
            <w:t>3</w:t>
          </w:r>
          <w:r>
            <w:rPr>
              <w:i w:val="0"/>
              <w:iCs w:val="0"/>
              <w:sz w:val="28"/>
              <w:szCs w:val="28"/>
            </w:rPr>
            <w:fldChar w:fldCharType="end"/>
          </w:r>
          <w:r>
            <w:rPr>
              <w:i w:val="0"/>
              <w:iCs w:val="0"/>
              <w:sz w:val="28"/>
              <w:szCs w:val="28"/>
            </w:rPr>
            <w:fldChar w:fldCharType="end"/>
          </w:r>
        </w:p>
        <w:p w14:paraId="483BCA6A">
          <w:pPr>
            <w:pStyle w:val="15"/>
            <w:tabs>
              <w:tab w:val="right" w:leader="dot" w:pos="9355"/>
            </w:tabs>
            <w:rPr>
              <w:i w:val="0"/>
              <w:iCs w:val="0"/>
              <w:sz w:val="28"/>
              <w:szCs w:val="28"/>
            </w:rPr>
          </w:pPr>
          <w:r>
            <w:fldChar w:fldCharType="begin"/>
          </w:r>
          <w:r>
            <w:instrText xml:space="preserve"> HYPERLINK \l "_Toc11294" </w:instrText>
          </w:r>
          <w:r>
            <w:fldChar w:fldCharType="separate"/>
          </w:r>
          <w:r>
            <w:rPr>
              <w:rFonts w:cs="宋体"/>
              <w:i w:val="0"/>
              <w:iCs w:val="0"/>
              <w:sz w:val="28"/>
              <w:szCs w:val="28"/>
              <w:shd w:val="clear" w:color="auto" w:fill="FFFFFF"/>
            </w:rPr>
            <w:t>第二章 投标人须知</w:t>
          </w:r>
          <w:r>
            <w:rPr>
              <w:i w:val="0"/>
              <w:iCs w:val="0"/>
              <w:sz w:val="28"/>
              <w:szCs w:val="28"/>
            </w:rPr>
            <w:tab/>
          </w:r>
          <w:r>
            <w:rPr>
              <w:i w:val="0"/>
              <w:iCs w:val="0"/>
              <w:sz w:val="28"/>
              <w:szCs w:val="28"/>
            </w:rPr>
            <w:fldChar w:fldCharType="begin"/>
          </w:r>
          <w:r>
            <w:rPr>
              <w:i w:val="0"/>
              <w:iCs w:val="0"/>
              <w:sz w:val="28"/>
              <w:szCs w:val="28"/>
            </w:rPr>
            <w:instrText xml:space="preserve"> PAGEREF _Toc11294 \h </w:instrText>
          </w:r>
          <w:r>
            <w:rPr>
              <w:i w:val="0"/>
              <w:iCs w:val="0"/>
              <w:sz w:val="28"/>
              <w:szCs w:val="28"/>
            </w:rPr>
            <w:fldChar w:fldCharType="separate"/>
          </w:r>
          <w:r>
            <w:rPr>
              <w:i w:val="0"/>
              <w:iCs w:val="0"/>
              <w:sz w:val="28"/>
              <w:szCs w:val="28"/>
            </w:rPr>
            <w:t>6</w:t>
          </w:r>
          <w:r>
            <w:rPr>
              <w:i w:val="0"/>
              <w:iCs w:val="0"/>
              <w:sz w:val="28"/>
              <w:szCs w:val="28"/>
            </w:rPr>
            <w:fldChar w:fldCharType="end"/>
          </w:r>
          <w:r>
            <w:rPr>
              <w:i w:val="0"/>
              <w:iCs w:val="0"/>
              <w:sz w:val="28"/>
              <w:szCs w:val="28"/>
            </w:rPr>
            <w:fldChar w:fldCharType="end"/>
          </w:r>
        </w:p>
        <w:p w14:paraId="37448456">
          <w:pPr>
            <w:pStyle w:val="15"/>
            <w:tabs>
              <w:tab w:val="right" w:leader="dot" w:pos="9355"/>
            </w:tabs>
            <w:rPr>
              <w:i w:val="0"/>
              <w:iCs w:val="0"/>
              <w:sz w:val="28"/>
              <w:szCs w:val="28"/>
            </w:rPr>
          </w:pPr>
          <w:r>
            <w:fldChar w:fldCharType="begin"/>
          </w:r>
          <w:r>
            <w:instrText xml:space="preserve"> HYPERLINK \l "_Toc16945" </w:instrText>
          </w:r>
          <w:r>
            <w:fldChar w:fldCharType="separate"/>
          </w:r>
          <w:r>
            <w:rPr>
              <w:rFonts w:cs="宋体"/>
              <w:i w:val="0"/>
              <w:iCs w:val="0"/>
              <w:sz w:val="28"/>
              <w:szCs w:val="28"/>
              <w:shd w:val="clear" w:color="auto" w:fill="FFFFFF"/>
            </w:rPr>
            <w:t>第三章 采购需求</w:t>
          </w:r>
          <w:r>
            <w:rPr>
              <w:i w:val="0"/>
              <w:iCs w:val="0"/>
              <w:sz w:val="28"/>
              <w:szCs w:val="28"/>
            </w:rPr>
            <w:tab/>
          </w:r>
          <w:r>
            <w:rPr>
              <w:i w:val="0"/>
              <w:iCs w:val="0"/>
              <w:sz w:val="28"/>
              <w:szCs w:val="28"/>
            </w:rPr>
            <w:fldChar w:fldCharType="begin"/>
          </w:r>
          <w:r>
            <w:rPr>
              <w:i w:val="0"/>
              <w:iCs w:val="0"/>
              <w:sz w:val="28"/>
              <w:szCs w:val="28"/>
            </w:rPr>
            <w:instrText xml:space="preserve"> PAGEREF _Toc16945 \h </w:instrText>
          </w:r>
          <w:r>
            <w:rPr>
              <w:i w:val="0"/>
              <w:iCs w:val="0"/>
              <w:sz w:val="28"/>
              <w:szCs w:val="28"/>
            </w:rPr>
            <w:fldChar w:fldCharType="separate"/>
          </w:r>
          <w:r>
            <w:rPr>
              <w:i w:val="0"/>
              <w:iCs w:val="0"/>
              <w:sz w:val="28"/>
              <w:szCs w:val="28"/>
            </w:rPr>
            <w:t>20</w:t>
          </w:r>
          <w:r>
            <w:rPr>
              <w:i w:val="0"/>
              <w:iCs w:val="0"/>
              <w:sz w:val="28"/>
              <w:szCs w:val="28"/>
            </w:rPr>
            <w:fldChar w:fldCharType="end"/>
          </w:r>
          <w:r>
            <w:rPr>
              <w:i w:val="0"/>
              <w:iCs w:val="0"/>
              <w:sz w:val="28"/>
              <w:szCs w:val="28"/>
            </w:rPr>
            <w:fldChar w:fldCharType="end"/>
          </w:r>
        </w:p>
        <w:p w14:paraId="43C39039">
          <w:pPr>
            <w:pStyle w:val="15"/>
            <w:tabs>
              <w:tab w:val="right" w:leader="dot" w:pos="9355"/>
            </w:tabs>
            <w:rPr>
              <w:i w:val="0"/>
              <w:iCs w:val="0"/>
              <w:sz w:val="28"/>
              <w:szCs w:val="28"/>
            </w:rPr>
          </w:pPr>
          <w:r>
            <w:fldChar w:fldCharType="begin"/>
          </w:r>
          <w:r>
            <w:instrText xml:space="preserve"> HYPERLINK \l "_Toc20" </w:instrText>
          </w:r>
          <w:r>
            <w:fldChar w:fldCharType="separate"/>
          </w:r>
          <w:r>
            <w:rPr>
              <w:rFonts w:cs="宋体"/>
              <w:i w:val="0"/>
              <w:iCs w:val="0"/>
              <w:sz w:val="28"/>
              <w:szCs w:val="28"/>
              <w:shd w:val="clear" w:color="auto" w:fill="FFFFFF"/>
            </w:rPr>
            <w:t>第四章 评标办法</w:t>
          </w:r>
          <w:r>
            <w:rPr>
              <w:i w:val="0"/>
              <w:iCs w:val="0"/>
              <w:sz w:val="28"/>
              <w:szCs w:val="28"/>
            </w:rPr>
            <w:tab/>
          </w:r>
          <w:r>
            <w:rPr>
              <w:i w:val="0"/>
              <w:iCs w:val="0"/>
              <w:sz w:val="28"/>
              <w:szCs w:val="28"/>
            </w:rPr>
            <w:fldChar w:fldCharType="begin"/>
          </w:r>
          <w:r>
            <w:rPr>
              <w:i w:val="0"/>
              <w:iCs w:val="0"/>
              <w:sz w:val="28"/>
              <w:szCs w:val="28"/>
            </w:rPr>
            <w:instrText xml:space="preserve"> PAGEREF _Toc20 \h </w:instrText>
          </w:r>
          <w:r>
            <w:rPr>
              <w:i w:val="0"/>
              <w:iCs w:val="0"/>
              <w:sz w:val="28"/>
              <w:szCs w:val="28"/>
            </w:rPr>
            <w:fldChar w:fldCharType="separate"/>
          </w:r>
          <w:r>
            <w:rPr>
              <w:i w:val="0"/>
              <w:iCs w:val="0"/>
              <w:sz w:val="28"/>
              <w:szCs w:val="28"/>
            </w:rPr>
            <w:t>22</w:t>
          </w:r>
          <w:r>
            <w:rPr>
              <w:i w:val="0"/>
              <w:iCs w:val="0"/>
              <w:sz w:val="28"/>
              <w:szCs w:val="28"/>
            </w:rPr>
            <w:fldChar w:fldCharType="end"/>
          </w:r>
          <w:r>
            <w:rPr>
              <w:i w:val="0"/>
              <w:iCs w:val="0"/>
              <w:sz w:val="28"/>
              <w:szCs w:val="28"/>
            </w:rPr>
            <w:fldChar w:fldCharType="end"/>
          </w:r>
        </w:p>
        <w:p w14:paraId="4F5B156F">
          <w:pPr>
            <w:pStyle w:val="15"/>
            <w:tabs>
              <w:tab w:val="right" w:leader="dot" w:pos="9355"/>
            </w:tabs>
            <w:rPr>
              <w:i w:val="0"/>
              <w:iCs w:val="0"/>
              <w:sz w:val="28"/>
              <w:szCs w:val="28"/>
            </w:rPr>
          </w:pPr>
          <w:r>
            <w:fldChar w:fldCharType="begin"/>
          </w:r>
          <w:r>
            <w:instrText xml:space="preserve"> HYPERLINK \l "_Toc19363" </w:instrText>
          </w:r>
          <w:r>
            <w:fldChar w:fldCharType="separate"/>
          </w:r>
          <w:r>
            <w:rPr>
              <w:rFonts w:cs="宋体"/>
              <w:i w:val="0"/>
              <w:iCs w:val="0"/>
              <w:sz w:val="28"/>
              <w:szCs w:val="28"/>
              <w:shd w:val="clear" w:color="auto" w:fill="FFFFFF"/>
            </w:rPr>
            <w:t>第五章 合同文本</w:t>
          </w:r>
          <w:r>
            <w:rPr>
              <w:i w:val="0"/>
              <w:iCs w:val="0"/>
              <w:sz w:val="28"/>
              <w:szCs w:val="28"/>
            </w:rPr>
            <w:tab/>
          </w:r>
          <w:r>
            <w:rPr>
              <w:i w:val="0"/>
              <w:iCs w:val="0"/>
              <w:sz w:val="28"/>
              <w:szCs w:val="28"/>
            </w:rPr>
            <w:fldChar w:fldCharType="begin"/>
          </w:r>
          <w:r>
            <w:rPr>
              <w:i w:val="0"/>
              <w:iCs w:val="0"/>
              <w:sz w:val="28"/>
              <w:szCs w:val="28"/>
            </w:rPr>
            <w:instrText xml:space="preserve"> PAGEREF _Toc19363 \h </w:instrText>
          </w:r>
          <w:r>
            <w:rPr>
              <w:i w:val="0"/>
              <w:iCs w:val="0"/>
              <w:sz w:val="28"/>
              <w:szCs w:val="28"/>
            </w:rPr>
            <w:fldChar w:fldCharType="separate"/>
          </w:r>
          <w:r>
            <w:rPr>
              <w:i w:val="0"/>
              <w:iCs w:val="0"/>
              <w:sz w:val="28"/>
              <w:szCs w:val="28"/>
            </w:rPr>
            <w:t>26</w:t>
          </w:r>
          <w:r>
            <w:rPr>
              <w:i w:val="0"/>
              <w:iCs w:val="0"/>
              <w:sz w:val="28"/>
              <w:szCs w:val="28"/>
            </w:rPr>
            <w:fldChar w:fldCharType="end"/>
          </w:r>
          <w:r>
            <w:rPr>
              <w:i w:val="0"/>
              <w:iCs w:val="0"/>
              <w:sz w:val="28"/>
              <w:szCs w:val="28"/>
            </w:rPr>
            <w:fldChar w:fldCharType="end"/>
          </w:r>
        </w:p>
        <w:p w14:paraId="55D81D8E">
          <w:pPr>
            <w:pStyle w:val="15"/>
            <w:tabs>
              <w:tab w:val="right" w:leader="dot" w:pos="9355"/>
            </w:tabs>
            <w:rPr>
              <w:sz w:val="28"/>
              <w:szCs w:val="28"/>
            </w:rPr>
          </w:pPr>
          <w:r>
            <w:fldChar w:fldCharType="begin"/>
          </w:r>
          <w:r>
            <w:instrText xml:space="preserve"> HYPERLINK \l "_Toc9075" </w:instrText>
          </w:r>
          <w:r>
            <w:fldChar w:fldCharType="separate"/>
          </w:r>
          <w:r>
            <w:rPr>
              <w:rFonts w:cs="宋体"/>
              <w:i w:val="0"/>
              <w:iCs w:val="0"/>
              <w:sz w:val="28"/>
              <w:szCs w:val="28"/>
              <w:shd w:val="clear" w:color="auto" w:fill="FFFFFF"/>
            </w:rPr>
            <w:t>第六章 投标文件格式要求</w:t>
          </w:r>
          <w:r>
            <w:rPr>
              <w:i w:val="0"/>
              <w:iCs w:val="0"/>
              <w:sz w:val="28"/>
              <w:szCs w:val="28"/>
            </w:rPr>
            <w:tab/>
          </w:r>
          <w:r>
            <w:rPr>
              <w:i w:val="0"/>
              <w:iCs w:val="0"/>
              <w:sz w:val="28"/>
              <w:szCs w:val="28"/>
            </w:rPr>
            <w:fldChar w:fldCharType="begin"/>
          </w:r>
          <w:r>
            <w:rPr>
              <w:i w:val="0"/>
              <w:iCs w:val="0"/>
              <w:sz w:val="28"/>
              <w:szCs w:val="28"/>
            </w:rPr>
            <w:instrText xml:space="preserve"> PAGEREF _Toc9075 \h </w:instrText>
          </w:r>
          <w:r>
            <w:rPr>
              <w:i w:val="0"/>
              <w:iCs w:val="0"/>
              <w:sz w:val="28"/>
              <w:szCs w:val="28"/>
            </w:rPr>
            <w:fldChar w:fldCharType="separate"/>
          </w:r>
          <w:r>
            <w:rPr>
              <w:i w:val="0"/>
              <w:iCs w:val="0"/>
              <w:sz w:val="28"/>
              <w:szCs w:val="28"/>
            </w:rPr>
            <w:t>27</w:t>
          </w:r>
          <w:r>
            <w:rPr>
              <w:i w:val="0"/>
              <w:iCs w:val="0"/>
              <w:sz w:val="28"/>
              <w:szCs w:val="28"/>
            </w:rPr>
            <w:fldChar w:fldCharType="end"/>
          </w:r>
          <w:r>
            <w:rPr>
              <w:i w:val="0"/>
              <w:iCs w:val="0"/>
              <w:sz w:val="28"/>
              <w:szCs w:val="28"/>
            </w:rPr>
            <w:fldChar w:fldCharType="end"/>
          </w:r>
        </w:p>
        <w:p w14:paraId="6C5FD9A9">
          <w:r>
            <w:rPr>
              <w:bCs/>
              <w:sz w:val="28"/>
              <w:szCs w:val="28"/>
            </w:rPr>
            <w:fldChar w:fldCharType="end"/>
          </w:r>
        </w:p>
      </w:sdtContent>
    </w:sdt>
    <w:p w14:paraId="52317C39">
      <w:pPr>
        <w:widowControl/>
        <w:jc w:val="center"/>
        <w:outlineLvl w:val="0"/>
        <w:rPr>
          <w:rFonts w:cs="宋体"/>
          <w:sz w:val="44"/>
          <w:szCs w:val="44"/>
          <w:shd w:val="clear" w:color="auto" w:fill="FFFFFF"/>
        </w:rPr>
      </w:pPr>
    </w:p>
    <w:p w14:paraId="68A06E00">
      <w:pPr>
        <w:widowControl/>
        <w:jc w:val="center"/>
        <w:outlineLvl w:val="0"/>
        <w:rPr>
          <w:rFonts w:cs="宋体"/>
          <w:sz w:val="44"/>
          <w:szCs w:val="44"/>
          <w:shd w:val="clear" w:color="auto" w:fill="FFFFFF"/>
        </w:rPr>
      </w:pPr>
    </w:p>
    <w:p w14:paraId="36EAB5BD">
      <w:pPr>
        <w:widowControl/>
        <w:jc w:val="center"/>
        <w:outlineLvl w:val="0"/>
        <w:rPr>
          <w:rFonts w:cs="宋体"/>
          <w:sz w:val="44"/>
          <w:szCs w:val="44"/>
          <w:shd w:val="clear" w:color="auto" w:fill="FFFFFF"/>
        </w:rPr>
      </w:pPr>
    </w:p>
    <w:p w14:paraId="7492204C">
      <w:pPr>
        <w:widowControl/>
        <w:jc w:val="center"/>
        <w:outlineLvl w:val="0"/>
        <w:rPr>
          <w:rFonts w:cs="宋体"/>
          <w:sz w:val="44"/>
          <w:szCs w:val="44"/>
          <w:shd w:val="clear" w:color="auto" w:fill="FFFFFF"/>
        </w:rPr>
      </w:pPr>
    </w:p>
    <w:p w14:paraId="6BD2ED4F">
      <w:pPr>
        <w:widowControl/>
        <w:jc w:val="center"/>
        <w:outlineLvl w:val="0"/>
        <w:rPr>
          <w:rFonts w:cs="宋体"/>
          <w:sz w:val="44"/>
          <w:szCs w:val="44"/>
          <w:shd w:val="clear" w:color="auto" w:fill="FFFFFF"/>
        </w:rPr>
      </w:pPr>
    </w:p>
    <w:p w14:paraId="7A8DD60E">
      <w:pPr>
        <w:widowControl/>
        <w:jc w:val="center"/>
        <w:outlineLvl w:val="0"/>
        <w:rPr>
          <w:rFonts w:cs="宋体"/>
          <w:sz w:val="44"/>
          <w:szCs w:val="44"/>
          <w:shd w:val="clear" w:color="auto" w:fill="FFFFFF"/>
        </w:rPr>
      </w:pPr>
    </w:p>
    <w:p w14:paraId="6CD8BF82">
      <w:pPr>
        <w:widowControl/>
        <w:jc w:val="center"/>
        <w:outlineLvl w:val="0"/>
        <w:rPr>
          <w:rFonts w:cs="宋体"/>
          <w:sz w:val="44"/>
          <w:szCs w:val="44"/>
          <w:shd w:val="clear" w:color="auto" w:fill="FFFFFF"/>
        </w:rPr>
      </w:pPr>
    </w:p>
    <w:p w14:paraId="12BE0C0C">
      <w:pPr>
        <w:widowControl/>
        <w:jc w:val="center"/>
        <w:outlineLvl w:val="0"/>
        <w:rPr>
          <w:rFonts w:cs="宋体"/>
          <w:sz w:val="44"/>
          <w:szCs w:val="44"/>
          <w:shd w:val="clear" w:color="auto" w:fill="FFFFFF"/>
        </w:rPr>
      </w:pPr>
    </w:p>
    <w:p w14:paraId="79AB1476">
      <w:pPr>
        <w:widowControl/>
        <w:jc w:val="center"/>
        <w:outlineLvl w:val="0"/>
        <w:rPr>
          <w:rFonts w:cs="宋体"/>
          <w:sz w:val="44"/>
          <w:szCs w:val="44"/>
          <w:shd w:val="clear" w:color="auto" w:fill="FFFFFF"/>
        </w:rPr>
      </w:pPr>
    </w:p>
    <w:p w14:paraId="51A31C1B">
      <w:pPr>
        <w:widowControl/>
        <w:jc w:val="center"/>
        <w:outlineLvl w:val="0"/>
        <w:rPr>
          <w:rFonts w:cs="宋体"/>
          <w:sz w:val="44"/>
          <w:szCs w:val="44"/>
          <w:shd w:val="clear" w:color="auto" w:fill="FFFFFF"/>
        </w:rPr>
      </w:pPr>
    </w:p>
    <w:p w14:paraId="543429BA">
      <w:pPr>
        <w:pStyle w:val="28"/>
      </w:pPr>
    </w:p>
    <w:p w14:paraId="04BA4889">
      <w:pPr>
        <w:pStyle w:val="28"/>
      </w:pPr>
    </w:p>
    <w:p w14:paraId="1EB5993E">
      <w:pPr>
        <w:widowControl/>
        <w:jc w:val="center"/>
        <w:outlineLvl w:val="0"/>
        <w:rPr>
          <w:rFonts w:cs="宋体"/>
          <w:sz w:val="44"/>
          <w:szCs w:val="44"/>
          <w:shd w:val="clear" w:color="auto" w:fill="FFFFFF"/>
        </w:rPr>
      </w:pPr>
    </w:p>
    <w:p w14:paraId="39D3DE53">
      <w:pPr>
        <w:pStyle w:val="28"/>
      </w:pPr>
    </w:p>
    <w:p w14:paraId="5E911CCF">
      <w:pPr>
        <w:pStyle w:val="28"/>
      </w:pPr>
    </w:p>
    <w:p w14:paraId="4ECC41E7">
      <w:pPr>
        <w:widowControl/>
        <w:jc w:val="center"/>
        <w:outlineLvl w:val="0"/>
        <w:rPr>
          <w:rFonts w:ascii="宋体" w:hAnsi="宋体" w:cs="宋体"/>
          <w:kern w:val="0"/>
          <w:sz w:val="32"/>
          <w:szCs w:val="32"/>
        </w:rPr>
      </w:pPr>
      <w:bookmarkStart w:id="0" w:name="_Toc22256"/>
      <w:r>
        <w:rPr>
          <w:rFonts w:cs="宋体"/>
          <w:sz w:val="44"/>
          <w:szCs w:val="44"/>
          <w:shd w:val="clear" w:color="auto" w:fill="FFFFFF"/>
        </w:rPr>
        <w:t xml:space="preserve">第一章 </w:t>
      </w:r>
      <w:r>
        <w:rPr>
          <w:rFonts w:hint="eastAsia" w:cs="宋体"/>
          <w:sz w:val="44"/>
          <w:szCs w:val="44"/>
          <w:shd w:val="clear" w:color="auto" w:fill="FFFFFF"/>
        </w:rPr>
        <w:t>招标公告</w:t>
      </w:r>
      <w:bookmarkEnd w:id="0"/>
    </w:p>
    <w:p w14:paraId="221216E5">
      <w:pPr>
        <w:pBdr>
          <w:top w:val="single" w:color="auto" w:sz="4" w:space="1"/>
          <w:left w:val="single" w:color="auto" w:sz="4" w:space="4"/>
          <w:bottom w:val="single" w:color="auto" w:sz="4" w:space="1"/>
          <w:right w:val="single" w:color="auto" w:sz="4" w:space="4"/>
        </w:pBdr>
        <w:spacing w:line="360" w:lineRule="auto"/>
        <w:rPr>
          <w:rFonts w:ascii="宋体" w:hAnsi="宋体"/>
          <w:sz w:val="24"/>
        </w:rPr>
      </w:pPr>
      <w:r>
        <w:rPr>
          <w:rFonts w:hint="eastAsia" w:ascii="宋体" w:hAnsi="宋体"/>
          <w:sz w:val="24"/>
        </w:rPr>
        <w:t>项目概况</w:t>
      </w:r>
    </w:p>
    <w:p w14:paraId="22E51C98">
      <w:pPr>
        <w:pBdr>
          <w:top w:val="single" w:color="auto" w:sz="4" w:space="1"/>
          <w:left w:val="single" w:color="auto" w:sz="4" w:space="4"/>
          <w:bottom w:val="single" w:color="auto" w:sz="4" w:space="1"/>
          <w:right w:val="single" w:color="auto" w:sz="4" w:space="4"/>
        </w:pBdr>
        <w:spacing w:line="360" w:lineRule="auto"/>
        <w:ind w:firstLine="480" w:firstLineChars="200"/>
        <w:rPr>
          <w:rFonts w:ascii="宋体" w:hAnsi="宋体"/>
          <w:sz w:val="24"/>
        </w:rPr>
      </w:pPr>
      <w:r>
        <w:rPr>
          <w:rFonts w:hint="eastAsia" w:ascii="宋体" w:hAnsi="宋体"/>
          <w:sz w:val="24"/>
          <w:u w:val="single"/>
          <w:lang w:eastAsia="zh-CN"/>
        </w:rPr>
        <w:t>低空经济航路建设研究及项目谋划</w:t>
      </w:r>
      <w:r>
        <w:rPr>
          <w:rFonts w:hint="eastAsia" w:ascii="宋体" w:hAnsi="宋体"/>
          <w:sz w:val="24"/>
        </w:rPr>
        <w:t>招标项目的潜在投标人应在</w:t>
      </w:r>
      <w:r>
        <w:rPr>
          <w:rFonts w:hint="eastAsia" w:ascii="宋体" w:hAnsi="宋体"/>
          <w:sz w:val="24"/>
          <w:u w:val="single"/>
          <w:lang w:eastAsia="zh-CN"/>
        </w:rPr>
        <w:t>海口市蓝天路名门广场北区B(6-9)1909房</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"http://zw.hainan.gov.cn/ggzy/）获取招标文件，并于2020年" </w:instrText>
      </w:r>
      <w:r>
        <w:rPr>
          <w:color w:val="000000" w:themeColor="text1"/>
          <w14:textFill>
            <w14:solidFill>
              <w14:schemeClr w14:val="tx1"/>
            </w14:solidFill>
          </w14:textFill>
        </w:rPr>
        <w:fldChar w:fldCharType="separate"/>
      </w:r>
      <w:r>
        <w:rPr>
          <w:rFonts w:hint="eastAsia" w:ascii="宋体" w:hAnsi="宋体"/>
          <w:color w:val="000000" w:themeColor="text1"/>
          <w:sz w:val="24"/>
          <w14:textFill>
            <w14:solidFill>
              <w14:schemeClr w14:val="tx1"/>
            </w14:solidFill>
          </w14:textFill>
        </w:rPr>
        <w:t>获取招标文件，并于</w:t>
      </w:r>
      <w:r>
        <w:rPr>
          <w:rFonts w:hint="eastAsia" w:ascii="宋体" w:hAnsi="宋体"/>
          <w:color w:val="000000" w:themeColor="text1"/>
          <w:sz w:val="24"/>
          <w:u w:val="single"/>
          <w:lang w:eastAsia="zh-CN"/>
          <w14:textFill>
            <w14:solidFill>
              <w14:schemeClr w14:val="tx1"/>
            </w14:solidFill>
          </w14:textFill>
        </w:rPr>
        <w:t>2025年</w:t>
      </w:r>
      <w:r>
        <w:rPr>
          <w:rFonts w:hint="eastAsia" w:ascii="宋体" w:hAnsi="宋体"/>
          <w:color w:val="000000" w:themeColor="text1"/>
          <w:sz w:val="24"/>
          <w:u w:val="single"/>
          <w14:textFill>
            <w14:solidFill>
              <w14:schemeClr w14:val="tx1"/>
            </w14:solidFill>
          </w14:textFill>
        </w:rPr>
        <w:fldChar w:fldCharType="end"/>
      </w:r>
      <w:r>
        <w:rPr>
          <w:rFonts w:hint="eastAsia" w:ascii="宋体" w:hAnsi="宋体"/>
          <w:color w:val="000000" w:themeColor="text1"/>
          <w:sz w:val="24"/>
          <w:u w:val="single"/>
          <w:lang w:val="en-US" w:eastAsia="zh-CN"/>
          <w14:textFill>
            <w14:solidFill>
              <w14:schemeClr w14:val="tx1"/>
            </w14:solidFill>
          </w14:textFill>
        </w:rPr>
        <w:t xml:space="preserve"> 8</w:t>
      </w:r>
      <w:r>
        <w:rPr>
          <w:rFonts w:hint="eastAsia" w:ascii="宋体" w:hAnsi="宋体"/>
          <w:color w:val="000000" w:themeColor="text1"/>
          <w:sz w:val="24"/>
          <w:u w:val="single"/>
          <w14:textFill>
            <w14:solidFill>
              <w14:schemeClr w14:val="tx1"/>
            </w14:solidFill>
          </w14:textFill>
        </w:rPr>
        <w:t>月</w:t>
      </w:r>
      <w:r>
        <w:rPr>
          <w:rFonts w:hint="eastAsia" w:ascii="宋体" w:hAnsi="宋体"/>
          <w:color w:val="000000" w:themeColor="text1"/>
          <w:sz w:val="24"/>
          <w:u w:val="single"/>
          <w:lang w:val="en-US" w:eastAsia="zh-CN"/>
          <w14:textFill>
            <w14:solidFill>
              <w14:schemeClr w14:val="tx1"/>
            </w14:solidFill>
          </w14:textFill>
        </w:rPr>
        <w:t>14</w:t>
      </w:r>
      <w:r>
        <w:rPr>
          <w:rFonts w:hint="eastAsia" w:ascii="宋体" w:hAnsi="宋体"/>
          <w:color w:val="000000" w:themeColor="text1"/>
          <w:sz w:val="24"/>
          <w:u w:val="single"/>
          <w14:textFill>
            <w14:solidFill>
              <w14:schemeClr w14:val="tx1"/>
            </w14:solidFill>
          </w14:textFill>
        </w:rPr>
        <w:t>日</w:t>
      </w:r>
      <w:r>
        <w:rPr>
          <w:rFonts w:hint="eastAsia" w:ascii="宋体" w:hAnsi="宋体"/>
          <w:color w:val="000000" w:themeColor="text1"/>
          <w:sz w:val="24"/>
          <w:u w:val="single"/>
          <w:lang w:val="en-US" w:eastAsia="zh-CN"/>
          <w14:textFill>
            <w14:solidFill>
              <w14:schemeClr w14:val="tx1"/>
            </w14:solidFill>
          </w14:textFill>
        </w:rPr>
        <w:t>15</w:t>
      </w:r>
      <w:r>
        <w:rPr>
          <w:rFonts w:hint="eastAsia" w:ascii="宋体" w:hAnsi="宋体"/>
          <w:color w:val="000000" w:themeColor="text1"/>
          <w:sz w:val="24"/>
          <w:u w:val="single"/>
          <w14:textFill>
            <w14:solidFill>
              <w14:schemeClr w14:val="tx1"/>
            </w14:solidFill>
          </w14:textFill>
        </w:rPr>
        <w:t>时</w:t>
      </w:r>
      <w:r>
        <w:rPr>
          <w:rFonts w:hint="eastAsia" w:ascii="宋体" w:hAnsi="宋体"/>
          <w:color w:val="000000" w:themeColor="text1"/>
          <w:sz w:val="24"/>
          <w:u w:val="single"/>
          <w:lang w:val="en-US" w:eastAsia="zh-CN"/>
          <w14:textFill>
            <w14:solidFill>
              <w14:schemeClr w14:val="tx1"/>
            </w14:solidFill>
          </w14:textFill>
        </w:rPr>
        <w:t>00</w:t>
      </w:r>
      <w:r>
        <w:rPr>
          <w:rFonts w:hint="eastAsia" w:ascii="宋体" w:hAnsi="宋体"/>
          <w:color w:val="000000" w:themeColor="text1"/>
          <w:sz w:val="24"/>
          <w:u w:val="single"/>
          <w14:textFill>
            <w14:solidFill>
              <w14:schemeClr w14:val="tx1"/>
            </w14:solidFill>
          </w14:textFill>
        </w:rPr>
        <w:t>分</w:t>
      </w:r>
      <w:r>
        <w:rPr>
          <w:rFonts w:hint="eastAsia" w:ascii="宋体" w:hAnsi="宋体"/>
          <w:color w:val="000000" w:themeColor="text1"/>
          <w:sz w:val="24"/>
          <w14:textFill>
            <w14:solidFill>
              <w14:schemeClr w14:val="tx1"/>
            </w14:solidFill>
          </w14:textFill>
        </w:rPr>
        <w:t>（</w:t>
      </w:r>
      <w:r>
        <w:rPr>
          <w:rFonts w:hint="eastAsia" w:ascii="宋体" w:hAnsi="宋体"/>
          <w:sz w:val="24"/>
        </w:rPr>
        <w:t>北京时间）前递交投标</w:t>
      </w:r>
      <w:r>
        <w:rPr>
          <w:rFonts w:ascii="宋体" w:hAnsi="宋体"/>
          <w:sz w:val="24"/>
        </w:rPr>
        <w:t>文件</w:t>
      </w:r>
      <w:r>
        <w:rPr>
          <w:rFonts w:hint="eastAsia" w:ascii="宋体" w:hAnsi="宋体"/>
          <w:sz w:val="24"/>
        </w:rPr>
        <w:t>。</w:t>
      </w:r>
    </w:p>
    <w:p w14:paraId="1C6044BF">
      <w:pPr>
        <w:spacing w:beforeLines="50" w:afterLines="50"/>
        <w:rPr>
          <w:b/>
          <w:sz w:val="28"/>
          <w:szCs w:val="28"/>
        </w:rPr>
      </w:pPr>
      <w:bookmarkStart w:id="1" w:name="_Toc18871"/>
      <w:bookmarkStart w:id="2" w:name="_Toc35393790"/>
      <w:bookmarkStart w:id="3" w:name="_Toc28359079"/>
      <w:bookmarkStart w:id="4" w:name="_Toc35393621"/>
      <w:bookmarkStart w:id="5" w:name="_Toc28359002"/>
      <w:r>
        <w:rPr>
          <w:b/>
          <w:sz w:val="28"/>
          <w:szCs w:val="28"/>
        </w:rPr>
        <w:t>一、项目基本情况</w:t>
      </w:r>
      <w:bookmarkEnd w:id="1"/>
      <w:bookmarkEnd w:id="2"/>
      <w:bookmarkEnd w:id="3"/>
      <w:bookmarkEnd w:id="4"/>
      <w:bookmarkEnd w:id="5"/>
    </w:p>
    <w:p w14:paraId="533BD93A">
      <w:pPr>
        <w:spacing w:line="360" w:lineRule="auto"/>
        <w:ind w:firstLine="480" w:firstLineChars="200"/>
        <w:rPr>
          <w:rFonts w:ascii="宋体" w:hAnsi="宋体"/>
          <w:sz w:val="24"/>
        </w:rPr>
      </w:pPr>
      <w:bookmarkStart w:id="6" w:name="_Toc62"/>
      <w:r>
        <w:rPr>
          <w:rFonts w:hint="eastAsia" w:ascii="宋体" w:hAnsi="宋体"/>
          <w:sz w:val="24"/>
        </w:rPr>
        <w:t>1、项目编号：</w:t>
      </w:r>
      <w:r>
        <w:rPr>
          <w:rFonts w:hint="eastAsia" w:ascii="宋体" w:hAnsi="宋体"/>
          <w:sz w:val="24"/>
          <w:lang w:eastAsia="zh-CN"/>
        </w:rPr>
        <w:t>HNHS-2025-041</w:t>
      </w:r>
      <w:r>
        <w:rPr>
          <w:rFonts w:hint="eastAsia" w:ascii="宋体" w:hAnsi="宋体"/>
          <w:sz w:val="24"/>
        </w:rPr>
        <w:t>。</w:t>
      </w:r>
    </w:p>
    <w:p w14:paraId="3E1D89C6">
      <w:pPr>
        <w:spacing w:line="360" w:lineRule="auto"/>
        <w:ind w:firstLine="480" w:firstLineChars="200"/>
        <w:rPr>
          <w:rFonts w:ascii="宋体" w:hAnsi="宋体"/>
          <w:sz w:val="24"/>
        </w:rPr>
      </w:pPr>
      <w:r>
        <w:rPr>
          <w:rFonts w:hint="eastAsia" w:ascii="宋体" w:hAnsi="宋体"/>
          <w:sz w:val="24"/>
        </w:rPr>
        <w:t>2、项目名称：</w:t>
      </w:r>
      <w:r>
        <w:rPr>
          <w:rFonts w:hint="eastAsia" w:ascii="宋体" w:hAnsi="宋体"/>
          <w:sz w:val="24"/>
          <w:lang w:eastAsia="zh-CN"/>
        </w:rPr>
        <w:t>低空经济航路建设研究及项目谋划</w:t>
      </w:r>
      <w:r>
        <w:rPr>
          <w:rFonts w:hint="eastAsia" w:ascii="宋体" w:hAnsi="宋体"/>
          <w:sz w:val="24"/>
        </w:rPr>
        <w:t>。</w:t>
      </w:r>
    </w:p>
    <w:p w14:paraId="533CD172">
      <w:pPr>
        <w:spacing w:line="360" w:lineRule="auto"/>
        <w:ind w:firstLine="480" w:firstLineChars="200"/>
        <w:rPr>
          <w:rFonts w:hint="eastAsia" w:ascii="宋体" w:hAnsi="宋体"/>
          <w:sz w:val="24"/>
          <w:lang w:val="en-US" w:eastAsia="zh-CN"/>
        </w:rPr>
      </w:pPr>
      <w:r>
        <w:rPr>
          <w:rFonts w:hint="eastAsia" w:ascii="宋体" w:hAnsi="宋体"/>
          <w:sz w:val="24"/>
          <w:lang w:val="en-US" w:eastAsia="zh-CN"/>
        </w:rPr>
        <w:t>3</w:t>
      </w:r>
      <w:r>
        <w:rPr>
          <w:rFonts w:hint="eastAsia" w:ascii="宋体" w:hAnsi="宋体"/>
          <w:sz w:val="24"/>
        </w:rPr>
        <w:t xml:space="preserve">、预算金额：190.00万元 </w:t>
      </w:r>
    </w:p>
    <w:p w14:paraId="3AC09DCF">
      <w:pPr>
        <w:spacing w:line="360" w:lineRule="auto"/>
        <w:ind w:firstLine="480" w:firstLineChars="200"/>
        <w:rPr>
          <w:rFonts w:hint="eastAsia" w:ascii="宋体" w:hAnsi="宋体"/>
          <w:sz w:val="24"/>
        </w:rPr>
      </w:pPr>
      <w:r>
        <w:rPr>
          <w:rFonts w:hint="eastAsia" w:ascii="宋体" w:hAnsi="宋体"/>
          <w:sz w:val="24"/>
          <w:lang w:val="en-US" w:eastAsia="zh-CN"/>
        </w:rPr>
        <w:t>4</w:t>
      </w:r>
      <w:r>
        <w:rPr>
          <w:rFonts w:hint="eastAsia" w:ascii="宋体" w:hAnsi="宋体"/>
          <w:sz w:val="24"/>
        </w:rPr>
        <w:t>、采购</w:t>
      </w:r>
      <w:r>
        <w:rPr>
          <w:rFonts w:hint="eastAsia" w:ascii="宋体" w:hAnsi="宋体"/>
          <w:sz w:val="24"/>
          <w:lang w:val="en-US" w:eastAsia="zh-CN"/>
        </w:rPr>
        <w:t>需求</w:t>
      </w:r>
      <w:r>
        <w:rPr>
          <w:rFonts w:hint="eastAsia" w:ascii="宋体" w:hAnsi="宋体"/>
          <w:sz w:val="24"/>
        </w:rPr>
        <w:t>：</w:t>
      </w:r>
      <w:r>
        <w:rPr>
          <w:rFonts w:hint="eastAsia" w:ascii="宋体" w:hAnsi="宋体"/>
          <w:sz w:val="24"/>
          <w:lang w:val="en-US" w:eastAsia="zh-CN"/>
        </w:rPr>
        <w:t>详见第三章《采购需求》</w:t>
      </w:r>
      <w:r>
        <w:rPr>
          <w:rFonts w:hint="eastAsia" w:ascii="宋体" w:hAnsi="宋体"/>
          <w:sz w:val="24"/>
        </w:rPr>
        <w:t>。</w:t>
      </w:r>
    </w:p>
    <w:p w14:paraId="462E77E8">
      <w:pPr>
        <w:spacing w:line="360" w:lineRule="auto"/>
        <w:ind w:firstLine="480" w:firstLineChars="200"/>
        <w:rPr>
          <w:rFonts w:hint="eastAsia" w:ascii="宋体" w:hAnsi="宋体" w:eastAsia="宋体"/>
          <w:sz w:val="24"/>
          <w:lang w:eastAsia="zh-CN"/>
        </w:rPr>
      </w:pPr>
      <w:r>
        <w:rPr>
          <w:rFonts w:hint="eastAsia" w:ascii="宋体" w:hAnsi="宋体"/>
          <w:sz w:val="24"/>
          <w:lang w:val="en-US" w:eastAsia="zh-CN"/>
        </w:rPr>
        <w:t>5</w:t>
      </w:r>
      <w:r>
        <w:rPr>
          <w:rFonts w:hint="eastAsia" w:ascii="宋体" w:hAnsi="宋体"/>
          <w:sz w:val="24"/>
        </w:rPr>
        <w:t>、</w:t>
      </w:r>
      <w:r>
        <w:rPr>
          <w:rFonts w:hint="eastAsia" w:ascii="宋体" w:hAnsi="宋体"/>
          <w:sz w:val="24"/>
          <w:lang w:eastAsia="zh-CN"/>
        </w:rPr>
        <w:t>合同履行期限（服务期限）：合同签订生效后至海南低空航路建设方案成果获得国家发展改革委认可且协助采购人完成《海南省低空经济产业发展促进条例》立法以及出台《海南省低空经济产业发展管理办法》为止</w:t>
      </w:r>
    </w:p>
    <w:p w14:paraId="566B63CA">
      <w:pPr>
        <w:spacing w:line="360" w:lineRule="auto"/>
        <w:ind w:firstLine="480" w:firstLineChars="200"/>
        <w:rPr>
          <w:rFonts w:hint="eastAsia" w:ascii="宋体" w:hAnsi="宋体"/>
          <w:color w:val="000000" w:themeColor="text1"/>
          <w:sz w:val="24"/>
          <w:lang w:val="en-US" w:eastAsia="zh-CN"/>
          <w14:textFill>
            <w14:solidFill>
              <w14:schemeClr w14:val="tx1"/>
            </w14:solidFill>
          </w14:textFill>
        </w:rPr>
      </w:pPr>
      <w:r>
        <w:rPr>
          <w:rFonts w:hint="eastAsia" w:ascii="宋体" w:hAnsi="宋体"/>
          <w:sz w:val="24"/>
          <w:lang w:val="en-US" w:eastAsia="zh-CN"/>
        </w:rPr>
        <w:t>6</w:t>
      </w:r>
      <w:r>
        <w:rPr>
          <w:rFonts w:hint="eastAsia" w:ascii="宋体" w:hAnsi="宋体"/>
          <w:sz w:val="24"/>
        </w:rPr>
        <w:t>、</w:t>
      </w:r>
      <w:r>
        <w:rPr>
          <w:rFonts w:hint="eastAsia" w:ascii="宋体" w:hAnsi="宋体"/>
          <w:sz w:val="24"/>
          <w:lang w:eastAsia="zh-CN"/>
        </w:rPr>
        <w:t>服务地点：采购人指定地点。</w:t>
      </w:r>
    </w:p>
    <w:p w14:paraId="0B210967">
      <w:pPr>
        <w:pStyle w:val="3"/>
        <w:widowControl/>
        <w:shd w:val="clear" w:color="auto" w:fill="FFFFFF"/>
        <w:spacing w:beforeLines="50" w:beforeAutospacing="0" w:afterLines="50" w:afterAutospacing="0" w:line="20" w:lineRule="atLeast"/>
        <w:ind w:firstLine="480" w:firstLineChars="200"/>
        <w:rPr>
          <w:rFonts w:hint="eastAsia" w:ascii="宋体" w:hAnsi="宋体" w:eastAsia="宋体" w:cs="Times New Roman"/>
          <w:b w:val="0"/>
          <w:kern w:val="2"/>
          <w:sz w:val="24"/>
          <w:szCs w:val="24"/>
          <w:lang w:val="en-US" w:eastAsia="zh-CN" w:bidi="ar-SA"/>
        </w:rPr>
      </w:pPr>
      <w:r>
        <w:rPr>
          <w:rFonts w:hint="eastAsia" w:cs="Times New Roman"/>
          <w:b w:val="0"/>
          <w:kern w:val="2"/>
          <w:sz w:val="24"/>
          <w:szCs w:val="24"/>
          <w:lang w:val="en-US" w:eastAsia="zh-CN" w:bidi="ar-SA"/>
        </w:rPr>
        <w:t>7</w:t>
      </w:r>
      <w:r>
        <w:rPr>
          <w:rFonts w:hint="eastAsia" w:ascii="宋体" w:hAnsi="宋体" w:eastAsia="宋体" w:cs="Times New Roman"/>
          <w:b w:val="0"/>
          <w:kern w:val="2"/>
          <w:sz w:val="24"/>
          <w:szCs w:val="24"/>
          <w:lang w:val="en-US" w:eastAsia="zh-CN" w:bidi="ar-SA"/>
        </w:rPr>
        <w:t>、资金来源：</w:t>
      </w:r>
      <w:r>
        <w:rPr>
          <w:rFonts w:hint="eastAsia" w:cs="Times New Roman"/>
          <w:b w:val="0"/>
          <w:kern w:val="2"/>
          <w:sz w:val="24"/>
          <w:szCs w:val="24"/>
          <w:lang w:val="en-US" w:eastAsia="zh-CN" w:bidi="ar-SA"/>
        </w:rPr>
        <w:t>财政资金</w:t>
      </w:r>
      <w:r>
        <w:rPr>
          <w:rFonts w:hint="eastAsia" w:ascii="宋体" w:hAnsi="宋体" w:eastAsia="宋体" w:cs="Times New Roman"/>
          <w:b w:val="0"/>
          <w:kern w:val="2"/>
          <w:sz w:val="24"/>
          <w:szCs w:val="24"/>
          <w:lang w:val="en-US" w:eastAsia="zh-CN" w:bidi="ar-SA"/>
        </w:rPr>
        <w:t>。</w:t>
      </w:r>
    </w:p>
    <w:p w14:paraId="37867E3F">
      <w:pPr>
        <w:spacing w:line="360" w:lineRule="auto"/>
        <w:ind w:firstLine="480" w:firstLineChars="200"/>
        <w:rPr>
          <w:rFonts w:hint="eastAsia" w:ascii="宋体" w:hAnsi="宋体" w:cs="Times New Roman"/>
          <w:color w:val="auto"/>
          <w:sz w:val="24"/>
          <w:lang w:val="en-US" w:eastAsia="zh-CN"/>
        </w:rPr>
      </w:pPr>
      <w:r>
        <w:rPr>
          <w:rFonts w:hint="eastAsia" w:ascii="宋体" w:hAnsi="宋体" w:cs="Times New Roman"/>
          <w:color w:val="auto"/>
          <w:sz w:val="24"/>
          <w:lang w:val="en-US" w:eastAsia="zh-CN"/>
        </w:rPr>
        <w:t>8、本项目接受联合体投标。</w:t>
      </w:r>
    </w:p>
    <w:p w14:paraId="0270C2F6">
      <w:pPr>
        <w:pStyle w:val="3"/>
        <w:widowControl/>
        <w:shd w:val="clear" w:color="auto" w:fill="FFFFFF"/>
        <w:spacing w:beforeLines="50" w:beforeAutospacing="0" w:afterLines="50" w:afterAutospacing="0" w:line="20" w:lineRule="atLeast"/>
        <w:rPr>
          <w:rFonts w:hint="default" w:cs="宋体"/>
          <w:sz w:val="28"/>
          <w:szCs w:val="28"/>
          <w:shd w:val="clear" w:color="auto" w:fill="FFFFFF"/>
        </w:rPr>
      </w:pPr>
      <w:r>
        <w:rPr>
          <w:rFonts w:cs="宋体"/>
          <w:sz w:val="28"/>
          <w:szCs w:val="28"/>
          <w:shd w:val="clear" w:color="auto" w:fill="FFFFFF"/>
        </w:rPr>
        <w:t>二、申请人的资格要求</w:t>
      </w:r>
      <w:bookmarkEnd w:id="6"/>
    </w:p>
    <w:p w14:paraId="66891092">
      <w:pPr>
        <w:pStyle w:val="18"/>
        <w:shd w:val="clear" w:color="auto" w:fill="FFFFFF"/>
        <w:spacing w:before="0" w:beforeAutospacing="0" w:after="0" w:afterAutospacing="0" w:line="360" w:lineRule="auto"/>
        <w:ind w:firstLine="480" w:firstLineChars="200"/>
        <w:textAlignment w:val="baseline"/>
        <w:rPr>
          <w:rFonts w:hint="eastAsia" w:ascii="新宋体" w:hAnsi="新宋体" w:eastAsia="新宋体" w:cs="新宋体"/>
          <w:sz w:val="24"/>
          <w:szCs w:val="24"/>
        </w:rPr>
      </w:pPr>
      <w:bookmarkStart w:id="7" w:name="_Toc24962"/>
      <w:r>
        <w:rPr>
          <w:rFonts w:hint="eastAsia" w:ascii="新宋体" w:hAnsi="新宋体" w:eastAsia="新宋体" w:cs="新宋体"/>
          <w:sz w:val="24"/>
          <w:szCs w:val="24"/>
          <w:shd w:val="clear" w:color="auto" w:fill="FFFFFF"/>
        </w:rPr>
        <w:t>1.满足《中华人民共和国政府采购法》第二十二条规定：</w:t>
      </w:r>
    </w:p>
    <w:p w14:paraId="52B49747">
      <w:pPr>
        <w:pStyle w:val="5"/>
        <w:keepNext w:val="0"/>
        <w:keepLines w:val="0"/>
        <w:pageBreakBefore w:val="0"/>
        <w:kinsoku/>
        <w:wordWrap/>
        <w:overflowPunct/>
        <w:topLinePunct w:val="0"/>
        <w:autoSpaceDE/>
        <w:autoSpaceDN/>
        <w:bidi w:val="0"/>
        <w:adjustRightInd/>
        <w:spacing w:line="360" w:lineRule="auto"/>
        <w:textAlignment w:val="auto"/>
        <w:rPr>
          <w:rFonts w:ascii="Times New Roman" w:hAnsi="Times New Roman" w:eastAsia="宋体" w:cs="Times New Roman"/>
          <w:b w:val="0"/>
          <w:bCs/>
          <w:color w:val="auto"/>
          <w:kern w:val="2"/>
          <w:sz w:val="24"/>
          <w:lang w:val="en-US" w:eastAsia="zh-CN" w:bidi="ar-SA"/>
        </w:rPr>
      </w:pPr>
      <w:r>
        <w:rPr>
          <w:rFonts w:hint="eastAsia" w:ascii="Times New Roman" w:hAnsi="Times New Roman" w:eastAsia="宋体" w:cs="Times New Roman"/>
          <w:b w:val="0"/>
          <w:bCs/>
          <w:color w:val="auto"/>
          <w:kern w:val="2"/>
          <w:sz w:val="24"/>
          <w:lang w:val="en-US" w:eastAsia="zh-CN" w:bidi="ar-SA"/>
        </w:rPr>
        <w:t>1.1、在中华人民共和国注册的、具有独立承担民事责任能力的法人（须提供营业执照副本复印件、税务登记证复印件、组织机构代码证复印件，或三证合一营业执照复印件加盖单位公章）</w:t>
      </w:r>
      <w:r>
        <w:rPr>
          <w:rFonts w:ascii="Times New Roman" w:hAnsi="Times New Roman" w:eastAsia="宋体" w:cs="Times New Roman"/>
          <w:b w:val="0"/>
          <w:bCs/>
          <w:color w:val="auto"/>
          <w:kern w:val="2"/>
          <w:sz w:val="24"/>
          <w:lang w:val="en-US" w:eastAsia="zh-CN" w:bidi="ar-SA"/>
        </w:rPr>
        <w:t>；</w:t>
      </w:r>
      <w:r>
        <w:rPr>
          <w:rFonts w:hint="eastAsia" w:ascii="Times New Roman" w:hAnsi="Times New Roman" w:eastAsia="宋体" w:cs="Times New Roman"/>
          <w:b w:val="0"/>
          <w:bCs/>
          <w:color w:val="auto"/>
          <w:kern w:val="2"/>
          <w:sz w:val="24"/>
          <w:lang w:val="en-US" w:eastAsia="zh-CN" w:bidi="ar-SA"/>
        </w:rPr>
        <w:t>根据《政府采购法实施条例》释义，银行、保险、石油石化、电力、电信等有行业特殊情况的，允许法人的分支机构参加投标。分公司投标的，需要在投标时提供具有法人资格的总公司授权（提供的资料须加盖公章）</w:t>
      </w:r>
      <w:r>
        <w:rPr>
          <w:rFonts w:ascii="Times New Roman" w:hAnsi="Times New Roman" w:eastAsia="宋体" w:cs="Times New Roman"/>
          <w:b w:val="0"/>
          <w:bCs/>
          <w:color w:val="auto"/>
          <w:kern w:val="2"/>
          <w:sz w:val="24"/>
          <w:lang w:val="en-US" w:eastAsia="zh-CN" w:bidi="ar-SA"/>
        </w:rPr>
        <w:t>；</w:t>
      </w:r>
    </w:p>
    <w:p w14:paraId="3CB2CD55">
      <w:pPr>
        <w:keepNext w:val="0"/>
        <w:keepLines w:val="0"/>
        <w:pageBreakBefore w:val="0"/>
        <w:kinsoku/>
        <w:wordWrap/>
        <w:overflowPunct/>
        <w:topLinePunct w:val="0"/>
        <w:autoSpaceDE/>
        <w:autoSpaceDN/>
        <w:bidi w:val="0"/>
        <w:adjustRightInd/>
        <w:snapToGrid w:val="0"/>
        <w:spacing w:line="360" w:lineRule="auto"/>
        <w:ind w:firstLine="480" w:firstLineChars="200"/>
        <w:textAlignment w:val="auto"/>
        <w:rPr>
          <w:rFonts w:hint="eastAsia" w:eastAsia="宋体"/>
          <w:bCs/>
          <w:color w:val="auto"/>
          <w:sz w:val="24"/>
          <w:lang w:eastAsia="zh-CN"/>
        </w:rPr>
      </w:pPr>
      <w:r>
        <w:rPr>
          <w:rFonts w:hint="eastAsia"/>
          <w:bCs/>
          <w:color w:val="auto"/>
          <w:sz w:val="24"/>
          <w:lang w:val="en-US" w:eastAsia="zh-CN"/>
        </w:rPr>
        <w:t>1.</w:t>
      </w:r>
      <w:r>
        <w:rPr>
          <w:bCs/>
          <w:color w:val="auto"/>
          <w:sz w:val="24"/>
        </w:rPr>
        <w:t>2</w:t>
      </w:r>
      <w:r>
        <w:rPr>
          <w:rFonts w:hint="eastAsia"/>
          <w:bCs/>
          <w:color w:val="auto"/>
          <w:sz w:val="24"/>
          <w:lang w:eastAsia="zh-CN"/>
        </w:rPr>
        <w:t>、</w:t>
      </w:r>
      <w:r>
        <w:rPr>
          <w:rFonts w:hint="eastAsia"/>
          <w:bCs/>
          <w:color w:val="auto"/>
          <w:sz w:val="24"/>
          <w:lang w:val="en-US" w:eastAsia="zh-CN"/>
        </w:rPr>
        <w:t>具</w:t>
      </w:r>
      <w:r>
        <w:rPr>
          <w:bCs/>
          <w:color w:val="auto"/>
          <w:sz w:val="24"/>
        </w:rPr>
        <w:t>有良好的商业信誉和健全的财务会计制度</w:t>
      </w:r>
      <w:r>
        <w:rPr>
          <w:rFonts w:hint="eastAsia"/>
          <w:bCs/>
          <w:color w:val="auto"/>
          <w:sz w:val="24"/>
          <w:lang w:eastAsia="zh-CN"/>
        </w:rPr>
        <w:t>（提供</w:t>
      </w:r>
      <w:r>
        <w:rPr>
          <w:rFonts w:hint="eastAsia"/>
          <w:bCs/>
          <w:color w:val="auto"/>
          <w:sz w:val="24"/>
          <w:lang w:val="en-US" w:eastAsia="zh-CN"/>
        </w:rPr>
        <w:t>承诺函</w:t>
      </w:r>
      <w:r>
        <w:rPr>
          <w:rFonts w:hint="eastAsia"/>
          <w:bCs/>
          <w:color w:val="auto"/>
          <w:sz w:val="24"/>
          <w:lang w:eastAsia="zh-CN"/>
        </w:rPr>
        <w:t>加盖公章）；</w:t>
      </w:r>
    </w:p>
    <w:p w14:paraId="3FCC1B13">
      <w:pPr>
        <w:keepNext w:val="0"/>
        <w:keepLines w:val="0"/>
        <w:pageBreakBefore w:val="0"/>
        <w:kinsoku/>
        <w:wordWrap/>
        <w:overflowPunct/>
        <w:topLinePunct w:val="0"/>
        <w:autoSpaceDE/>
        <w:autoSpaceDN/>
        <w:bidi w:val="0"/>
        <w:adjustRightInd/>
        <w:snapToGrid w:val="0"/>
        <w:spacing w:line="360" w:lineRule="auto"/>
        <w:ind w:firstLine="480" w:firstLineChars="200"/>
        <w:textAlignment w:val="auto"/>
        <w:rPr>
          <w:bCs/>
          <w:color w:val="auto"/>
          <w:sz w:val="24"/>
        </w:rPr>
      </w:pPr>
      <w:r>
        <w:rPr>
          <w:rFonts w:hint="eastAsia"/>
          <w:bCs/>
          <w:color w:val="auto"/>
          <w:sz w:val="24"/>
          <w:lang w:val="en-US" w:eastAsia="zh-CN"/>
        </w:rPr>
        <w:t>1.</w:t>
      </w:r>
      <w:r>
        <w:rPr>
          <w:bCs/>
          <w:color w:val="auto"/>
          <w:sz w:val="24"/>
        </w:rPr>
        <w:t>3</w:t>
      </w:r>
      <w:r>
        <w:rPr>
          <w:rFonts w:hint="eastAsia"/>
          <w:bCs/>
          <w:color w:val="auto"/>
          <w:sz w:val="24"/>
          <w:lang w:eastAsia="zh-CN"/>
        </w:rPr>
        <w:t>、</w:t>
      </w:r>
      <w:r>
        <w:rPr>
          <w:bCs/>
          <w:color w:val="auto"/>
          <w:sz w:val="24"/>
        </w:rPr>
        <w:t>具有履行合同必需的设备和专业技术能力（提供承诺函加盖公章）；</w:t>
      </w:r>
    </w:p>
    <w:p w14:paraId="12EC01AC">
      <w:pPr>
        <w:keepNext w:val="0"/>
        <w:keepLines w:val="0"/>
        <w:pageBreakBefore w:val="0"/>
        <w:kinsoku/>
        <w:wordWrap/>
        <w:overflowPunct/>
        <w:topLinePunct w:val="0"/>
        <w:autoSpaceDE/>
        <w:autoSpaceDN/>
        <w:bidi w:val="0"/>
        <w:adjustRightInd/>
        <w:snapToGrid w:val="0"/>
        <w:spacing w:line="360" w:lineRule="auto"/>
        <w:ind w:firstLine="480" w:firstLineChars="200"/>
        <w:textAlignment w:val="auto"/>
        <w:rPr>
          <w:bCs/>
          <w:color w:val="auto"/>
          <w:sz w:val="24"/>
        </w:rPr>
      </w:pPr>
      <w:r>
        <w:rPr>
          <w:rFonts w:hint="eastAsia"/>
          <w:bCs/>
          <w:color w:val="auto"/>
          <w:sz w:val="24"/>
          <w:lang w:val="en-US" w:eastAsia="zh-CN"/>
        </w:rPr>
        <w:t>1.</w:t>
      </w:r>
      <w:r>
        <w:rPr>
          <w:bCs/>
          <w:color w:val="auto"/>
          <w:sz w:val="24"/>
        </w:rPr>
        <w:t>4</w:t>
      </w:r>
      <w:r>
        <w:rPr>
          <w:rFonts w:hint="eastAsia"/>
          <w:bCs/>
          <w:color w:val="auto"/>
          <w:sz w:val="24"/>
          <w:lang w:eastAsia="zh-CN"/>
        </w:rPr>
        <w:t>、</w:t>
      </w:r>
      <w:r>
        <w:rPr>
          <w:bCs/>
          <w:color w:val="auto"/>
          <w:sz w:val="24"/>
        </w:rPr>
        <w:t>具有依法缴纳税收和社会保障资金的良好记录</w:t>
      </w:r>
      <w:r>
        <w:rPr>
          <w:rFonts w:hint="eastAsia"/>
          <w:bCs/>
          <w:color w:val="auto"/>
          <w:sz w:val="24"/>
          <w:lang w:eastAsia="zh-CN"/>
        </w:rPr>
        <w:t>（提供</w:t>
      </w:r>
      <w:r>
        <w:rPr>
          <w:rFonts w:hint="eastAsia"/>
          <w:bCs/>
          <w:color w:val="auto"/>
          <w:sz w:val="24"/>
          <w:lang w:val="en-US" w:eastAsia="zh-CN"/>
        </w:rPr>
        <w:t>承诺函</w:t>
      </w:r>
      <w:r>
        <w:rPr>
          <w:rFonts w:hint="eastAsia"/>
          <w:bCs/>
          <w:color w:val="auto"/>
          <w:sz w:val="24"/>
          <w:lang w:eastAsia="zh-CN"/>
        </w:rPr>
        <w:t>加盖公章）</w:t>
      </w:r>
      <w:r>
        <w:rPr>
          <w:bCs/>
          <w:color w:val="auto"/>
          <w:sz w:val="24"/>
        </w:rPr>
        <w:t>；</w:t>
      </w:r>
    </w:p>
    <w:p w14:paraId="058A0127">
      <w:pPr>
        <w:keepNext w:val="0"/>
        <w:keepLines w:val="0"/>
        <w:pageBreakBefore w:val="0"/>
        <w:kinsoku/>
        <w:wordWrap/>
        <w:overflowPunct/>
        <w:topLinePunct w:val="0"/>
        <w:autoSpaceDE/>
        <w:autoSpaceDN/>
        <w:bidi w:val="0"/>
        <w:adjustRightInd/>
        <w:snapToGrid w:val="0"/>
        <w:spacing w:line="360" w:lineRule="auto"/>
        <w:ind w:firstLine="480" w:firstLineChars="200"/>
        <w:textAlignment w:val="auto"/>
        <w:rPr>
          <w:bCs/>
          <w:color w:val="auto"/>
          <w:sz w:val="24"/>
        </w:rPr>
      </w:pPr>
      <w:r>
        <w:rPr>
          <w:rFonts w:hint="eastAsia"/>
          <w:bCs/>
          <w:color w:val="auto"/>
          <w:sz w:val="24"/>
          <w:lang w:val="en-US" w:eastAsia="zh-CN"/>
        </w:rPr>
        <w:t>1.</w:t>
      </w:r>
      <w:r>
        <w:rPr>
          <w:bCs/>
          <w:color w:val="auto"/>
          <w:sz w:val="24"/>
        </w:rPr>
        <w:t>5</w:t>
      </w:r>
      <w:r>
        <w:rPr>
          <w:rFonts w:hint="eastAsia"/>
          <w:bCs/>
          <w:color w:val="auto"/>
          <w:sz w:val="24"/>
          <w:lang w:eastAsia="zh-CN"/>
        </w:rPr>
        <w:t>、</w:t>
      </w:r>
      <w:r>
        <w:rPr>
          <w:bCs/>
          <w:color w:val="auto"/>
          <w:sz w:val="24"/>
        </w:rPr>
        <w:t>参加政府采购活动前三年内（成立不足三年的从成立之日起算），在经营活动中没有重大违法记录（需提供加盖公章的</w:t>
      </w:r>
      <w:r>
        <w:rPr>
          <w:rFonts w:hint="eastAsia"/>
          <w:bCs/>
          <w:color w:val="auto"/>
          <w:sz w:val="24"/>
          <w:lang w:eastAsia="zh-CN"/>
        </w:rPr>
        <w:t>声明函</w:t>
      </w:r>
      <w:r>
        <w:rPr>
          <w:bCs/>
          <w:color w:val="auto"/>
          <w:sz w:val="24"/>
        </w:rPr>
        <w:t>）；</w:t>
      </w:r>
    </w:p>
    <w:p w14:paraId="129C062C">
      <w:pPr>
        <w:keepNext w:val="0"/>
        <w:keepLines w:val="0"/>
        <w:pageBreakBefore w:val="0"/>
        <w:kinsoku/>
        <w:wordWrap/>
        <w:overflowPunct/>
        <w:topLinePunct w:val="0"/>
        <w:autoSpaceDE/>
        <w:autoSpaceDN/>
        <w:bidi w:val="0"/>
        <w:adjustRightInd/>
        <w:snapToGrid w:val="0"/>
        <w:spacing w:line="360" w:lineRule="auto"/>
        <w:ind w:firstLine="480" w:firstLineChars="200"/>
        <w:textAlignment w:val="auto"/>
        <w:rPr>
          <w:bCs/>
          <w:color w:val="auto"/>
          <w:sz w:val="24"/>
          <w:highlight w:val="none"/>
        </w:rPr>
      </w:pPr>
      <w:r>
        <w:rPr>
          <w:rFonts w:hint="eastAsia"/>
          <w:bCs/>
          <w:color w:val="auto"/>
          <w:sz w:val="24"/>
          <w:lang w:val="en-US" w:eastAsia="zh-CN"/>
        </w:rPr>
        <w:t>1.</w:t>
      </w:r>
      <w:r>
        <w:rPr>
          <w:bCs/>
          <w:color w:val="auto"/>
          <w:sz w:val="24"/>
        </w:rPr>
        <w:t>6</w:t>
      </w:r>
      <w:r>
        <w:rPr>
          <w:rFonts w:hint="eastAsia"/>
          <w:bCs/>
          <w:color w:val="auto"/>
          <w:sz w:val="24"/>
          <w:lang w:eastAsia="zh-CN"/>
        </w:rPr>
        <w:t>、未被列入中国执行信息公开网（zxgk.court.gov.cn）的“失信被执行人”、信用中国网站(www.creditchina.gov.cn)的 “重大税收违法失信主体”、“政府采购严重违法失信名单”和中国政府采购网(www.ccgp.gov.cn) 的“政府采购严重违法失信行为记录名单”的供应商</w:t>
      </w:r>
      <w:r>
        <w:rPr>
          <w:rFonts w:hint="eastAsia"/>
          <w:bCs/>
          <w:color w:val="auto"/>
          <w:sz w:val="24"/>
          <w:highlight w:val="none"/>
          <w:lang w:eastAsia="zh-CN"/>
        </w:rPr>
        <w:t>（提供网页截图加盖公章，</w:t>
      </w:r>
      <w:r>
        <w:rPr>
          <w:rFonts w:hint="eastAsia"/>
          <w:bCs/>
          <w:color w:val="auto"/>
          <w:sz w:val="24"/>
          <w:highlight w:val="none"/>
          <w:lang w:val="en-US" w:eastAsia="zh-CN"/>
        </w:rPr>
        <w:t>显示的截图时间需为招标公告发布后</w:t>
      </w:r>
      <w:r>
        <w:rPr>
          <w:rFonts w:hint="eastAsia"/>
          <w:bCs/>
          <w:color w:val="auto"/>
          <w:sz w:val="24"/>
          <w:highlight w:val="none"/>
          <w:lang w:eastAsia="zh-CN"/>
        </w:rPr>
        <w:t>）</w:t>
      </w:r>
      <w:r>
        <w:rPr>
          <w:bCs/>
          <w:color w:val="auto"/>
          <w:sz w:val="24"/>
          <w:highlight w:val="none"/>
        </w:rPr>
        <w:t>；</w:t>
      </w:r>
    </w:p>
    <w:p w14:paraId="59A74761">
      <w:pPr>
        <w:pStyle w:val="18"/>
        <w:shd w:val="clear" w:color="auto" w:fill="FFFFFF"/>
        <w:spacing w:before="0" w:beforeAutospacing="0" w:after="0" w:afterAutospacing="0" w:line="360" w:lineRule="auto"/>
        <w:ind w:firstLine="480" w:firstLineChars="200"/>
        <w:textAlignment w:val="baseline"/>
        <w:rPr>
          <w:rFonts w:hint="eastAsia" w:ascii="新宋体" w:hAnsi="新宋体" w:eastAsia="新宋体" w:cs="新宋体"/>
          <w:sz w:val="24"/>
          <w:szCs w:val="24"/>
        </w:rPr>
      </w:pPr>
      <w:r>
        <w:rPr>
          <w:rFonts w:hint="eastAsia" w:ascii="新宋体" w:hAnsi="新宋体" w:eastAsia="新宋体" w:cs="新宋体"/>
          <w:sz w:val="24"/>
          <w:szCs w:val="24"/>
          <w:lang w:val="en-US" w:eastAsia="zh-CN"/>
        </w:rPr>
        <w:t>1.7</w:t>
      </w:r>
      <w:r>
        <w:rPr>
          <w:rFonts w:hint="eastAsia" w:ascii="新宋体" w:hAnsi="新宋体" w:eastAsia="新宋体" w:cs="新宋体"/>
          <w:sz w:val="24"/>
          <w:szCs w:val="24"/>
        </w:rPr>
        <w:t>单位负责人为同一人或者存在直接控股、管理关系的不同供应商，不得参加同一合同项下的政府采购活动（</w:t>
      </w:r>
      <w:r>
        <w:rPr>
          <w:rFonts w:hint="eastAsia"/>
          <w:bCs/>
          <w:color w:val="auto"/>
          <w:sz w:val="24"/>
          <w:lang w:eastAsia="zh-CN"/>
        </w:rPr>
        <w:t>提供</w:t>
      </w:r>
      <w:r>
        <w:rPr>
          <w:rFonts w:hint="eastAsia"/>
          <w:bCs/>
          <w:color w:val="auto"/>
          <w:sz w:val="24"/>
          <w:lang w:val="en-US" w:eastAsia="zh-CN"/>
        </w:rPr>
        <w:t>承诺函</w:t>
      </w:r>
      <w:r>
        <w:rPr>
          <w:rFonts w:hint="eastAsia"/>
          <w:bCs/>
          <w:color w:val="auto"/>
          <w:sz w:val="24"/>
          <w:lang w:eastAsia="zh-CN"/>
        </w:rPr>
        <w:t>加盖公章</w:t>
      </w:r>
      <w:r>
        <w:rPr>
          <w:rFonts w:hint="eastAsia" w:ascii="新宋体" w:hAnsi="新宋体" w:eastAsia="新宋体" w:cs="新宋体"/>
          <w:sz w:val="24"/>
          <w:szCs w:val="24"/>
        </w:rPr>
        <w:t>）。</w:t>
      </w:r>
    </w:p>
    <w:p w14:paraId="520378DD">
      <w:pPr>
        <w:pStyle w:val="3"/>
        <w:widowControl/>
        <w:shd w:val="clear" w:color="auto" w:fill="FFFFFF"/>
        <w:spacing w:beforeLines="50" w:beforeAutospacing="0" w:afterLines="50" w:afterAutospacing="0" w:line="20" w:lineRule="atLeast"/>
        <w:rPr>
          <w:rFonts w:hint="default" w:cs="宋体"/>
          <w:sz w:val="28"/>
          <w:szCs w:val="28"/>
          <w:shd w:val="clear" w:color="auto" w:fill="FFFFFF"/>
        </w:rPr>
      </w:pPr>
      <w:r>
        <w:rPr>
          <w:rFonts w:cs="宋体"/>
          <w:sz w:val="28"/>
          <w:szCs w:val="28"/>
          <w:shd w:val="clear" w:color="auto" w:fill="FFFFFF"/>
        </w:rPr>
        <w:t>三、获取招标文件</w:t>
      </w:r>
      <w:bookmarkEnd w:id="7"/>
    </w:p>
    <w:p w14:paraId="7F37BAC3">
      <w:pPr>
        <w:spacing w:line="360" w:lineRule="auto"/>
        <w:ind w:firstLine="480" w:firstLineChars="200"/>
        <w:rPr>
          <w:rFonts w:ascii="宋体" w:hAnsi="宋体"/>
          <w:sz w:val="24"/>
        </w:rPr>
      </w:pPr>
      <w:r>
        <w:rPr>
          <w:rFonts w:hint="eastAsia" w:ascii="宋体" w:hAnsi="宋体"/>
          <w:sz w:val="24"/>
        </w:rPr>
        <w:t>1.时间：</w:t>
      </w:r>
      <w:r>
        <w:rPr>
          <w:rFonts w:hint="eastAsia" w:ascii="宋体" w:hAnsi="宋体" w:cs="宋体"/>
          <w:color w:val="000000" w:themeColor="text1"/>
          <w:sz w:val="24"/>
          <w:u w:val="single"/>
          <w:lang w:eastAsia="zh-CN"/>
          <w14:textFill>
            <w14:solidFill>
              <w14:schemeClr w14:val="tx1"/>
            </w14:solidFill>
          </w14:textFill>
        </w:rPr>
        <w:t>2025年</w:t>
      </w:r>
      <w:r>
        <w:rPr>
          <w:rFonts w:hint="eastAsia" w:ascii="宋体" w:hAnsi="宋体" w:cs="宋体"/>
          <w:color w:val="000000" w:themeColor="text1"/>
          <w:sz w:val="24"/>
          <w:u w:val="single"/>
          <w:lang w:val="en-US" w:eastAsia="zh-CN"/>
          <w14:textFill>
            <w14:solidFill>
              <w14:schemeClr w14:val="tx1"/>
            </w14:solidFill>
          </w14:textFill>
        </w:rPr>
        <w:t>7</w:t>
      </w:r>
      <w:r>
        <w:rPr>
          <w:rFonts w:hint="eastAsia" w:ascii="宋体" w:hAnsi="宋体" w:cs="宋体"/>
          <w:color w:val="000000" w:themeColor="text1"/>
          <w:sz w:val="24"/>
          <w:u w:val="single"/>
          <w14:textFill>
            <w14:solidFill>
              <w14:schemeClr w14:val="tx1"/>
            </w14:solidFill>
          </w14:textFill>
        </w:rPr>
        <w:t>月</w:t>
      </w:r>
      <w:r>
        <w:rPr>
          <w:rFonts w:hint="eastAsia" w:ascii="宋体" w:hAnsi="宋体" w:cs="宋体"/>
          <w:color w:val="000000" w:themeColor="text1"/>
          <w:sz w:val="24"/>
          <w:u w:val="single"/>
          <w:lang w:val="en-US" w:eastAsia="zh-CN"/>
          <w14:textFill>
            <w14:solidFill>
              <w14:schemeClr w14:val="tx1"/>
            </w14:solidFill>
          </w14:textFill>
        </w:rPr>
        <w:t>25</w:t>
      </w:r>
      <w:r>
        <w:rPr>
          <w:rFonts w:hint="eastAsia" w:ascii="宋体" w:hAnsi="宋体" w:cs="宋体"/>
          <w:color w:val="000000" w:themeColor="text1"/>
          <w:sz w:val="24"/>
          <w:u w:val="single"/>
          <w14:textFill>
            <w14:solidFill>
              <w14:schemeClr w14:val="tx1"/>
            </w14:solidFill>
          </w14:textFill>
        </w:rPr>
        <w:t>日</w:t>
      </w:r>
      <w:r>
        <w:rPr>
          <w:rFonts w:hint="eastAsia" w:ascii="宋体" w:hAnsi="宋体" w:cs="宋体"/>
          <w:color w:val="000000" w:themeColor="text1"/>
          <w:sz w:val="24"/>
          <w14:textFill>
            <w14:solidFill>
              <w14:schemeClr w14:val="tx1"/>
            </w14:solidFill>
          </w14:textFill>
        </w:rPr>
        <w:t>至</w:t>
      </w:r>
      <w:r>
        <w:rPr>
          <w:rFonts w:hint="eastAsia" w:ascii="宋体" w:hAnsi="宋体" w:cs="宋体"/>
          <w:color w:val="000000" w:themeColor="text1"/>
          <w:sz w:val="24"/>
          <w:u w:val="single"/>
          <w:lang w:eastAsia="zh-CN"/>
          <w14:textFill>
            <w14:solidFill>
              <w14:schemeClr w14:val="tx1"/>
            </w14:solidFill>
          </w14:textFill>
        </w:rPr>
        <w:t>2025年</w:t>
      </w:r>
      <w:r>
        <w:rPr>
          <w:rFonts w:hint="eastAsia" w:ascii="宋体" w:hAnsi="宋体" w:cs="宋体"/>
          <w:color w:val="000000" w:themeColor="text1"/>
          <w:sz w:val="24"/>
          <w:u w:val="single"/>
          <w:lang w:val="en-US" w:eastAsia="zh-CN"/>
          <w14:textFill>
            <w14:solidFill>
              <w14:schemeClr w14:val="tx1"/>
            </w14:solidFill>
          </w14:textFill>
        </w:rPr>
        <w:t>7</w:t>
      </w:r>
      <w:r>
        <w:rPr>
          <w:rFonts w:hint="eastAsia" w:ascii="宋体" w:hAnsi="宋体" w:cs="宋体"/>
          <w:color w:val="000000" w:themeColor="text1"/>
          <w:sz w:val="24"/>
          <w:u w:val="single"/>
          <w14:textFill>
            <w14:solidFill>
              <w14:schemeClr w14:val="tx1"/>
            </w14:solidFill>
          </w14:textFill>
        </w:rPr>
        <w:t>月</w:t>
      </w:r>
      <w:r>
        <w:rPr>
          <w:rFonts w:hint="eastAsia" w:ascii="宋体" w:hAnsi="宋体" w:cs="宋体"/>
          <w:color w:val="000000" w:themeColor="text1"/>
          <w:sz w:val="24"/>
          <w:u w:val="single"/>
          <w:lang w:val="en-US" w:eastAsia="zh-CN"/>
          <w14:textFill>
            <w14:solidFill>
              <w14:schemeClr w14:val="tx1"/>
            </w14:solidFill>
          </w14:textFill>
        </w:rPr>
        <w:t>31</w:t>
      </w:r>
      <w:r>
        <w:rPr>
          <w:rFonts w:hint="eastAsia" w:ascii="宋体" w:hAnsi="宋体" w:cs="宋体"/>
          <w:color w:val="000000" w:themeColor="text1"/>
          <w:sz w:val="24"/>
          <w:u w:val="single"/>
          <w14:textFill>
            <w14:solidFill>
              <w14:schemeClr w14:val="tx1"/>
            </w14:solidFill>
          </w14:textFill>
        </w:rPr>
        <w:t>日</w:t>
      </w:r>
      <w:r>
        <w:rPr>
          <w:rFonts w:hint="eastAsia" w:ascii="宋体" w:hAnsi="宋体" w:cs="宋体"/>
          <w:sz w:val="24"/>
        </w:rPr>
        <w:t>，每天上午</w:t>
      </w:r>
      <w:r>
        <w:rPr>
          <w:rFonts w:hint="eastAsia" w:ascii="宋体" w:hAnsi="宋体" w:cs="宋体"/>
          <w:sz w:val="24"/>
          <w:u w:val="single"/>
        </w:rPr>
        <w:t>9:</w:t>
      </w:r>
      <w:r>
        <w:rPr>
          <w:rFonts w:hint="eastAsia" w:ascii="宋体" w:hAnsi="宋体" w:cs="宋体"/>
          <w:sz w:val="24"/>
          <w:u w:val="single"/>
          <w:lang w:val="en-US" w:eastAsia="zh-CN"/>
        </w:rPr>
        <w:t>30</w:t>
      </w:r>
      <w:r>
        <w:rPr>
          <w:rFonts w:hint="eastAsia" w:ascii="宋体" w:hAnsi="宋体" w:cs="宋体"/>
          <w:sz w:val="24"/>
        </w:rPr>
        <w:t>至</w:t>
      </w:r>
      <w:r>
        <w:rPr>
          <w:rFonts w:hint="eastAsia" w:ascii="宋体" w:hAnsi="宋体" w:cs="宋体"/>
          <w:sz w:val="24"/>
          <w:u w:val="single"/>
        </w:rPr>
        <w:t>12:00</w:t>
      </w:r>
      <w:r>
        <w:rPr>
          <w:rFonts w:hint="eastAsia" w:ascii="宋体" w:hAnsi="宋体" w:cs="宋体"/>
          <w:sz w:val="24"/>
        </w:rPr>
        <w:t>，下午</w:t>
      </w:r>
      <w:r>
        <w:rPr>
          <w:rFonts w:hint="eastAsia" w:ascii="宋体" w:hAnsi="宋体" w:cs="宋体"/>
          <w:sz w:val="24"/>
          <w:u w:val="single"/>
          <w:lang w:eastAsia="zh-CN"/>
        </w:rPr>
        <w:t>15:00</w:t>
      </w:r>
      <w:r>
        <w:rPr>
          <w:rFonts w:hint="eastAsia" w:ascii="宋体" w:hAnsi="宋体" w:cs="宋体"/>
          <w:sz w:val="24"/>
        </w:rPr>
        <w:t>至</w:t>
      </w:r>
      <w:r>
        <w:rPr>
          <w:rFonts w:hint="eastAsia" w:ascii="宋体" w:hAnsi="宋体" w:cs="宋体"/>
          <w:sz w:val="24"/>
          <w:u w:val="single"/>
          <w:lang w:eastAsia="zh-CN"/>
        </w:rPr>
        <w:t>17:</w:t>
      </w:r>
      <w:r>
        <w:rPr>
          <w:rFonts w:hint="eastAsia" w:ascii="宋体" w:hAnsi="宋体" w:cs="宋体"/>
          <w:sz w:val="24"/>
          <w:u w:val="single"/>
          <w:lang w:val="en-US" w:eastAsia="zh-CN"/>
        </w:rPr>
        <w:t>30</w:t>
      </w:r>
      <w:r>
        <w:rPr>
          <w:rFonts w:hint="eastAsia" w:ascii="宋体" w:hAnsi="宋体"/>
          <w:sz w:val="24"/>
        </w:rPr>
        <w:t>（北京时间，法定节假日除外）。</w:t>
      </w:r>
    </w:p>
    <w:p w14:paraId="7036ADD8">
      <w:pPr>
        <w:spacing w:line="360" w:lineRule="auto"/>
        <w:ind w:firstLine="480" w:firstLineChars="200"/>
        <w:rPr>
          <w:rFonts w:ascii="宋体" w:hAnsi="宋体"/>
          <w:sz w:val="24"/>
        </w:rPr>
      </w:pPr>
      <w:r>
        <w:rPr>
          <w:rFonts w:hint="eastAsia" w:ascii="宋体" w:hAnsi="宋体"/>
          <w:sz w:val="24"/>
        </w:rPr>
        <w:t>2.地点：</w:t>
      </w:r>
      <w:r>
        <w:rPr>
          <w:rFonts w:hint="eastAsia" w:ascii="宋体" w:hAnsi="宋体"/>
          <w:sz w:val="24"/>
          <w:u w:val="single"/>
          <w:lang w:eastAsia="zh-CN"/>
        </w:rPr>
        <w:t>海口市蓝天路名门广场北区B(6-9)1909房</w:t>
      </w:r>
      <w:r>
        <w:rPr>
          <w:rFonts w:hint="eastAsia" w:ascii="宋体" w:hAnsi="宋体"/>
          <w:sz w:val="24"/>
        </w:rPr>
        <w:t>。</w:t>
      </w:r>
    </w:p>
    <w:p w14:paraId="11F56572">
      <w:pPr>
        <w:spacing w:line="360" w:lineRule="auto"/>
        <w:ind w:firstLine="480" w:firstLineChars="200"/>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3.方式：现场</w:t>
      </w:r>
      <w:r>
        <w:rPr>
          <w:rFonts w:hint="eastAsia" w:ascii="宋体" w:hAnsi="宋体"/>
          <w:color w:val="000000" w:themeColor="text1"/>
          <w:sz w:val="24"/>
          <w:lang w:val="en-US" w:eastAsia="zh-CN"/>
          <w14:textFill>
            <w14:solidFill>
              <w14:schemeClr w14:val="tx1"/>
            </w14:solidFill>
          </w14:textFill>
        </w:rPr>
        <w:t>获取</w:t>
      </w:r>
      <w:r>
        <w:rPr>
          <w:rFonts w:hint="eastAsia" w:ascii="宋体" w:hAnsi="宋体"/>
          <w:color w:val="000000" w:themeColor="text1"/>
          <w:sz w:val="24"/>
          <w14:textFill>
            <w14:solidFill>
              <w14:schemeClr w14:val="tx1"/>
            </w14:solidFill>
          </w14:textFill>
        </w:rPr>
        <w:t>，供应商需携带以下资料</w:t>
      </w:r>
      <w:r>
        <w:rPr>
          <w:rFonts w:hint="eastAsia" w:ascii="宋体" w:hAnsi="宋体"/>
          <w:color w:val="000000" w:themeColor="text1"/>
          <w:sz w:val="24"/>
          <w:lang w:val="en-US" w:eastAsia="zh-CN"/>
          <w14:textFill>
            <w14:solidFill>
              <w14:schemeClr w14:val="tx1"/>
            </w14:solidFill>
          </w14:textFill>
        </w:rPr>
        <w:t>获取</w:t>
      </w:r>
      <w:r>
        <w:rPr>
          <w:rFonts w:hint="eastAsia" w:ascii="宋体" w:hAnsi="宋体"/>
          <w:color w:val="000000" w:themeColor="text1"/>
          <w:sz w:val="24"/>
          <w14:textFill>
            <w14:solidFill>
              <w14:schemeClr w14:val="tx1"/>
            </w14:solidFill>
          </w14:textFill>
        </w:rPr>
        <w:t>招标文件：</w:t>
      </w:r>
      <w:r>
        <w:rPr>
          <w:rFonts w:hint="eastAsia" w:ascii="宋体" w:hAnsi="宋体"/>
          <w:color w:val="000000" w:themeColor="text1"/>
          <w:sz w:val="24"/>
          <w:lang w:val="en-US" w:eastAsia="zh-CN"/>
          <w14:textFill>
            <w14:solidFill>
              <w14:schemeClr w14:val="tx1"/>
            </w14:solidFill>
          </w14:textFill>
        </w:rPr>
        <w:t>获取</w:t>
      </w:r>
      <w:r>
        <w:rPr>
          <w:rFonts w:hint="eastAsia" w:ascii="宋体" w:hAnsi="宋体"/>
          <w:color w:val="000000" w:themeColor="text1"/>
          <w:sz w:val="24"/>
          <w14:textFill>
            <w14:solidFill>
              <w14:schemeClr w14:val="tx1"/>
            </w14:solidFill>
          </w14:textFill>
        </w:rPr>
        <w:t>人持单位营业执照复印件加盖公章，授权委托书原件、法人身份证复印件加盖公章、受托人有效身份证（原件核验）复印件加盖公章。</w:t>
      </w:r>
    </w:p>
    <w:p w14:paraId="4626ECCC">
      <w:pPr>
        <w:spacing w:line="360" w:lineRule="auto"/>
        <w:ind w:firstLine="480" w:firstLineChars="200"/>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lang w:val="en-US" w:eastAsia="zh-CN"/>
          <w14:textFill>
            <w14:solidFill>
              <w14:schemeClr w14:val="tx1"/>
            </w14:solidFill>
          </w14:textFill>
        </w:rPr>
        <w:t>4、招标</w:t>
      </w:r>
      <w:r>
        <w:rPr>
          <w:rFonts w:hint="eastAsia" w:ascii="宋体" w:hAnsi="宋体"/>
          <w:color w:val="000000" w:themeColor="text1"/>
          <w:sz w:val="24"/>
          <w14:textFill>
            <w14:solidFill>
              <w14:schemeClr w14:val="tx1"/>
            </w14:solidFill>
          </w14:textFill>
        </w:rPr>
        <w:t>文件售价500.00元/份，售后不退。</w:t>
      </w:r>
    </w:p>
    <w:p w14:paraId="6FCD7957">
      <w:pPr>
        <w:pStyle w:val="3"/>
        <w:widowControl/>
        <w:shd w:val="clear" w:color="auto" w:fill="FFFFFF"/>
        <w:spacing w:before="0" w:beforeAutospacing="0" w:after="0" w:afterAutospacing="0" w:line="20" w:lineRule="atLeast"/>
        <w:rPr>
          <w:rFonts w:hint="default"/>
          <w:sz w:val="28"/>
          <w:szCs w:val="28"/>
        </w:rPr>
      </w:pPr>
      <w:bookmarkStart w:id="8" w:name="_Toc11232"/>
      <w:r>
        <w:rPr>
          <w:rFonts w:cs="宋体"/>
          <w:sz w:val="28"/>
          <w:szCs w:val="28"/>
          <w:shd w:val="clear" w:color="auto" w:fill="FFFFFF"/>
        </w:rPr>
        <w:t>四、提交投标文件截止时间、开标时间和地点</w:t>
      </w:r>
      <w:bookmarkEnd w:id="8"/>
    </w:p>
    <w:p w14:paraId="43509B5D">
      <w:pPr>
        <w:spacing w:line="360" w:lineRule="auto"/>
        <w:ind w:firstLine="480" w:firstLineChars="200"/>
        <w:rPr>
          <w:rFonts w:ascii="宋体" w:hAnsi="宋体"/>
          <w:sz w:val="24"/>
        </w:rPr>
      </w:pPr>
      <w:r>
        <w:rPr>
          <w:rFonts w:hint="eastAsia" w:ascii="宋体" w:hAnsi="宋体"/>
          <w:sz w:val="24"/>
        </w:rPr>
        <w:t>1.提交投标文件截止时间：</w:t>
      </w:r>
      <w:r>
        <w:rPr>
          <w:rFonts w:hint="eastAsia" w:asciiTheme="minorEastAsia" w:hAnsiTheme="minorEastAsia" w:eastAsiaTheme="minorEastAsia"/>
          <w:u w:val="single"/>
          <w:lang w:eastAsia="zh-CN"/>
        </w:rPr>
        <w:t>2025年8月14日15点00分</w:t>
      </w:r>
      <w:r>
        <w:rPr>
          <w:rFonts w:hint="eastAsia" w:ascii="宋体" w:hAnsi="宋体"/>
          <w:sz w:val="24"/>
        </w:rPr>
        <w:t>（北京时间）；</w:t>
      </w:r>
    </w:p>
    <w:p w14:paraId="45F8988E">
      <w:pPr>
        <w:spacing w:line="360" w:lineRule="auto"/>
        <w:ind w:firstLine="480" w:firstLineChars="200"/>
        <w:rPr>
          <w:rFonts w:ascii="宋体" w:hAnsi="宋体"/>
          <w:sz w:val="24"/>
        </w:rPr>
      </w:pPr>
      <w:r>
        <w:rPr>
          <w:rFonts w:hint="eastAsia" w:ascii="宋体" w:hAnsi="宋体"/>
          <w:sz w:val="24"/>
        </w:rPr>
        <w:t>2.开标时间：</w:t>
      </w:r>
      <w:r>
        <w:rPr>
          <w:rFonts w:hint="eastAsia" w:ascii="宋体" w:hAnsi="宋体"/>
          <w:sz w:val="24"/>
          <w:u w:val="single"/>
        </w:rPr>
        <w:t>2025年8月14日15点00分</w:t>
      </w:r>
      <w:r>
        <w:rPr>
          <w:rFonts w:hint="eastAsia" w:ascii="宋体" w:hAnsi="宋体"/>
          <w:sz w:val="24"/>
        </w:rPr>
        <w:t>（北京时间）；</w:t>
      </w:r>
    </w:p>
    <w:p w14:paraId="297B594A">
      <w:pPr>
        <w:spacing w:line="360" w:lineRule="auto"/>
        <w:ind w:firstLine="480" w:firstLineChars="200"/>
        <w:rPr>
          <w:rFonts w:ascii="宋体" w:hAnsi="宋体"/>
          <w:sz w:val="24"/>
        </w:rPr>
      </w:pPr>
      <w:r>
        <w:rPr>
          <w:rFonts w:hint="eastAsia" w:ascii="宋体" w:hAnsi="宋体"/>
          <w:sz w:val="24"/>
        </w:rPr>
        <w:t>3.提交投标文件及开标地点</w:t>
      </w:r>
      <w:r>
        <w:rPr>
          <w:rFonts w:hint="eastAsia" w:ascii="宋体" w:hAnsi="宋体"/>
          <w:color w:val="000000" w:themeColor="text1"/>
          <w:sz w:val="24"/>
          <w14:textFill>
            <w14:solidFill>
              <w14:schemeClr w14:val="tx1"/>
            </w14:solidFill>
          </w14:textFill>
        </w:rPr>
        <w:t>：</w:t>
      </w:r>
      <w:r>
        <w:rPr>
          <w:rFonts w:hint="eastAsia" w:ascii="宋体" w:hAnsi="宋体"/>
          <w:color w:val="000000" w:themeColor="text1"/>
          <w:sz w:val="24"/>
          <w:u w:val="single"/>
          <w14:textFill>
            <w14:solidFill>
              <w14:schemeClr w14:val="tx1"/>
            </w14:solidFill>
          </w14:textFill>
        </w:rPr>
        <w:t>海口市美兰区蓝天路51号京航大酒店5楼开标室5</w:t>
      </w:r>
      <w:r>
        <w:rPr>
          <w:rFonts w:hint="eastAsia" w:ascii="宋体" w:hAnsi="宋体"/>
          <w:sz w:val="24"/>
        </w:rPr>
        <w:t>；</w:t>
      </w:r>
    </w:p>
    <w:p w14:paraId="7BE7B9A2">
      <w:pPr>
        <w:pStyle w:val="18"/>
        <w:widowControl/>
        <w:shd w:val="clear" w:color="auto" w:fill="FFFFFF"/>
        <w:spacing w:before="0" w:beforeAutospacing="0" w:after="0" w:afterAutospacing="0"/>
        <w:rPr>
          <w:rFonts w:ascii="宋体" w:hAnsi="宋体" w:cs="宋体"/>
          <w:b/>
          <w:sz w:val="28"/>
          <w:szCs w:val="28"/>
          <w:shd w:val="clear" w:color="auto" w:fill="FFFFFF"/>
        </w:rPr>
      </w:pPr>
      <w:r>
        <w:rPr>
          <w:rFonts w:hint="eastAsia" w:ascii="宋体" w:hAnsi="宋体" w:cs="宋体"/>
          <w:b/>
          <w:sz w:val="28"/>
          <w:szCs w:val="28"/>
          <w:shd w:val="clear" w:color="auto" w:fill="FFFFFF"/>
        </w:rPr>
        <w:t>五、公告期限</w:t>
      </w:r>
    </w:p>
    <w:p w14:paraId="5AEC8AE2">
      <w:pPr>
        <w:spacing w:line="360" w:lineRule="auto"/>
        <w:ind w:firstLine="480" w:firstLineChars="200"/>
        <w:rPr>
          <w:rFonts w:ascii="宋体" w:hAnsi="宋体"/>
          <w:sz w:val="24"/>
        </w:rPr>
      </w:pPr>
      <w:r>
        <w:rPr>
          <w:rFonts w:hint="eastAsia" w:ascii="宋体" w:hAnsi="宋体"/>
          <w:sz w:val="24"/>
        </w:rPr>
        <w:t>自本公告发布之日起5个工作日。</w:t>
      </w:r>
    </w:p>
    <w:p w14:paraId="4246E956">
      <w:pPr>
        <w:pStyle w:val="18"/>
        <w:widowControl/>
        <w:shd w:val="clear" w:color="auto" w:fill="FFFFFF"/>
        <w:spacing w:before="0" w:beforeAutospacing="0" w:after="0" w:afterAutospacing="0"/>
        <w:rPr>
          <w:rFonts w:ascii="宋体" w:hAnsi="宋体" w:cs="宋体"/>
          <w:shd w:val="clear" w:color="auto" w:fill="FFFFFF"/>
        </w:rPr>
      </w:pPr>
      <w:r>
        <w:rPr>
          <w:rFonts w:hint="eastAsia" w:ascii="宋体" w:hAnsi="宋体" w:cs="宋体"/>
          <w:b/>
          <w:sz w:val="28"/>
          <w:szCs w:val="28"/>
          <w:shd w:val="clear" w:color="auto" w:fill="FFFFFF"/>
        </w:rPr>
        <w:t>六、其他补充事宜</w:t>
      </w:r>
    </w:p>
    <w:p w14:paraId="3C45BFD6">
      <w:pPr>
        <w:spacing w:line="360" w:lineRule="auto"/>
        <w:ind w:firstLine="480" w:firstLineChars="200"/>
        <w:rPr>
          <w:rFonts w:hint="eastAsia" w:ascii="宋体" w:hAnsi="宋体" w:eastAsia="宋体"/>
          <w:color w:val="FF0000"/>
          <w:sz w:val="24"/>
          <w:lang w:val="en-US" w:eastAsia="zh-CN"/>
        </w:rPr>
      </w:pPr>
      <w:r>
        <w:rPr>
          <w:rFonts w:hint="eastAsia" w:ascii="宋体" w:hAnsi="宋体"/>
          <w:sz w:val="24"/>
        </w:rPr>
        <w:t>1.</w:t>
      </w:r>
      <w:r>
        <w:rPr>
          <w:rFonts w:hint="eastAsia" w:ascii="宋体" w:hAnsi="宋体"/>
          <w:color w:val="auto"/>
          <w:sz w:val="24"/>
        </w:rPr>
        <w:t>本项目采购信息指定发布媒体为：海南省发展和改革委员会</w:t>
      </w:r>
      <w:r>
        <w:rPr>
          <w:rFonts w:hint="eastAsia" w:ascii="宋体" w:hAnsi="宋体"/>
          <w:color w:val="auto"/>
          <w:sz w:val="24"/>
          <w:lang w:val="en-US" w:eastAsia="zh-CN"/>
        </w:rPr>
        <w:t>官网、海南省政府采购行业协会官网。</w:t>
      </w:r>
    </w:p>
    <w:p w14:paraId="332680F3">
      <w:pPr>
        <w:spacing w:line="360" w:lineRule="auto"/>
        <w:ind w:firstLine="480" w:firstLineChars="200"/>
        <w:rPr>
          <w:rFonts w:ascii="宋体" w:hAnsi="宋体"/>
          <w:sz w:val="24"/>
        </w:rPr>
      </w:pPr>
      <w:r>
        <w:rPr>
          <w:rFonts w:hint="eastAsia" w:ascii="宋体" w:hAnsi="宋体"/>
          <w:sz w:val="24"/>
        </w:rPr>
        <w:t>2.有关本项目招标文件的补遗、澄清及变更信息以上述网站公告为准，采购代理机构不再另行通知，招标文件与更正公告的内容相互矛盾时，以最后发出的更正公告内容为准。</w:t>
      </w:r>
    </w:p>
    <w:p w14:paraId="7F403BB8">
      <w:pPr>
        <w:keepNext w:val="0"/>
        <w:keepLines w:val="0"/>
        <w:pageBreakBefore w:val="0"/>
        <w:kinsoku/>
        <w:wordWrap/>
        <w:overflowPunct/>
        <w:topLinePunct w:val="0"/>
        <w:autoSpaceDE/>
        <w:autoSpaceDN/>
        <w:bidi w:val="0"/>
        <w:adjustRightInd/>
        <w:snapToGrid w:val="0"/>
        <w:spacing w:line="360" w:lineRule="auto"/>
        <w:ind w:firstLine="482" w:firstLineChars="200"/>
        <w:textAlignment w:val="auto"/>
        <w:rPr>
          <w:rFonts w:hint="eastAsia" w:ascii="宋体" w:hAnsi="宋体" w:cs="宋体"/>
          <w:b/>
          <w:kern w:val="0"/>
          <w:sz w:val="28"/>
          <w:szCs w:val="28"/>
          <w:shd w:val="clear" w:color="auto" w:fill="FFFFFF"/>
        </w:rPr>
      </w:pPr>
      <w:r>
        <w:rPr>
          <w:rFonts w:hint="eastAsia"/>
          <w:b/>
          <w:bCs/>
          <w:color w:val="auto"/>
          <w:sz w:val="24"/>
          <w:highlight w:val="none"/>
          <w:lang w:val="en-US" w:eastAsia="zh-CN"/>
        </w:rPr>
        <w:t>3</w:t>
      </w:r>
      <w:r>
        <w:rPr>
          <w:b/>
          <w:bCs/>
          <w:color w:val="auto"/>
          <w:sz w:val="24"/>
          <w:highlight w:val="none"/>
        </w:rPr>
        <w:t>.落实政府采购政策：</w:t>
      </w:r>
      <w:r>
        <w:rPr>
          <w:rFonts w:hint="eastAsia"/>
          <w:b w:val="0"/>
          <w:bCs w:val="0"/>
          <w:color w:val="auto"/>
          <w:sz w:val="24"/>
          <w:highlight w:val="none"/>
        </w:rPr>
        <w:t>《政府采购促进中小企业发展管理办法》、《关于促进残疾人就业政府采购政策的通知》、《财政部 司法部关于政府采购支持监狱企业发展有关问题的通知》、《节能产品政府采购实施意见》、《关于环境标志产品政府采购实施的意见》、《关于信息安全产品实施政府采购的通知》</w:t>
      </w:r>
      <w:r>
        <w:rPr>
          <w:rFonts w:hint="eastAsia"/>
          <w:b w:val="0"/>
          <w:bCs w:val="0"/>
          <w:color w:val="auto"/>
          <w:sz w:val="24"/>
          <w:highlight w:val="none"/>
          <w:lang w:eastAsia="zh-CN"/>
        </w:rPr>
        <w:t>。</w:t>
      </w:r>
    </w:p>
    <w:p w14:paraId="195B8650">
      <w:pPr>
        <w:kinsoku w:val="0"/>
        <w:overflowPunct w:val="0"/>
        <w:autoSpaceDE w:val="0"/>
        <w:autoSpaceDN w:val="0"/>
        <w:adjustRightInd w:val="0"/>
        <w:snapToGrid w:val="0"/>
        <w:spacing w:line="460" w:lineRule="exact"/>
        <w:rPr>
          <w:rFonts w:ascii="宋体" w:hAnsi="宋体" w:cs="宋体"/>
          <w:b/>
          <w:kern w:val="0"/>
          <w:sz w:val="28"/>
          <w:szCs w:val="28"/>
          <w:shd w:val="clear" w:color="auto" w:fill="FFFFFF"/>
        </w:rPr>
      </w:pPr>
      <w:r>
        <w:rPr>
          <w:rFonts w:hint="eastAsia" w:ascii="宋体" w:hAnsi="宋体" w:cs="宋体"/>
          <w:b/>
          <w:kern w:val="0"/>
          <w:sz w:val="28"/>
          <w:szCs w:val="28"/>
          <w:shd w:val="clear" w:color="auto" w:fill="FFFFFF"/>
        </w:rPr>
        <w:t>七、对本次招标提出询问，请按以下方式联系。</w:t>
      </w:r>
    </w:p>
    <w:p w14:paraId="647D4C03">
      <w:pPr>
        <w:spacing w:line="360" w:lineRule="auto"/>
        <w:ind w:firstLine="480" w:firstLineChars="200"/>
        <w:rPr>
          <w:rFonts w:ascii="宋体" w:hAnsi="宋体"/>
          <w:sz w:val="24"/>
        </w:rPr>
      </w:pPr>
      <w:r>
        <w:rPr>
          <w:rFonts w:hint="eastAsia" w:ascii="宋体" w:hAnsi="宋体"/>
          <w:sz w:val="24"/>
        </w:rPr>
        <w:t>1. 采购人信息</w:t>
      </w:r>
    </w:p>
    <w:p w14:paraId="25FB4B18">
      <w:pPr>
        <w:spacing w:line="360" w:lineRule="auto"/>
        <w:ind w:firstLine="480" w:firstLineChars="200"/>
        <w:rPr>
          <w:rFonts w:hint="eastAsia" w:ascii="宋体" w:hAnsi="宋体" w:eastAsia="宋体"/>
          <w:sz w:val="24"/>
          <w:lang w:eastAsia="zh-CN"/>
        </w:rPr>
      </w:pPr>
      <w:r>
        <w:rPr>
          <w:rFonts w:hint="eastAsia" w:ascii="宋体" w:hAnsi="宋体"/>
          <w:sz w:val="24"/>
        </w:rPr>
        <w:t>名  称：</w:t>
      </w:r>
      <w:r>
        <w:rPr>
          <w:rFonts w:hint="eastAsia" w:ascii="宋体" w:hAnsi="宋体"/>
          <w:sz w:val="24"/>
          <w:u w:val="single"/>
          <w:lang w:eastAsia="zh-CN"/>
        </w:rPr>
        <w:t>海南省发展和改革委员会</w:t>
      </w:r>
    </w:p>
    <w:p w14:paraId="66A6BB18">
      <w:pPr>
        <w:spacing w:line="360" w:lineRule="auto"/>
        <w:ind w:firstLine="480" w:firstLineChars="200"/>
        <w:rPr>
          <w:rFonts w:hint="eastAsia" w:ascii="宋体" w:hAnsi="宋体" w:eastAsia="宋体"/>
          <w:sz w:val="24"/>
          <w:lang w:eastAsia="zh-CN"/>
        </w:rPr>
      </w:pPr>
      <w:r>
        <w:rPr>
          <w:rFonts w:hint="eastAsia" w:ascii="宋体" w:hAnsi="宋体"/>
          <w:sz w:val="24"/>
        </w:rPr>
        <w:t>地  址：</w:t>
      </w:r>
      <w:r>
        <w:rPr>
          <w:rFonts w:hint="eastAsia" w:ascii="宋体" w:hAnsi="宋体"/>
          <w:sz w:val="24"/>
          <w:u w:val="single"/>
          <w:lang w:eastAsia="zh-CN"/>
        </w:rPr>
        <w:t>海南省海口市国兴大道9号省政府办公大楼8楼</w:t>
      </w:r>
    </w:p>
    <w:p w14:paraId="2C218C39">
      <w:pPr>
        <w:spacing w:line="360" w:lineRule="auto"/>
        <w:ind w:firstLine="480" w:firstLineChars="200"/>
        <w:rPr>
          <w:rFonts w:hint="eastAsia" w:ascii="宋体" w:hAnsi="宋体" w:eastAsia="宋体"/>
          <w:sz w:val="24"/>
          <w:lang w:eastAsia="zh-CN"/>
        </w:rPr>
      </w:pPr>
      <w:r>
        <w:rPr>
          <w:rFonts w:hint="eastAsia" w:ascii="宋体" w:hAnsi="宋体"/>
          <w:sz w:val="24"/>
        </w:rPr>
        <w:t>联系方式：</w:t>
      </w:r>
      <w:r>
        <w:rPr>
          <w:rFonts w:hint="eastAsia" w:ascii="宋体" w:hAnsi="宋体"/>
          <w:sz w:val="24"/>
          <w:u w:val="single"/>
          <w:lang w:eastAsia="zh-CN"/>
        </w:rPr>
        <w:t>刘先生</w:t>
      </w:r>
      <w:r>
        <w:rPr>
          <w:rFonts w:hint="eastAsia" w:ascii="宋体" w:hAnsi="宋体"/>
          <w:sz w:val="24"/>
          <w:u w:val="single"/>
        </w:rPr>
        <w:t>/</w:t>
      </w:r>
      <w:r>
        <w:rPr>
          <w:rFonts w:hint="eastAsia" w:ascii="宋体" w:hAnsi="宋体"/>
          <w:sz w:val="24"/>
          <w:u w:val="single"/>
          <w:lang w:eastAsia="zh-CN"/>
        </w:rPr>
        <w:t>0898-65339091</w:t>
      </w:r>
    </w:p>
    <w:p w14:paraId="7EEB9DD7">
      <w:pPr>
        <w:spacing w:line="360" w:lineRule="auto"/>
        <w:ind w:firstLine="480" w:firstLineChars="200"/>
        <w:rPr>
          <w:rFonts w:ascii="宋体" w:hAnsi="宋体"/>
          <w:sz w:val="24"/>
        </w:rPr>
      </w:pPr>
      <w:r>
        <w:rPr>
          <w:rFonts w:hint="eastAsia" w:ascii="宋体" w:hAnsi="宋体"/>
          <w:sz w:val="24"/>
        </w:rPr>
        <w:t>2. 采购代理机构信息</w:t>
      </w:r>
    </w:p>
    <w:p w14:paraId="1E7E5D7C">
      <w:pPr>
        <w:spacing w:line="360" w:lineRule="auto"/>
        <w:ind w:firstLine="480" w:firstLineChars="200"/>
        <w:rPr>
          <w:rFonts w:hint="eastAsia" w:ascii="宋体" w:hAnsi="宋体" w:eastAsia="宋体"/>
          <w:sz w:val="24"/>
          <w:lang w:eastAsia="zh-CN"/>
        </w:rPr>
      </w:pPr>
      <w:r>
        <w:rPr>
          <w:rFonts w:hint="eastAsia" w:ascii="宋体" w:hAnsi="宋体"/>
          <w:sz w:val="24"/>
        </w:rPr>
        <w:t>名  称：</w:t>
      </w:r>
      <w:r>
        <w:rPr>
          <w:rFonts w:hint="eastAsia" w:ascii="宋体" w:hAnsi="宋体"/>
          <w:sz w:val="24"/>
          <w:u w:val="single"/>
          <w:lang w:eastAsia="zh-CN"/>
        </w:rPr>
        <w:t>海南和顺项目管理有限公司</w:t>
      </w:r>
    </w:p>
    <w:p w14:paraId="33F23886">
      <w:pPr>
        <w:spacing w:line="360" w:lineRule="auto"/>
        <w:ind w:firstLine="480" w:firstLineChars="200"/>
        <w:rPr>
          <w:rFonts w:hint="eastAsia" w:ascii="宋体" w:hAnsi="宋体" w:eastAsia="宋体"/>
          <w:sz w:val="24"/>
          <w:lang w:eastAsia="zh-CN"/>
        </w:rPr>
      </w:pPr>
      <w:r>
        <w:rPr>
          <w:rFonts w:hint="eastAsia" w:ascii="宋体" w:hAnsi="宋体"/>
          <w:sz w:val="24"/>
        </w:rPr>
        <w:t>地  址：</w:t>
      </w:r>
      <w:r>
        <w:rPr>
          <w:rFonts w:hint="eastAsia" w:ascii="宋体" w:hAnsi="宋体"/>
          <w:sz w:val="24"/>
          <w:u w:val="single"/>
          <w:lang w:eastAsia="zh-CN"/>
        </w:rPr>
        <w:t>海口市蓝天路名门广场北区B(6-9)1909房</w:t>
      </w:r>
    </w:p>
    <w:p w14:paraId="3E128EA4">
      <w:pPr>
        <w:spacing w:line="360" w:lineRule="auto"/>
        <w:ind w:firstLine="480" w:firstLineChars="200"/>
        <w:rPr>
          <w:rFonts w:hint="eastAsia" w:ascii="宋体" w:hAnsi="宋体" w:eastAsia="宋体"/>
          <w:sz w:val="24"/>
          <w:lang w:eastAsia="zh-CN"/>
        </w:rPr>
      </w:pPr>
      <w:r>
        <w:rPr>
          <w:rFonts w:hint="eastAsia" w:ascii="宋体" w:hAnsi="宋体"/>
          <w:sz w:val="24"/>
        </w:rPr>
        <w:t>联系方式：</w:t>
      </w:r>
      <w:r>
        <w:rPr>
          <w:rFonts w:hint="eastAsia" w:ascii="宋体" w:hAnsi="宋体"/>
          <w:sz w:val="24"/>
          <w:u w:val="single"/>
        </w:rPr>
        <w:t>李工</w:t>
      </w:r>
      <w:r>
        <w:rPr>
          <w:rFonts w:ascii="宋体" w:hAnsi="宋体"/>
          <w:sz w:val="24"/>
          <w:u w:val="single"/>
        </w:rPr>
        <w:fldChar w:fldCharType="begin"/>
      </w:r>
      <w:r>
        <w:rPr>
          <w:rFonts w:ascii="宋体" w:hAnsi="宋体"/>
          <w:sz w:val="24"/>
          <w:u w:val="single"/>
        </w:rPr>
        <w:instrText xml:space="preserve">&lt;MK&gt;</w:instrText>
      </w:r>
      <w:r>
        <w:rPr>
          <w:rFonts w:hint="eastAsia" w:ascii="宋体" w:hAnsi="宋体"/>
          <w:sz w:val="24"/>
          <w:u w:val="single"/>
        </w:rPr>
        <w:instrText xml:space="preserve">staff.name</w:instrText>
      </w:r>
      <w:r>
        <w:rPr>
          <w:rFonts w:ascii="宋体" w:hAnsi="宋体"/>
          <w:sz w:val="24"/>
          <w:u w:val="single"/>
        </w:rPr>
        <w:instrText xml:space="preserve">&lt;/MK&gt;</w:instrText>
      </w:r>
      <w:r>
        <w:rPr>
          <w:rFonts w:ascii="宋体" w:hAnsi="宋体"/>
          <w:sz w:val="24"/>
          <w:u w:val="single"/>
        </w:rPr>
        <w:fldChar w:fldCharType="separate"/>
      </w:r>
      <w:r>
        <w:rPr>
          <w:rFonts w:ascii="宋体" w:hAnsi="宋体"/>
          <w:sz w:val="24"/>
          <w:u w:val="single"/>
        </w:rPr>
        <w:t>!异常的公式结尾</w:t>
      </w:r>
      <w:r>
        <w:rPr>
          <w:rFonts w:ascii="宋体" w:hAnsi="宋体"/>
          <w:sz w:val="24"/>
          <w:u w:val="single"/>
        </w:rPr>
        <w:fldChar w:fldCharType="end"/>
      </w:r>
      <w:r>
        <w:rPr>
          <w:rFonts w:hint="eastAsia" w:ascii="宋体" w:hAnsi="宋体"/>
          <w:sz w:val="24"/>
          <w:u w:val="single"/>
        </w:rPr>
        <w:t>/</w:t>
      </w:r>
      <w:r>
        <w:rPr>
          <w:rFonts w:hint="eastAsia" w:ascii="宋体" w:hAnsi="宋体"/>
          <w:sz w:val="24"/>
          <w:u w:val="single"/>
          <w:lang w:eastAsia="zh-CN"/>
        </w:rPr>
        <w:t>0898-65377472</w:t>
      </w:r>
    </w:p>
    <w:p w14:paraId="4B01C1B5">
      <w:pPr>
        <w:spacing w:line="360" w:lineRule="auto"/>
        <w:ind w:firstLine="480" w:firstLineChars="200"/>
        <w:rPr>
          <w:rFonts w:ascii="宋体" w:hAnsi="宋体"/>
          <w:sz w:val="24"/>
        </w:rPr>
      </w:pPr>
      <w:r>
        <w:rPr>
          <w:rFonts w:hint="eastAsia" w:ascii="宋体" w:hAnsi="宋体"/>
          <w:sz w:val="24"/>
        </w:rPr>
        <w:t>3. 项目</w:t>
      </w:r>
      <w:r>
        <w:rPr>
          <w:rFonts w:ascii="宋体" w:hAnsi="宋体"/>
          <w:sz w:val="24"/>
        </w:rPr>
        <w:t>联系方式</w:t>
      </w:r>
    </w:p>
    <w:p w14:paraId="4D7EA9D0">
      <w:pPr>
        <w:spacing w:line="360" w:lineRule="auto"/>
        <w:ind w:firstLine="480" w:firstLineChars="200"/>
        <w:rPr>
          <w:rFonts w:ascii="宋体" w:hAnsi="宋体"/>
          <w:sz w:val="24"/>
        </w:rPr>
      </w:pPr>
      <w:r>
        <w:rPr>
          <w:rFonts w:hint="eastAsia" w:ascii="宋体" w:hAnsi="宋体"/>
          <w:sz w:val="24"/>
        </w:rPr>
        <w:t>项目联系人：</w:t>
      </w:r>
      <w:r>
        <w:rPr>
          <w:rFonts w:hint="eastAsia" w:ascii="宋体" w:hAnsi="宋体"/>
          <w:sz w:val="24"/>
          <w:u w:val="single"/>
        </w:rPr>
        <w:t>李工</w:t>
      </w:r>
    </w:p>
    <w:p w14:paraId="199D31ED">
      <w:pPr>
        <w:spacing w:line="360" w:lineRule="auto"/>
        <w:ind w:firstLine="480" w:firstLineChars="200"/>
        <w:rPr>
          <w:rFonts w:hint="eastAsia" w:ascii="宋体" w:hAnsi="宋体" w:eastAsia="宋体"/>
          <w:sz w:val="24"/>
          <w:u w:val="single"/>
          <w:lang w:eastAsia="zh-CN"/>
        </w:rPr>
      </w:pPr>
      <w:r>
        <w:rPr>
          <w:rFonts w:hint="eastAsia" w:ascii="宋体" w:hAnsi="宋体"/>
          <w:sz w:val="24"/>
        </w:rPr>
        <w:t>电  话：</w:t>
      </w:r>
      <w:r>
        <w:rPr>
          <w:rFonts w:hint="eastAsia" w:ascii="宋体" w:hAnsi="宋体"/>
          <w:sz w:val="24"/>
          <w:u w:val="single"/>
          <w:lang w:eastAsia="zh-CN"/>
        </w:rPr>
        <w:t>0898-65377472</w:t>
      </w:r>
    </w:p>
    <w:p w14:paraId="0625AB24">
      <w:pPr>
        <w:pStyle w:val="28"/>
      </w:pPr>
    </w:p>
    <w:p w14:paraId="748241BF">
      <w:pPr>
        <w:pStyle w:val="28"/>
      </w:pPr>
    </w:p>
    <w:p w14:paraId="4EF72FFF">
      <w:pPr>
        <w:pStyle w:val="28"/>
      </w:pPr>
    </w:p>
    <w:p w14:paraId="218A8B8E">
      <w:pPr>
        <w:pStyle w:val="28"/>
      </w:pPr>
    </w:p>
    <w:p w14:paraId="3D4E3B79">
      <w:pPr>
        <w:pStyle w:val="28"/>
      </w:pPr>
    </w:p>
    <w:p w14:paraId="7038276D">
      <w:pPr>
        <w:pStyle w:val="28"/>
      </w:pPr>
    </w:p>
    <w:p w14:paraId="00629B95">
      <w:pPr>
        <w:pStyle w:val="28"/>
      </w:pPr>
    </w:p>
    <w:p w14:paraId="30580837">
      <w:pPr>
        <w:pStyle w:val="28"/>
      </w:pPr>
    </w:p>
    <w:p w14:paraId="3FD37730">
      <w:pPr>
        <w:pStyle w:val="28"/>
      </w:pPr>
    </w:p>
    <w:p w14:paraId="7DC6996A">
      <w:pPr>
        <w:pStyle w:val="28"/>
      </w:pPr>
    </w:p>
    <w:p w14:paraId="1C01B16E">
      <w:pPr>
        <w:pStyle w:val="28"/>
      </w:pPr>
    </w:p>
    <w:p w14:paraId="25D13481">
      <w:pPr>
        <w:pStyle w:val="28"/>
      </w:pPr>
    </w:p>
    <w:p w14:paraId="2F4F8EB5">
      <w:pPr>
        <w:pStyle w:val="28"/>
      </w:pPr>
    </w:p>
    <w:p w14:paraId="3022D5CD">
      <w:pPr>
        <w:pStyle w:val="28"/>
      </w:pPr>
    </w:p>
    <w:p w14:paraId="14C02B6A">
      <w:pPr>
        <w:pStyle w:val="28"/>
      </w:pPr>
    </w:p>
    <w:p w14:paraId="0EF987BA">
      <w:pPr>
        <w:pStyle w:val="28"/>
      </w:pPr>
    </w:p>
    <w:p w14:paraId="6E5FAD22">
      <w:pPr>
        <w:rPr>
          <w:rFonts w:cs="宋体"/>
          <w:sz w:val="44"/>
          <w:szCs w:val="44"/>
          <w:shd w:val="clear" w:color="auto" w:fill="FFFFFF"/>
        </w:rPr>
      </w:pPr>
      <w:bookmarkStart w:id="9" w:name="_Toc11294"/>
      <w:bookmarkStart w:id="10" w:name="_Toc19511"/>
      <w:r>
        <w:rPr>
          <w:rFonts w:cs="宋体"/>
          <w:sz w:val="44"/>
          <w:szCs w:val="44"/>
          <w:shd w:val="clear" w:color="auto" w:fill="FFFFFF"/>
        </w:rPr>
        <w:br w:type="page"/>
      </w:r>
    </w:p>
    <w:p w14:paraId="3E3235CB">
      <w:pPr>
        <w:pStyle w:val="2"/>
        <w:widowControl/>
        <w:shd w:val="clear" w:color="auto" w:fill="FFFFFF"/>
        <w:spacing w:before="0" w:beforeAutospacing="0" w:after="0" w:afterAutospacing="0" w:line="20" w:lineRule="atLeast"/>
        <w:jc w:val="center"/>
        <w:rPr>
          <w:rFonts w:hint="default" w:cs="宋体"/>
          <w:sz w:val="44"/>
          <w:szCs w:val="44"/>
          <w:shd w:val="clear" w:color="auto" w:fill="FFFFFF"/>
        </w:rPr>
      </w:pPr>
      <w:r>
        <w:rPr>
          <w:rFonts w:cs="宋体"/>
          <w:sz w:val="44"/>
          <w:szCs w:val="44"/>
          <w:shd w:val="clear" w:color="auto" w:fill="FFFFFF"/>
        </w:rPr>
        <w:t>第二章 投标人须知</w:t>
      </w:r>
      <w:bookmarkEnd w:id="9"/>
      <w:bookmarkEnd w:id="10"/>
    </w:p>
    <w:p w14:paraId="14BF2FEA">
      <w:pPr>
        <w:spacing w:line="360" w:lineRule="auto"/>
        <w:rPr>
          <w:rFonts w:ascii="宋体" w:hAnsi="宋体"/>
          <w:b/>
          <w:sz w:val="28"/>
        </w:rPr>
      </w:pPr>
      <w:r>
        <w:rPr>
          <w:rFonts w:hint="eastAsia" w:ascii="宋体" w:hAnsi="宋体"/>
          <w:b/>
          <w:sz w:val="28"/>
        </w:rPr>
        <w:t>一、总则</w:t>
      </w:r>
    </w:p>
    <w:p w14:paraId="5ED0B032">
      <w:pPr>
        <w:pStyle w:val="44"/>
        <w:tabs>
          <w:tab w:val="left" w:pos="420"/>
        </w:tabs>
        <w:spacing w:beforeLines="50" w:line="360" w:lineRule="auto"/>
        <w:ind w:left="770" w:leftChars="29"/>
        <w:rPr>
          <w:b/>
          <w:kern w:val="2"/>
          <w:sz w:val="24"/>
          <w:szCs w:val="24"/>
        </w:rPr>
      </w:pPr>
      <w:r>
        <w:rPr>
          <w:rFonts w:hint="eastAsia"/>
          <w:b/>
          <w:kern w:val="2"/>
          <w:sz w:val="24"/>
          <w:szCs w:val="24"/>
        </w:rPr>
        <w:t xml:space="preserve">1.1术语说明 </w:t>
      </w:r>
    </w:p>
    <w:p w14:paraId="06CC6EFE">
      <w:pPr>
        <w:pStyle w:val="5"/>
        <w:ind w:firstLineChars="175"/>
        <w:rPr>
          <w:rFonts w:hAnsi="宋体"/>
          <w:kern w:val="2"/>
          <w:sz w:val="24"/>
          <w:szCs w:val="24"/>
        </w:rPr>
      </w:pPr>
      <w:r>
        <w:rPr>
          <w:rFonts w:hint="eastAsia" w:hAnsi="宋体"/>
          <w:kern w:val="2"/>
          <w:sz w:val="24"/>
          <w:szCs w:val="24"/>
        </w:rPr>
        <w:t>1.1.1 “采购代理机构”指本次采购活动的执行机构(</w:t>
      </w:r>
      <w:r>
        <w:rPr>
          <w:rFonts w:hint="eastAsia" w:hAnsi="宋体"/>
          <w:kern w:val="2"/>
          <w:sz w:val="24"/>
          <w:szCs w:val="24"/>
          <w:lang w:eastAsia="zh-CN"/>
        </w:rPr>
        <w:t>海南和顺项目管理有限公司</w:t>
      </w:r>
      <w:r>
        <w:rPr>
          <w:rFonts w:hint="eastAsia" w:hAnsi="宋体"/>
          <w:kern w:val="2"/>
          <w:sz w:val="24"/>
          <w:szCs w:val="24"/>
        </w:rPr>
        <w:t>)。</w:t>
      </w:r>
    </w:p>
    <w:p w14:paraId="492564D1">
      <w:pPr>
        <w:pStyle w:val="5"/>
        <w:ind w:firstLineChars="175"/>
        <w:rPr>
          <w:rFonts w:hAnsi="宋体"/>
          <w:kern w:val="2"/>
          <w:sz w:val="24"/>
          <w:szCs w:val="24"/>
        </w:rPr>
      </w:pPr>
      <w:r>
        <w:rPr>
          <w:rFonts w:hint="eastAsia" w:hAnsi="宋体"/>
          <w:kern w:val="2"/>
          <w:sz w:val="24"/>
          <w:szCs w:val="24"/>
        </w:rPr>
        <w:t xml:space="preserve">1.1.2 “采购单位”指招标文件中所述所有货物及相关服务的甲方。 </w:t>
      </w:r>
    </w:p>
    <w:p w14:paraId="00D17D06">
      <w:pPr>
        <w:pStyle w:val="5"/>
        <w:ind w:firstLineChars="175"/>
        <w:rPr>
          <w:rFonts w:hAnsi="宋体"/>
          <w:kern w:val="2"/>
          <w:sz w:val="24"/>
          <w:szCs w:val="24"/>
        </w:rPr>
      </w:pPr>
      <w:r>
        <w:rPr>
          <w:rFonts w:hint="eastAsia" w:hAnsi="宋体"/>
          <w:kern w:val="2"/>
          <w:sz w:val="24"/>
          <w:szCs w:val="24"/>
        </w:rPr>
        <w:t>1.1.3 “货物”是指投标人制造或组织符合招标文件要求的货物等。招标文件中没有提及采购货物来源地的，根据《政府采购法》的相关规定均应是本国货物，另有规定的除外。投标人所响应的货物必须是其合法生产的符合国家有关标准要求的货物，并能够按照货物合同规定的品牌、产地、质量、价格和有效期等。</w:t>
      </w:r>
    </w:p>
    <w:p w14:paraId="031C123C">
      <w:pPr>
        <w:pStyle w:val="5"/>
        <w:ind w:firstLineChars="175"/>
        <w:rPr>
          <w:rFonts w:hAnsi="宋体"/>
          <w:kern w:val="2"/>
          <w:sz w:val="24"/>
          <w:szCs w:val="24"/>
        </w:rPr>
      </w:pPr>
      <w:r>
        <w:rPr>
          <w:rFonts w:hint="eastAsia" w:hAnsi="宋体"/>
          <w:kern w:val="2"/>
          <w:sz w:val="24"/>
          <w:szCs w:val="24"/>
        </w:rPr>
        <w:t>1.1.4 “服务”是指除货物以外的其他政府采购对象,其中包括：投标人须承担的运输、安装、技术支持、培训以及其它类似附加服务的义务。投标人除按照招标文件的要求提供货物及服务外，还应提供下列服务：货物的现场检验；提供货物合格的证明；在质量保证期内对所交付货物提供质量保证并负责；以上服务的费用应包含在报价中，不单独进行支付。</w:t>
      </w:r>
    </w:p>
    <w:p w14:paraId="07A897C6">
      <w:pPr>
        <w:pStyle w:val="5"/>
        <w:ind w:firstLineChars="175"/>
        <w:rPr>
          <w:rFonts w:hAnsi="宋体"/>
          <w:kern w:val="2"/>
          <w:sz w:val="24"/>
          <w:szCs w:val="24"/>
        </w:rPr>
      </w:pPr>
      <w:r>
        <w:rPr>
          <w:rFonts w:hint="eastAsia" w:hAnsi="宋体"/>
          <w:kern w:val="2"/>
          <w:sz w:val="24"/>
          <w:szCs w:val="24"/>
        </w:rPr>
        <w:t xml:space="preserve">1.1.5 </w:t>
      </w:r>
      <w:r>
        <w:rPr>
          <w:rFonts w:hint="eastAsia" w:hAnsi="宋体"/>
          <w:sz w:val="24"/>
        </w:rPr>
        <w:t>“投标人”指响应招标、已按招标文件规定取得招标文件并参加投标竞争的法人、其他组织或自然人</w:t>
      </w:r>
      <w:r>
        <w:rPr>
          <w:rFonts w:hint="eastAsia" w:hAnsi="宋体"/>
          <w:kern w:val="2"/>
          <w:sz w:val="24"/>
          <w:szCs w:val="24"/>
        </w:rPr>
        <w:t>。</w:t>
      </w:r>
    </w:p>
    <w:p w14:paraId="378F2C76">
      <w:pPr>
        <w:pStyle w:val="5"/>
        <w:ind w:firstLineChars="175"/>
        <w:rPr>
          <w:rFonts w:hAnsi="宋体"/>
          <w:kern w:val="2"/>
          <w:sz w:val="24"/>
          <w:szCs w:val="24"/>
        </w:rPr>
      </w:pPr>
      <w:r>
        <w:rPr>
          <w:rFonts w:hint="eastAsia" w:hAnsi="宋体"/>
          <w:kern w:val="2"/>
          <w:sz w:val="24"/>
          <w:szCs w:val="24"/>
        </w:rPr>
        <w:t>1.1.6 “中标人”是指经评标委员会评审，授予合同的投标人。</w:t>
      </w:r>
    </w:p>
    <w:p w14:paraId="2E309203">
      <w:pPr>
        <w:pStyle w:val="5"/>
        <w:ind w:firstLineChars="175"/>
        <w:rPr>
          <w:rFonts w:hAnsi="宋体"/>
          <w:kern w:val="2"/>
          <w:sz w:val="24"/>
          <w:szCs w:val="24"/>
        </w:rPr>
      </w:pPr>
      <w:r>
        <w:rPr>
          <w:rFonts w:hint="eastAsia" w:hAnsi="宋体"/>
          <w:kern w:val="2"/>
          <w:sz w:val="24"/>
          <w:szCs w:val="24"/>
        </w:rPr>
        <w:t>1.1.7 招标文件中涉及的时间均为北京时间。</w:t>
      </w:r>
    </w:p>
    <w:p w14:paraId="78FBBF20">
      <w:pPr>
        <w:spacing w:line="360" w:lineRule="auto"/>
        <w:rPr>
          <w:rFonts w:ascii="宋体" w:hAnsi="宋体"/>
          <w:b/>
          <w:sz w:val="24"/>
        </w:rPr>
      </w:pPr>
      <w:r>
        <w:rPr>
          <w:rFonts w:hint="eastAsia" w:ascii="宋体" w:hAnsi="宋体"/>
          <w:b/>
          <w:sz w:val="24"/>
        </w:rPr>
        <w:t>1.2适用范围</w:t>
      </w:r>
    </w:p>
    <w:p w14:paraId="5F325508">
      <w:pPr>
        <w:spacing w:line="360" w:lineRule="auto"/>
        <w:ind w:firstLine="480" w:firstLineChars="200"/>
        <w:rPr>
          <w:rFonts w:ascii="宋体" w:hAnsi="宋体"/>
          <w:sz w:val="24"/>
        </w:rPr>
      </w:pPr>
      <w:r>
        <w:rPr>
          <w:rFonts w:hint="eastAsia" w:ascii="宋体" w:hAnsi="宋体"/>
          <w:sz w:val="24"/>
        </w:rPr>
        <w:t>本招标文件仅适用于采购代理机构组织的本次招标活动。</w:t>
      </w:r>
    </w:p>
    <w:p w14:paraId="3129B058">
      <w:pPr>
        <w:spacing w:line="360" w:lineRule="auto"/>
        <w:rPr>
          <w:rFonts w:ascii="宋体" w:hAnsi="宋体"/>
          <w:b/>
          <w:sz w:val="24"/>
        </w:rPr>
      </w:pPr>
      <w:r>
        <w:rPr>
          <w:rFonts w:hint="eastAsia" w:ascii="宋体" w:hAnsi="宋体"/>
          <w:b/>
          <w:sz w:val="24"/>
        </w:rPr>
        <w:t>1.3合格的供应商</w:t>
      </w:r>
    </w:p>
    <w:p w14:paraId="382754D9">
      <w:pPr>
        <w:pStyle w:val="5"/>
        <w:ind w:firstLine="480" w:firstLineChars="200"/>
        <w:rPr>
          <w:rFonts w:hAnsi="宋体"/>
          <w:sz w:val="24"/>
        </w:rPr>
      </w:pPr>
      <w:r>
        <w:rPr>
          <w:rFonts w:hint="eastAsia" w:hAnsi="宋体"/>
          <w:sz w:val="24"/>
        </w:rPr>
        <w:t>1.3.1 申请人的资格要求</w:t>
      </w:r>
    </w:p>
    <w:p w14:paraId="3DDA7015">
      <w:pPr>
        <w:pStyle w:val="5"/>
        <w:ind w:firstLine="480" w:firstLineChars="200"/>
        <w:rPr>
          <w:rFonts w:hAnsi="宋体"/>
          <w:sz w:val="24"/>
        </w:rPr>
      </w:pPr>
      <w:r>
        <w:rPr>
          <w:rFonts w:hint="eastAsia" w:hAnsi="宋体"/>
          <w:sz w:val="24"/>
        </w:rPr>
        <w:t>1.3.1.1</w:t>
      </w:r>
      <w:r>
        <w:rPr>
          <w:rFonts w:hint="eastAsia" w:hAnsi="宋体"/>
          <w:sz w:val="24"/>
          <w:lang w:val="en-US" w:eastAsia="zh-CN"/>
        </w:rPr>
        <w:t>详见第一章申请人的资格要求。</w:t>
      </w:r>
    </w:p>
    <w:p w14:paraId="33554704">
      <w:pPr>
        <w:pStyle w:val="5"/>
        <w:ind w:firstLine="480" w:firstLineChars="200"/>
        <w:rPr>
          <w:rFonts w:hAnsi="宋体"/>
          <w:sz w:val="24"/>
        </w:rPr>
      </w:pPr>
      <w:r>
        <w:rPr>
          <w:rFonts w:hint="eastAsia" w:hAnsi="宋体"/>
          <w:sz w:val="24"/>
        </w:rPr>
        <w:t>1.3.1.2未为本项目提供整体设计、规范编制或者项目管理、监理、检测等服务的投标人。</w:t>
      </w:r>
    </w:p>
    <w:p w14:paraId="7FAB989D">
      <w:pPr>
        <w:pStyle w:val="5"/>
        <w:ind w:firstLine="480" w:firstLineChars="200"/>
        <w:rPr>
          <w:rFonts w:hAnsi="宋体"/>
          <w:sz w:val="24"/>
        </w:rPr>
      </w:pPr>
      <w:r>
        <w:rPr>
          <w:rFonts w:hint="eastAsia" w:hAnsi="宋体"/>
          <w:sz w:val="24"/>
        </w:rPr>
        <w:t>1.3.1.3</w:t>
      </w:r>
      <w:r>
        <w:rPr>
          <w:rFonts w:hAnsi="宋体" w:cs="宋体"/>
          <w:sz w:val="24"/>
          <w:szCs w:val="24"/>
        </w:rPr>
        <w:t>与招标人存在利害关系可能影响招标公正性的法人、其他组织，不得参加投标；单位负责人为同一人或者存在控股、管理关系的不同单位，不得参加同一标段的招标或者未划分标段的同一招标项目的投标。</w:t>
      </w:r>
    </w:p>
    <w:p w14:paraId="51DB5732">
      <w:pPr>
        <w:pStyle w:val="5"/>
        <w:ind w:firstLine="0"/>
        <w:rPr>
          <w:rFonts w:hAnsi="宋体"/>
          <w:b/>
          <w:bCs/>
          <w:sz w:val="24"/>
        </w:rPr>
      </w:pPr>
      <w:r>
        <w:rPr>
          <w:rFonts w:hint="eastAsia" w:hAnsi="宋体"/>
          <w:b/>
          <w:bCs/>
          <w:sz w:val="24"/>
        </w:rPr>
        <w:t>1.4招标费用</w:t>
      </w:r>
    </w:p>
    <w:p w14:paraId="6FFAC0CB">
      <w:pPr>
        <w:pStyle w:val="5"/>
        <w:ind w:firstLineChars="175"/>
        <w:jc w:val="both"/>
        <w:rPr>
          <w:rFonts w:hint="default" w:hAnsi="宋体" w:eastAsia="宋体"/>
          <w:color w:val="000000" w:themeColor="text1"/>
          <w:sz w:val="24"/>
          <w:lang w:val="en-US" w:eastAsia="zh-CN"/>
          <w14:textFill>
            <w14:solidFill>
              <w14:schemeClr w14:val="tx1"/>
            </w14:solidFill>
          </w14:textFill>
        </w:rPr>
      </w:pPr>
      <w:r>
        <w:rPr>
          <w:rFonts w:hint="eastAsia" w:hAnsi="宋体"/>
          <w:sz w:val="24"/>
        </w:rPr>
        <w:t>1.4.1</w:t>
      </w:r>
      <w:r>
        <w:rPr>
          <w:rFonts w:hint="eastAsia" w:hAnsi="宋体"/>
          <w:color w:val="000000" w:themeColor="text1"/>
          <w:sz w:val="24"/>
          <w14:textFill>
            <w14:solidFill>
              <w14:schemeClr w14:val="tx1"/>
            </w14:solidFill>
          </w14:textFill>
        </w:rPr>
        <w:t>招标代理服务费：22200.00 元，</w:t>
      </w:r>
      <w:r>
        <w:rPr>
          <w:rFonts w:hint="eastAsia" w:hAnsi="宋体"/>
          <w:color w:val="000000" w:themeColor="text1"/>
          <w:sz w:val="24"/>
          <w:lang w:val="en-US" w:eastAsia="zh-CN"/>
          <w14:textFill>
            <w14:solidFill>
              <w14:schemeClr w14:val="tx1"/>
            </w14:solidFill>
          </w14:textFill>
        </w:rPr>
        <w:t>由</w:t>
      </w:r>
      <w:r>
        <w:rPr>
          <w:rFonts w:hint="eastAsia" w:hAnsi="宋体"/>
          <w:color w:val="000000" w:themeColor="text1"/>
          <w:sz w:val="24"/>
          <w14:textFill>
            <w14:solidFill>
              <w14:schemeClr w14:val="tx1"/>
            </w14:solidFill>
          </w14:textFill>
        </w:rPr>
        <w:t>成交人</w:t>
      </w:r>
      <w:r>
        <w:rPr>
          <w:rFonts w:hint="eastAsia" w:hAnsi="宋体"/>
          <w:color w:val="000000" w:themeColor="text1"/>
          <w:sz w:val="24"/>
          <w:lang w:val="en-US" w:eastAsia="zh-CN"/>
          <w14:textFill>
            <w14:solidFill>
              <w14:schemeClr w14:val="tx1"/>
            </w14:solidFill>
          </w14:textFill>
        </w:rPr>
        <w:t>在领取成交通知书前向采购代理机构支付。</w:t>
      </w:r>
    </w:p>
    <w:p w14:paraId="05F808C7">
      <w:pPr>
        <w:pStyle w:val="5"/>
        <w:ind w:firstLineChars="175"/>
        <w:rPr>
          <w:rFonts w:hAnsi="宋体"/>
          <w:sz w:val="24"/>
        </w:rPr>
      </w:pPr>
      <w:r>
        <w:rPr>
          <w:rFonts w:hint="eastAsia" w:hAnsi="宋体"/>
          <w:sz w:val="24"/>
        </w:rPr>
        <w:t>1.4.2投标人中标后，须按招标文件的规定缴纳中标服务费，否则，采购代理机构将不向其发出中标通知书。</w:t>
      </w:r>
    </w:p>
    <w:p w14:paraId="7F2CC8D3">
      <w:pPr>
        <w:pStyle w:val="5"/>
        <w:ind w:firstLineChars="175"/>
        <w:rPr>
          <w:rFonts w:hAnsi="宋体"/>
          <w:sz w:val="24"/>
        </w:rPr>
      </w:pPr>
      <w:r>
        <w:rPr>
          <w:rFonts w:hint="eastAsia" w:hAnsi="宋体"/>
          <w:sz w:val="24"/>
        </w:rPr>
        <w:t>1.4.3不论招标结果如何，投标人应自行承担其准备和参加本次采购活动所涉及的一切费用。</w:t>
      </w:r>
    </w:p>
    <w:p w14:paraId="22B507AA">
      <w:pPr>
        <w:pStyle w:val="5"/>
        <w:ind w:firstLine="0"/>
        <w:rPr>
          <w:b/>
          <w:sz w:val="24"/>
          <w:szCs w:val="24"/>
        </w:rPr>
      </w:pPr>
      <w:r>
        <w:rPr>
          <w:rFonts w:hint="eastAsia"/>
          <w:b/>
          <w:sz w:val="24"/>
          <w:szCs w:val="24"/>
        </w:rPr>
        <w:t>1.5 遵循标准</w:t>
      </w:r>
    </w:p>
    <w:p w14:paraId="7A9D3ED5">
      <w:pPr>
        <w:pStyle w:val="5"/>
        <w:ind w:firstLineChars="175"/>
        <w:rPr>
          <w:rFonts w:hAnsi="宋体"/>
          <w:sz w:val="24"/>
        </w:rPr>
      </w:pPr>
      <w:r>
        <w:rPr>
          <w:rFonts w:hint="eastAsia" w:hAnsi="宋体"/>
          <w:sz w:val="24"/>
        </w:rPr>
        <w:t>1.5.1 除专用术语外，与招标投标有关的文字语言均使用中文。必要时专用术语应附有中文注释。如投标人提交的支持文件或印刷文献是其他语言，应附有相应的中文翻译本。</w:t>
      </w:r>
    </w:p>
    <w:p w14:paraId="236BBEB8">
      <w:pPr>
        <w:pStyle w:val="5"/>
        <w:ind w:firstLineChars="175"/>
        <w:rPr>
          <w:rFonts w:hAnsi="宋体"/>
          <w:sz w:val="24"/>
        </w:rPr>
      </w:pPr>
      <w:r>
        <w:rPr>
          <w:rFonts w:hint="eastAsia" w:hAnsi="宋体"/>
          <w:sz w:val="24"/>
        </w:rPr>
        <w:t>1.5.2 所有计量均采用中华人民共和国法定计量单位。</w:t>
      </w:r>
    </w:p>
    <w:p w14:paraId="5AA9C880">
      <w:pPr>
        <w:spacing w:line="360" w:lineRule="auto"/>
        <w:rPr>
          <w:rFonts w:ascii="宋体" w:hAnsi="宋体"/>
          <w:b/>
          <w:sz w:val="28"/>
        </w:rPr>
      </w:pPr>
      <w:r>
        <w:rPr>
          <w:rFonts w:hint="eastAsia" w:ascii="宋体" w:hAnsi="宋体"/>
          <w:b/>
          <w:sz w:val="28"/>
        </w:rPr>
        <w:t>二、招标文件</w:t>
      </w:r>
    </w:p>
    <w:p w14:paraId="0C7AD5D5">
      <w:pPr>
        <w:spacing w:line="360" w:lineRule="auto"/>
        <w:rPr>
          <w:rFonts w:ascii="宋体" w:hAnsi="宋体"/>
          <w:b/>
          <w:sz w:val="24"/>
        </w:rPr>
      </w:pPr>
      <w:r>
        <w:rPr>
          <w:rFonts w:hint="eastAsia" w:ascii="宋体" w:hAnsi="宋体"/>
          <w:b/>
          <w:sz w:val="24"/>
        </w:rPr>
        <w:t>2.1招标文件的组成</w:t>
      </w:r>
    </w:p>
    <w:p w14:paraId="5871D82E">
      <w:pPr>
        <w:spacing w:line="360" w:lineRule="auto"/>
        <w:ind w:firstLine="480" w:firstLineChars="200"/>
        <w:rPr>
          <w:rFonts w:ascii="宋体" w:hAnsi="宋体"/>
          <w:sz w:val="24"/>
        </w:rPr>
      </w:pPr>
      <w:r>
        <w:rPr>
          <w:rFonts w:hint="eastAsia" w:ascii="宋体" w:hAnsi="宋体"/>
          <w:sz w:val="24"/>
        </w:rPr>
        <w:t>2.1.1招标文件由六部分组成，包括：</w:t>
      </w:r>
    </w:p>
    <w:p w14:paraId="7FB8420D">
      <w:pPr>
        <w:spacing w:line="360" w:lineRule="auto"/>
        <w:ind w:firstLine="480" w:firstLineChars="200"/>
        <w:rPr>
          <w:rFonts w:ascii="宋体" w:hAnsi="宋体"/>
          <w:sz w:val="24"/>
        </w:rPr>
      </w:pPr>
      <w:r>
        <w:rPr>
          <w:rFonts w:hint="eastAsia" w:ascii="宋体" w:hAnsi="宋体"/>
          <w:sz w:val="24"/>
        </w:rPr>
        <w:t>第一章  招标公告</w:t>
      </w:r>
    </w:p>
    <w:p w14:paraId="52DB5858">
      <w:pPr>
        <w:spacing w:line="360" w:lineRule="auto"/>
        <w:ind w:firstLine="480" w:firstLineChars="200"/>
        <w:rPr>
          <w:rFonts w:ascii="宋体" w:hAnsi="宋体"/>
          <w:sz w:val="24"/>
        </w:rPr>
      </w:pPr>
      <w:r>
        <w:rPr>
          <w:rFonts w:hint="eastAsia" w:ascii="宋体" w:hAnsi="宋体"/>
          <w:sz w:val="24"/>
        </w:rPr>
        <w:t>第二章  投标人须知</w:t>
      </w:r>
    </w:p>
    <w:p w14:paraId="232619E4">
      <w:pPr>
        <w:spacing w:line="360" w:lineRule="auto"/>
        <w:ind w:firstLine="480" w:firstLineChars="200"/>
        <w:rPr>
          <w:rFonts w:ascii="宋体" w:hAnsi="宋体"/>
          <w:sz w:val="24"/>
        </w:rPr>
      </w:pPr>
      <w:r>
        <w:rPr>
          <w:rFonts w:hint="eastAsia" w:ascii="宋体" w:hAnsi="宋体"/>
          <w:sz w:val="24"/>
        </w:rPr>
        <w:t>第三章  采购需求</w:t>
      </w:r>
    </w:p>
    <w:p w14:paraId="44598610">
      <w:pPr>
        <w:spacing w:line="360" w:lineRule="auto"/>
        <w:ind w:firstLine="480" w:firstLineChars="200"/>
        <w:rPr>
          <w:rFonts w:ascii="宋体" w:hAnsi="宋体"/>
          <w:sz w:val="24"/>
        </w:rPr>
      </w:pPr>
      <w:r>
        <w:rPr>
          <w:rFonts w:hint="eastAsia" w:ascii="宋体" w:hAnsi="宋体"/>
          <w:sz w:val="24"/>
        </w:rPr>
        <w:t>第四章  评标办法</w:t>
      </w:r>
    </w:p>
    <w:p w14:paraId="54A7DC4F">
      <w:pPr>
        <w:spacing w:line="360" w:lineRule="auto"/>
        <w:ind w:firstLine="480" w:firstLineChars="200"/>
        <w:rPr>
          <w:rFonts w:ascii="宋体" w:hAnsi="宋体"/>
          <w:sz w:val="24"/>
        </w:rPr>
      </w:pPr>
      <w:r>
        <w:rPr>
          <w:rFonts w:hint="eastAsia" w:ascii="宋体" w:hAnsi="宋体"/>
          <w:sz w:val="24"/>
        </w:rPr>
        <w:t>第五章  合同文本</w:t>
      </w:r>
    </w:p>
    <w:p w14:paraId="368B5402">
      <w:pPr>
        <w:spacing w:line="360" w:lineRule="auto"/>
        <w:ind w:firstLine="480" w:firstLineChars="200"/>
        <w:rPr>
          <w:rFonts w:ascii="宋体" w:hAnsi="宋体"/>
          <w:sz w:val="24"/>
        </w:rPr>
      </w:pPr>
      <w:r>
        <w:rPr>
          <w:rFonts w:hint="eastAsia" w:ascii="宋体" w:hAnsi="宋体"/>
          <w:sz w:val="24"/>
        </w:rPr>
        <w:t>第六章  投标文件格式要求</w:t>
      </w:r>
    </w:p>
    <w:p w14:paraId="64C99A43">
      <w:pPr>
        <w:spacing w:line="360" w:lineRule="auto"/>
        <w:ind w:firstLine="480" w:firstLineChars="200"/>
        <w:rPr>
          <w:rFonts w:ascii="宋体" w:hAnsi="宋体"/>
          <w:sz w:val="24"/>
        </w:rPr>
      </w:pPr>
      <w:r>
        <w:rPr>
          <w:rFonts w:hint="eastAsia" w:ascii="宋体" w:hAnsi="宋体"/>
          <w:sz w:val="24"/>
        </w:rPr>
        <w:t>2.1.2投标人被视为充分熟悉本采购项目所在地的与履行合同有关的各种情况，包括自然环境、气候条件、劳动力及公用设施等，本招标文件不再对上述情况进行描述。</w:t>
      </w:r>
    </w:p>
    <w:p w14:paraId="04244549">
      <w:pPr>
        <w:spacing w:line="360" w:lineRule="auto"/>
        <w:ind w:firstLine="480" w:firstLineChars="200"/>
        <w:rPr>
          <w:rFonts w:ascii="宋体" w:hAnsi="宋体"/>
          <w:sz w:val="24"/>
        </w:rPr>
      </w:pPr>
      <w:r>
        <w:rPr>
          <w:rFonts w:hint="eastAsia" w:ascii="宋体" w:hAnsi="宋体"/>
          <w:sz w:val="24"/>
        </w:rPr>
        <w:t>2.1.3 投标人必须详阅招标文件的所有条款、文件及表格格式。投标人若未按招标文件的要求和规范编制、提交投标文件，将有可能导致投标文件被拒绝接受，所造成的负面后果由投标人负责。</w:t>
      </w:r>
    </w:p>
    <w:p w14:paraId="3C30C646">
      <w:pPr>
        <w:pStyle w:val="44"/>
        <w:tabs>
          <w:tab w:val="left" w:pos="420"/>
        </w:tabs>
        <w:spacing w:before="100" w:beforeAutospacing="1" w:line="360" w:lineRule="auto"/>
        <w:ind w:left="770" w:leftChars="29"/>
        <w:rPr>
          <w:b/>
          <w:sz w:val="24"/>
          <w:szCs w:val="24"/>
        </w:rPr>
      </w:pPr>
      <w:r>
        <w:rPr>
          <w:rFonts w:hint="eastAsia"/>
          <w:b/>
          <w:sz w:val="24"/>
        </w:rPr>
        <w:t>2.2</w:t>
      </w:r>
      <w:r>
        <w:rPr>
          <w:rFonts w:hint="eastAsia"/>
          <w:b/>
          <w:sz w:val="24"/>
          <w:szCs w:val="24"/>
        </w:rPr>
        <w:t>招标文件的澄清和修改</w:t>
      </w:r>
    </w:p>
    <w:p w14:paraId="58FAC4A0">
      <w:pPr>
        <w:pStyle w:val="5"/>
        <w:ind w:firstLine="480" w:firstLineChars="200"/>
        <w:rPr>
          <w:rFonts w:hAnsi="宋体"/>
          <w:sz w:val="24"/>
        </w:rPr>
      </w:pPr>
      <w:r>
        <w:rPr>
          <w:rFonts w:hint="eastAsia" w:hAnsi="宋体"/>
          <w:sz w:val="24"/>
        </w:rPr>
        <w:t>2.2.1投标人应仔细阅读和检查招标文件的全部内容。如发现缺项或招标文件构成要件不全，应及时向采购代理机构提出，以便获得文件补全。</w:t>
      </w:r>
    </w:p>
    <w:p w14:paraId="02CDF659">
      <w:pPr>
        <w:pStyle w:val="5"/>
        <w:ind w:firstLine="480" w:firstLineChars="200"/>
        <w:rPr>
          <w:rFonts w:hAnsi="宋体"/>
          <w:sz w:val="24"/>
        </w:rPr>
      </w:pPr>
      <w:r>
        <w:rPr>
          <w:rFonts w:hint="eastAsia" w:hAnsi="宋体"/>
          <w:sz w:val="24"/>
        </w:rPr>
        <w:t>2.2.2招标文件发出后，采购代理机构和采购单位可以对招标文件进行澄清和修改。澄清和修改的内容采购代理机构将以法定网站上公告的方式通知。（网址详见招标公告）</w:t>
      </w:r>
    </w:p>
    <w:p w14:paraId="3587BDE7">
      <w:pPr>
        <w:pStyle w:val="5"/>
        <w:ind w:firstLine="480" w:firstLineChars="200"/>
        <w:rPr>
          <w:rFonts w:hAnsi="宋体"/>
          <w:sz w:val="24"/>
        </w:rPr>
      </w:pPr>
      <w:r>
        <w:rPr>
          <w:rFonts w:hint="eastAsia" w:hAnsi="宋体"/>
          <w:sz w:val="24"/>
        </w:rPr>
        <w:t>2.2</w:t>
      </w:r>
      <w:r>
        <w:rPr>
          <w:rFonts w:hAnsi="宋体"/>
          <w:sz w:val="24"/>
        </w:rPr>
        <w:t>.</w:t>
      </w:r>
      <w:r>
        <w:rPr>
          <w:rFonts w:hint="eastAsia" w:hAnsi="宋体"/>
          <w:sz w:val="24"/>
        </w:rPr>
        <w:t>3当招标文件、更正公告等内容相互矛盾时，以最后发出的为准。</w:t>
      </w:r>
    </w:p>
    <w:p w14:paraId="65B94A48">
      <w:pPr>
        <w:pStyle w:val="5"/>
        <w:ind w:firstLine="480" w:firstLineChars="200"/>
        <w:rPr>
          <w:rFonts w:hAnsi="宋体"/>
          <w:sz w:val="24"/>
        </w:rPr>
      </w:pPr>
      <w:r>
        <w:rPr>
          <w:rFonts w:hint="eastAsia" w:hAnsi="宋体"/>
          <w:sz w:val="24"/>
        </w:rPr>
        <w:t>2.2.4招标文件</w:t>
      </w:r>
      <w:r>
        <w:rPr>
          <w:rFonts w:hAnsi="宋体"/>
          <w:sz w:val="24"/>
        </w:rPr>
        <w:t>的</w:t>
      </w:r>
      <w:r>
        <w:rPr>
          <w:rFonts w:hint="eastAsia" w:hAnsi="宋体"/>
          <w:sz w:val="24"/>
        </w:rPr>
        <w:t>澄清和</w:t>
      </w:r>
      <w:r>
        <w:rPr>
          <w:rFonts w:hAnsi="宋体"/>
          <w:sz w:val="24"/>
        </w:rPr>
        <w:t>更正内容是</w:t>
      </w:r>
      <w:r>
        <w:rPr>
          <w:rFonts w:hint="eastAsia" w:hAnsi="宋体"/>
          <w:sz w:val="24"/>
        </w:rPr>
        <w:t>招标文件</w:t>
      </w:r>
      <w:r>
        <w:rPr>
          <w:rFonts w:hAnsi="宋体"/>
          <w:sz w:val="24"/>
        </w:rPr>
        <w:t>的组成部分，对</w:t>
      </w:r>
      <w:r>
        <w:rPr>
          <w:rFonts w:hint="eastAsia" w:hAnsi="宋体"/>
          <w:sz w:val="24"/>
        </w:rPr>
        <w:t>投标人</w:t>
      </w:r>
      <w:r>
        <w:rPr>
          <w:rFonts w:hAnsi="宋体"/>
          <w:sz w:val="24"/>
        </w:rPr>
        <w:t>具有约束力</w:t>
      </w:r>
      <w:r>
        <w:rPr>
          <w:rFonts w:hint="eastAsia" w:hAnsi="宋体"/>
          <w:sz w:val="24"/>
        </w:rPr>
        <w:t>, 投标人应及时关注并按澄清和更正文件的要求编制投标文件</w:t>
      </w:r>
      <w:r>
        <w:rPr>
          <w:rFonts w:hAnsi="宋体"/>
          <w:sz w:val="24"/>
        </w:rPr>
        <w:t>。</w:t>
      </w:r>
    </w:p>
    <w:p w14:paraId="547C4829">
      <w:pPr>
        <w:pStyle w:val="5"/>
        <w:ind w:firstLine="480" w:firstLineChars="200"/>
        <w:rPr>
          <w:rFonts w:hAnsi="宋体"/>
          <w:sz w:val="24"/>
        </w:rPr>
      </w:pPr>
      <w:r>
        <w:rPr>
          <w:rFonts w:hint="eastAsia" w:hAnsi="宋体"/>
          <w:sz w:val="24"/>
        </w:rPr>
        <w:t>2.2.5为了给投标人合理的时间修改和调整，采购代理机构可以延长递交投标文件的截止日期，具体时间将在更正公告中写明。</w:t>
      </w:r>
    </w:p>
    <w:p w14:paraId="6CE81167">
      <w:pPr>
        <w:spacing w:line="360" w:lineRule="auto"/>
        <w:rPr>
          <w:rFonts w:ascii="宋体" w:hAnsi="宋体"/>
          <w:b/>
          <w:sz w:val="28"/>
        </w:rPr>
      </w:pPr>
      <w:r>
        <w:rPr>
          <w:rFonts w:hint="eastAsia" w:ascii="宋体" w:hAnsi="宋体"/>
          <w:b/>
          <w:sz w:val="28"/>
        </w:rPr>
        <w:t>三、投标文件</w:t>
      </w:r>
    </w:p>
    <w:p w14:paraId="44A6F6B2">
      <w:pPr>
        <w:spacing w:line="360" w:lineRule="auto"/>
        <w:rPr>
          <w:rFonts w:ascii="宋体" w:hAnsi="宋体"/>
          <w:b/>
          <w:sz w:val="24"/>
        </w:rPr>
      </w:pPr>
      <w:r>
        <w:rPr>
          <w:rFonts w:hint="eastAsia" w:ascii="宋体" w:hAnsi="宋体"/>
          <w:b/>
          <w:sz w:val="24"/>
        </w:rPr>
        <w:t>3.1投标文件的组成</w:t>
      </w:r>
    </w:p>
    <w:p w14:paraId="793FF947">
      <w:pPr>
        <w:spacing w:line="360" w:lineRule="auto"/>
        <w:ind w:firstLine="480" w:firstLineChars="200"/>
        <w:rPr>
          <w:rFonts w:ascii="宋体" w:hAnsi="宋体"/>
          <w:sz w:val="24"/>
        </w:rPr>
      </w:pPr>
      <w:r>
        <w:rPr>
          <w:rFonts w:hint="eastAsia" w:ascii="宋体" w:hAnsi="宋体"/>
          <w:sz w:val="24"/>
        </w:rPr>
        <w:t>3.1.1投标人应按不同包段分别编制投标文件。</w:t>
      </w:r>
    </w:p>
    <w:p w14:paraId="2FA3C92E">
      <w:pPr>
        <w:spacing w:line="360" w:lineRule="auto"/>
        <w:ind w:firstLine="480" w:firstLineChars="200"/>
        <w:rPr>
          <w:rFonts w:ascii="宋体" w:hAnsi="宋体"/>
          <w:sz w:val="24"/>
        </w:rPr>
      </w:pPr>
      <w:r>
        <w:rPr>
          <w:rFonts w:hint="eastAsia" w:ascii="宋体" w:hAnsi="宋体"/>
          <w:sz w:val="24"/>
        </w:rPr>
        <w:t>3.1.2投标文件应按“第六章、投标文件格式要求”要求编制，如有必要可增加附页，并作为投标文件的组成部分。</w:t>
      </w:r>
    </w:p>
    <w:p w14:paraId="04C75E30">
      <w:pPr>
        <w:spacing w:line="360" w:lineRule="auto"/>
        <w:rPr>
          <w:rFonts w:ascii="宋体" w:hAnsi="宋体"/>
          <w:sz w:val="24"/>
        </w:rPr>
      </w:pPr>
      <w:r>
        <w:rPr>
          <w:rFonts w:hint="eastAsia" w:ascii="宋体" w:hAnsi="宋体"/>
          <w:b/>
          <w:sz w:val="24"/>
        </w:rPr>
        <w:t>3.2报价</w:t>
      </w:r>
      <w:r>
        <w:rPr>
          <w:rFonts w:hint="eastAsia" w:ascii="宋体" w:hAnsi="宋体"/>
          <w:b/>
          <w:sz w:val="24"/>
          <w:lang w:eastAsia="zh-CN"/>
        </w:rPr>
        <w:t>（</w:t>
      </w:r>
      <w:r>
        <w:rPr>
          <w:rFonts w:hint="eastAsia" w:ascii="宋体" w:hAnsi="宋体"/>
          <w:b/>
          <w:sz w:val="24"/>
          <w:lang w:val="en-US" w:eastAsia="zh-CN"/>
        </w:rPr>
        <w:t>本项目不作要求</w:t>
      </w:r>
      <w:r>
        <w:rPr>
          <w:rFonts w:hint="eastAsia" w:ascii="宋体" w:hAnsi="宋体"/>
          <w:b/>
          <w:sz w:val="24"/>
          <w:lang w:eastAsia="zh-CN"/>
        </w:rPr>
        <w:t>）</w:t>
      </w:r>
    </w:p>
    <w:p w14:paraId="3259C62C">
      <w:pPr>
        <w:spacing w:line="360" w:lineRule="auto"/>
        <w:rPr>
          <w:rFonts w:hint="eastAsia" w:ascii="宋体" w:hAnsi="宋体" w:eastAsia="宋体"/>
          <w:b/>
          <w:sz w:val="24"/>
          <w:lang w:eastAsia="zh-CN"/>
        </w:rPr>
      </w:pPr>
      <w:r>
        <w:rPr>
          <w:rFonts w:hint="eastAsia" w:ascii="宋体" w:hAnsi="宋体"/>
          <w:b/>
          <w:sz w:val="24"/>
        </w:rPr>
        <w:t>3.3投标保证金</w:t>
      </w:r>
      <w:r>
        <w:rPr>
          <w:rFonts w:hint="eastAsia" w:ascii="宋体" w:hAnsi="宋体"/>
          <w:b/>
          <w:sz w:val="24"/>
          <w:lang w:eastAsia="zh-CN"/>
        </w:rPr>
        <w:t>（</w:t>
      </w:r>
      <w:r>
        <w:rPr>
          <w:rFonts w:hint="eastAsia" w:ascii="宋体" w:hAnsi="宋体"/>
          <w:b/>
          <w:sz w:val="24"/>
          <w:lang w:val="en-US" w:eastAsia="zh-CN"/>
        </w:rPr>
        <w:t>本项目不作要求</w:t>
      </w:r>
      <w:r>
        <w:rPr>
          <w:rFonts w:hint="eastAsia" w:ascii="宋体" w:hAnsi="宋体"/>
          <w:b/>
          <w:sz w:val="24"/>
          <w:lang w:eastAsia="zh-CN"/>
        </w:rPr>
        <w:t>）</w:t>
      </w:r>
    </w:p>
    <w:p w14:paraId="182691CE">
      <w:pPr>
        <w:spacing w:line="360" w:lineRule="auto"/>
        <w:rPr>
          <w:rFonts w:hint="eastAsia" w:ascii="宋体" w:hAnsi="宋体" w:eastAsia="宋体"/>
          <w:b/>
          <w:bCs/>
          <w:sz w:val="24"/>
          <w:lang w:eastAsia="zh-CN"/>
        </w:rPr>
      </w:pPr>
      <w:r>
        <w:rPr>
          <w:rFonts w:hint="eastAsia" w:ascii="宋体" w:hAnsi="宋体"/>
          <w:b/>
          <w:bCs/>
          <w:sz w:val="24"/>
        </w:rPr>
        <w:t>3.4投标保证金的退还</w:t>
      </w:r>
      <w:r>
        <w:rPr>
          <w:rFonts w:hint="eastAsia" w:ascii="宋体" w:hAnsi="宋体"/>
          <w:b/>
          <w:bCs/>
          <w:sz w:val="24"/>
          <w:lang w:eastAsia="zh-CN"/>
        </w:rPr>
        <w:t>（本项目不作要求）</w:t>
      </w:r>
    </w:p>
    <w:p w14:paraId="25E90257">
      <w:pPr>
        <w:spacing w:line="360" w:lineRule="auto"/>
        <w:rPr>
          <w:rFonts w:ascii="宋体" w:hAnsi="宋体"/>
          <w:b/>
          <w:sz w:val="24"/>
        </w:rPr>
      </w:pPr>
      <w:r>
        <w:rPr>
          <w:rFonts w:hint="eastAsia" w:ascii="宋体" w:hAnsi="宋体"/>
          <w:b/>
          <w:sz w:val="24"/>
        </w:rPr>
        <w:t>3.5投标有效期</w:t>
      </w:r>
    </w:p>
    <w:p w14:paraId="2E56393B">
      <w:pPr>
        <w:spacing w:line="360" w:lineRule="auto"/>
        <w:ind w:firstLine="480" w:firstLineChars="200"/>
        <w:rPr>
          <w:rFonts w:ascii="宋体" w:hAnsi="宋体"/>
          <w:sz w:val="24"/>
        </w:rPr>
      </w:pPr>
      <w:r>
        <w:rPr>
          <w:rFonts w:hint="eastAsia" w:ascii="宋体" w:hAnsi="宋体"/>
          <w:sz w:val="24"/>
        </w:rPr>
        <w:t>3.5.l 投标有效期为从递交投标文件的截止之日起60天，有效期短于此规定的</w:t>
      </w:r>
      <w:r>
        <w:rPr>
          <w:rFonts w:hint="eastAsia" w:ascii="宋体" w:hAnsi="宋体"/>
          <w:b/>
          <w:bCs/>
          <w:sz w:val="24"/>
        </w:rPr>
        <w:t>投标文件将被视为无效</w:t>
      </w:r>
      <w:r>
        <w:rPr>
          <w:rFonts w:hint="eastAsia" w:ascii="宋体" w:hAnsi="宋体"/>
          <w:sz w:val="24"/>
        </w:rPr>
        <w:t>。</w:t>
      </w:r>
    </w:p>
    <w:p w14:paraId="72FBB6C7">
      <w:pPr>
        <w:spacing w:line="360" w:lineRule="auto"/>
        <w:ind w:firstLine="480" w:firstLineChars="200"/>
        <w:rPr>
          <w:rFonts w:ascii="宋体" w:hAnsi="宋体"/>
          <w:sz w:val="24"/>
        </w:rPr>
      </w:pPr>
      <w:r>
        <w:rPr>
          <w:rFonts w:hint="eastAsia" w:ascii="宋体" w:hAnsi="宋体"/>
          <w:sz w:val="24"/>
        </w:rPr>
        <w:t>3.5.2在特殊情况下，采购代理机构可于投标有效期满之前，征得投标人同意延长投标有效期，要求与答复均应以书面形式进行。同意这一要求的投标人，无需也不允许修改其投标文件，但须相应延长投标有效期。受投标有效期制约的所有权利和义务均应延长至新的有效期。</w:t>
      </w:r>
    </w:p>
    <w:p w14:paraId="2012CB08">
      <w:pPr>
        <w:spacing w:line="360" w:lineRule="auto"/>
        <w:rPr>
          <w:rFonts w:ascii="宋体" w:hAnsi="宋体"/>
          <w:b/>
          <w:sz w:val="24"/>
        </w:rPr>
      </w:pPr>
      <w:r>
        <w:rPr>
          <w:rFonts w:hint="eastAsia" w:ascii="宋体" w:hAnsi="宋体"/>
          <w:b/>
          <w:sz w:val="24"/>
        </w:rPr>
        <w:t>3.6投标文件的编制、数量及签署</w:t>
      </w:r>
    </w:p>
    <w:p w14:paraId="36E32F5C">
      <w:pPr>
        <w:pStyle w:val="5"/>
        <w:ind w:firstLine="480" w:firstLineChars="200"/>
        <w:rPr>
          <w:rFonts w:hAnsi="宋体"/>
          <w:sz w:val="24"/>
        </w:rPr>
      </w:pPr>
      <w:r>
        <w:rPr>
          <w:rFonts w:hint="eastAsia" w:hAnsi="宋体"/>
          <w:sz w:val="24"/>
        </w:rPr>
        <w:t>3.6.1投标文件的编制</w:t>
      </w:r>
    </w:p>
    <w:p w14:paraId="01E443F3">
      <w:pPr>
        <w:pStyle w:val="5"/>
        <w:ind w:firstLine="480" w:firstLineChars="200"/>
        <w:rPr>
          <w:rFonts w:hAnsi="宋体"/>
          <w:sz w:val="24"/>
        </w:rPr>
      </w:pPr>
      <w:r>
        <w:rPr>
          <w:rFonts w:hint="eastAsia" w:hAnsi="宋体"/>
          <w:sz w:val="24"/>
        </w:rPr>
        <w:t>3.6.1.1投标文件由</w:t>
      </w:r>
      <w:r>
        <w:rPr>
          <w:rFonts w:hint="eastAsia" w:hAnsi="宋体"/>
          <w:sz w:val="24"/>
          <w:szCs w:val="24"/>
        </w:rPr>
        <w:t>“资格证明材料”、“符合性证明材料及技术、商务等响应材料”和“</w:t>
      </w:r>
      <w:r>
        <w:rPr>
          <w:rFonts w:hint="eastAsia" w:hAnsi="宋体" w:cs="Lucida Sans Unicode"/>
          <w:sz w:val="24"/>
        </w:rPr>
        <w:t>其他投标材料（如有）</w:t>
      </w:r>
      <w:r>
        <w:rPr>
          <w:rFonts w:hint="eastAsia" w:hAnsi="宋体"/>
          <w:sz w:val="24"/>
          <w:szCs w:val="24"/>
        </w:rPr>
        <w:t>”组成</w:t>
      </w:r>
      <w:r>
        <w:rPr>
          <w:rFonts w:hint="eastAsia" w:hAnsi="宋体"/>
          <w:sz w:val="24"/>
        </w:rPr>
        <w:t>。</w:t>
      </w:r>
    </w:p>
    <w:p w14:paraId="40C4B620">
      <w:pPr>
        <w:pStyle w:val="5"/>
        <w:ind w:firstLine="480" w:firstLineChars="200"/>
        <w:rPr>
          <w:rFonts w:hAnsi="宋体"/>
          <w:sz w:val="24"/>
        </w:rPr>
      </w:pPr>
      <w:r>
        <w:rPr>
          <w:rFonts w:hint="eastAsia" w:hAnsi="宋体"/>
          <w:sz w:val="24"/>
        </w:rPr>
        <w:t>3.6.1.2投标文件应按“第六章 投标文件格式要求</w:t>
      </w:r>
      <w:r>
        <w:rPr>
          <w:rFonts w:hAnsi="宋体"/>
          <w:sz w:val="24"/>
        </w:rPr>
        <w:t>”</w:t>
      </w:r>
      <w:r>
        <w:rPr>
          <w:rFonts w:hint="eastAsia" w:hAnsi="宋体"/>
          <w:sz w:val="24"/>
        </w:rPr>
        <w:t>的要求及顺序组织编写，如有必要可增加附页，并作为投标文件的组成部分。</w:t>
      </w:r>
    </w:p>
    <w:p w14:paraId="14FCDC90">
      <w:pPr>
        <w:pStyle w:val="5"/>
        <w:ind w:firstLine="480" w:firstLineChars="200"/>
        <w:rPr>
          <w:rFonts w:hAnsi="宋体"/>
          <w:sz w:val="24"/>
        </w:rPr>
      </w:pPr>
      <w:r>
        <w:rPr>
          <w:rFonts w:hint="eastAsia" w:hAnsi="宋体"/>
          <w:sz w:val="24"/>
        </w:rPr>
        <w:t>3.6.1.3投标人须在投标文件中正确地填写相对应的页码，不准确可能造成评标委员会无法直观定位应标内容而做出不利判断，投标人需独自承担可能产生的各种不利结果。</w:t>
      </w:r>
    </w:p>
    <w:p w14:paraId="7DB44B42">
      <w:pPr>
        <w:pStyle w:val="5"/>
        <w:ind w:firstLineChars="175"/>
        <w:rPr>
          <w:rFonts w:hAnsi="宋体"/>
          <w:sz w:val="24"/>
        </w:rPr>
      </w:pPr>
      <w:r>
        <w:rPr>
          <w:rFonts w:hint="eastAsia" w:hAnsi="宋体"/>
          <w:sz w:val="24"/>
        </w:rPr>
        <w:t>3.6.1.4投标人应在投标文件中提供证明其真实、合法身份和连续经营的相关证明文件。</w:t>
      </w:r>
    </w:p>
    <w:p w14:paraId="70D47985">
      <w:pPr>
        <w:pStyle w:val="5"/>
        <w:ind w:firstLineChars="175"/>
        <w:rPr>
          <w:rFonts w:hAnsi="宋体"/>
          <w:sz w:val="24"/>
        </w:rPr>
      </w:pPr>
      <w:r>
        <w:rPr>
          <w:rFonts w:hint="eastAsia" w:hAnsi="宋体"/>
          <w:sz w:val="24"/>
        </w:rPr>
        <w:t>3.6.1.5 投标人应在投标文件中提供有资格参加本次采购活动的相关证明文件。</w:t>
      </w:r>
    </w:p>
    <w:p w14:paraId="4351CBFB">
      <w:pPr>
        <w:pStyle w:val="5"/>
        <w:ind w:firstLineChars="175"/>
        <w:rPr>
          <w:rFonts w:hAnsi="宋体"/>
          <w:sz w:val="24"/>
        </w:rPr>
      </w:pPr>
      <w:r>
        <w:rPr>
          <w:rFonts w:hint="eastAsia" w:hAnsi="宋体"/>
          <w:sz w:val="24"/>
        </w:rPr>
        <w:t>3.6.1.6 投标人应在投标文件中提供证明其所投货物、服务的合格性和符合招标文件规定的相关证明文件。</w:t>
      </w:r>
    </w:p>
    <w:p w14:paraId="2B39885E">
      <w:pPr>
        <w:pStyle w:val="5"/>
        <w:ind w:firstLineChars="175"/>
        <w:rPr>
          <w:rFonts w:hAnsi="宋体"/>
          <w:sz w:val="24"/>
        </w:rPr>
      </w:pPr>
      <w:r>
        <w:rPr>
          <w:rFonts w:hint="eastAsia" w:hAnsi="宋体"/>
          <w:sz w:val="24"/>
        </w:rPr>
        <w:t>3.6.1.7投标人在投标文件中提供的各种证明文件必须真实可靠而且合法有效，并需加盖单位公章。</w:t>
      </w:r>
    </w:p>
    <w:p w14:paraId="2DEEEF22">
      <w:pPr>
        <w:pStyle w:val="5"/>
        <w:ind w:firstLineChars="175"/>
        <w:rPr>
          <w:rFonts w:hAnsi="宋体"/>
          <w:sz w:val="24"/>
        </w:rPr>
      </w:pPr>
      <w:r>
        <w:rPr>
          <w:rFonts w:hint="eastAsia" w:hAnsi="宋体"/>
          <w:sz w:val="24"/>
        </w:rPr>
        <w:t>3.6.1.8投标人应在投标文件中完整表达履行本采购项目的相关技术方案、方法和措施，及证明其中标后具有良好履约能力的说明材料。</w:t>
      </w:r>
    </w:p>
    <w:p w14:paraId="61782F9A">
      <w:pPr>
        <w:pStyle w:val="5"/>
        <w:ind w:firstLineChars="175"/>
        <w:rPr>
          <w:rFonts w:hAnsi="宋体"/>
          <w:sz w:val="24"/>
        </w:rPr>
      </w:pPr>
      <w:r>
        <w:rPr>
          <w:rFonts w:hint="eastAsia" w:hAnsi="宋体"/>
          <w:sz w:val="24"/>
        </w:rPr>
        <w:t>3.6.1.9其他投标人需要补充的材料。</w:t>
      </w:r>
    </w:p>
    <w:p w14:paraId="2A58734E">
      <w:pPr>
        <w:spacing w:line="360" w:lineRule="auto"/>
        <w:ind w:firstLine="480" w:firstLineChars="200"/>
        <w:rPr>
          <w:rFonts w:ascii="宋体" w:hAnsi="宋体"/>
          <w:sz w:val="24"/>
        </w:rPr>
      </w:pPr>
      <w:r>
        <w:rPr>
          <w:rFonts w:hint="eastAsia" w:ascii="宋体" w:hAnsi="宋体"/>
          <w:sz w:val="24"/>
        </w:rPr>
        <w:t>3.6.2投标文件的数量及签署</w:t>
      </w:r>
    </w:p>
    <w:p w14:paraId="476499E8">
      <w:pPr>
        <w:spacing w:line="360" w:lineRule="auto"/>
        <w:ind w:firstLine="480" w:firstLineChars="200"/>
        <w:rPr>
          <w:rFonts w:ascii="宋体" w:hAnsi="宋体"/>
          <w:kern w:val="0"/>
          <w:sz w:val="24"/>
          <w:szCs w:val="20"/>
        </w:rPr>
      </w:pPr>
      <w:r>
        <w:rPr>
          <w:rFonts w:hint="eastAsia" w:ascii="宋体" w:hAnsi="宋体"/>
          <w:sz w:val="24"/>
        </w:rPr>
        <w:t>3.6.2.1纸质版</w:t>
      </w:r>
      <w:r>
        <w:rPr>
          <w:rFonts w:hint="eastAsia" w:ascii="宋体" w:hAnsi="宋体"/>
          <w:kern w:val="0"/>
          <w:sz w:val="24"/>
          <w:szCs w:val="20"/>
        </w:rPr>
        <w:t>投标文件壹式</w:t>
      </w:r>
      <w:r>
        <w:rPr>
          <w:rFonts w:hint="eastAsia" w:ascii="宋体" w:hAnsi="宋体"/>
          <w:kern w:val="0"/>
          <w:sz w:val="24"/>
          <w:szCs w:val="20"/>
          <w:lang w:val="en-US" w:eastAsia="zh-CN"/>
        </w:rPr>
        <w:t>叁</w:t>
      </w:r>
      <w:r>
        <w:rPr>
          <w:rFonts w:hint="eastAsia" w:ascii="宋体" w:hAnsi="宋体"/>
          <w:kern w:val="0"/>
          <w:sz w:val="24"/>
          <w:szCs w:val="20"/>
        </w:rPr>
        <w:t>份，固定装订。其中正本</w:t>
      </w:r>
      <w:r>
        <w:rPr>
          <w:rFonts w:hint="eastAsia" w:ascii="宋体" w:hAnsi="宋体"/>
          <w:b/>
          <w:bCs/>
          <w:kern w:val="0"/>
          <w:sz w:val="24"/>
          <w:szCs w:val="20"/>
        </w:rPr>
        <w:t>壹</w:t>
      </w:r>
      <w:r>
        <w:rPr>
          <w:rFonts w:hint="eastAsia" w:ascii="宋体" w:hAnsi="宋体"/>
          <w:kern w:val="0"/>
          <w:sz w:val="24"/>
          <w:szCs w:val="20"/>
        </w:rPr>
        <w:t>份，副本</w:t>
      </w:r>
      <w:r>
        <w:rPr>
          <w:rFonts w:hint="eastAsia" w:ascii="宋体" w:hAnsi="宋体"/>
          <w:b/>
          <w:bCs/>
          <w:kern w:val="0"/>
          <w:sz w:val="24"/>
          <w:szCs w:val="20"/>
          <w:lang w:val="en-US" w:eastAsia="zh-CN"/>
        </w:rPr>
        <w:t>贰</w:t>
      </w:r>
      <w:r>
        <w:rPr>
          <w:rFonts w:hint="eastAsia" w:ascii="宋体" w:hAnsi="宋体"/>
          <w:kern w:val="0"/>
          <w:sz w:val="24"/>
          <w:szCs w:val="20"/>
        </w:rPr>
        <w:t>份。投标文件电子版U盘壹份</w:t>
      </w:r>
      <w:r>
        <w:rPr>
          <w:rFonts w:hint="eastAsia" w:ascii="宋体" w:hAnsi="宋体"/>
          <w:kern w:val="0"/>
          <w:sz w:val="24"/>
          <w:szCs w:val="20"/>
          <w:lang w:eastAsia="zh-CN"/>
        </w:rPr>
        <w:t>（</w:t>
      </w:r>
      <w:r>
        <w:rPr>
          <w:rFonts w:hint="eastAsia" w:ascii="宋体" w:hAnsi="宋体"/>
          <w:kern w:val="0"/>
          <w:sz w:val="24"/>
          <w:szCs w:val="20"/>
          <w:lang w:val="en-US" w:eastAsia="zh-CN"/>
        </w:rPr>
        <w:t>盖章签字后的正本扫描件</w:t>
      </w:r>
      <w:r>
        <w:rPr>
          <w:rFonts w:hint="eastAsia" w:ascii="宋体" w:hAnsi="宋体"/>
          <w:kern w:val="0"/>
          <w:sz w:val="24"/>
          <w:szCs w:val="20"/>
          <w:lang w:eastAsia="zh-CN"/>
        </w:rPr>
        <w:t>）</w:t>
      </w:r>
      <w:r>
        <w:rPr>
          <w:rFonts w:hint="eastAsia" w:ascii="宋体" w:hAnsi="宋体"/>
          <w:kern w:val="0"/>
          <w:sz w:val="24"/>
          <w:szCs w:val="20"/>
        </w:rPr>
        <w:t>。</w:t>
      </w:r>
    </w:p>
    <w:p w14:paraId="5A979EB8">
      <w:pPr>
        <w:spacing w:line="360" w:lineRule="auto"/>
        <w:ind w:firstLine="480" w:firstLineChars="200"/>
        <w:rPr>
          <w:rFonts w:ascii="宋体" w:hAnsi="宋体"/>
          <w:kern w:val="0"/>
          <w:sz w:val="24"/>
          <w:szCs w:val="20"/>
        </w:rPr>
      </w:pPr>
      <w:r>
        <w:rPr>
          <w:rFonts w:hint="eastAsia" w:ascii="宋体" w:hAnsi="宋体"/>
          <w:kern w:val="0"/>
          <w:sz w:val="24"/>
          <w:szCs w:val="20"/>
        </w:rPr>
        <w:t>3.6.2.2投标文件电子版（PDF格式）必须与纸质版投标文件的正本保持一致，否则自行承担由此带来的一切风险。</w:t>
      </w:r>
    </w:p>
    <w:p w14:paraId="165E3B07">
      <w:pPr>
        <w:spacing w:line="360" w:lineRule="auto"/>
        <w:ind w:firstLine="480" w:firstLineChars="200"/>
        <w:rPr>
          <w:rFonts w:ascii="宋体" w:hAnsi="宋体"/>
          <w:kern w:val="0"/>
          <w:sz w:val="24"/>
          <w:szCs w:val="20"/>
        </w:rPr>
      </w:pPr>
      <w:r>
        <w:rPr>
          <w:rFonts w:hint="eastAsia" w:ascii="宋体" w:hAnsi="宋体"/>
          <w:kern w:val="0"/>
          <w:sz w:val="24"/>
          <w:szCs w:val="20"/>
        </w:rPr>
        <w:t>3.6.2.3</w:t>
      </w:r>
      <w:r>
        <w:rPr>
          <w:rFonts w:hint="eastAsia" w:ascii="宋体" w:hAnsi="宋体"/>
          <w:sz w:val="24"/>
        </w:rPr>
        <w:t>纸质版</w:t>
      </w:r>
      <w:r>
        <w:rPr>
          <w:rFonts w:hint="eastAsia" w:ascii="宋体" w:hAnsi="宋体"/>
          <w:kern w:val="0"/>
          <w:sz w:val="24"/>
          <w:szCs w:val="20"/>
        </w:rPr>
        <w:t>投标文件须按招标文件的要求执行，每份</w:t>
      </w:r>
      <w:r>
        <w:rPr>
          <w:rFonts w:hint="eastAsia" w:ascii="宋体" w:hAnsi="宋体"/>
          <w:sz w:val="24"/>
        </w:rPr>
        <w:t>纸质版</w:t>
      </w:r>
      <w:r>
        <w:rPr>
          <w:rFonts w:hint="eastAsia" w:ascii="宋体" w:hAnsi="宋体"/>
          <w:kern w:val="0"/>
          <w:sz w:val="24"/>
          <w:szCs w:val="20"/>
        </w:rPr>
        <w:t>投标文件均须在封面上清楚标明“正本”或“副本”字样，“正本”和“副本”具有同等的法律效力；“正本”和“副本”之间如有差异，以正本为准。</w:t>
      </w:r>
    </w:p>
    <w:p w14:paraId="4C49CCE9">
      <w:pPr>
        <w:pStyle w:val="5"/>
        <w:ind w:firstLineChars="175"/>
      </w:pPr>
      <w:r>
        <w:rPr>
          <w:rFonts w:hint="eastAsia" w:hAnsi="宋体"/>
          <w:sz w:val="24"/>
        </w:rPr>
        <w:t>3.6.2.4本招标文件第六章“投标文件格式要求”中涉及法定代表人或授权代表签名的资料，须经法定代表人或授权代表签字并加盖单位公章。投标文件中的任何行间重要插字、涂改和增删，必须由法定代表人或授权代表在旁边签字和盖章方才有效。</w:t>
      </w:r>
      <w:r>
        <w:rPr>
          <w:rFonts w:hint="eastAsia" w:hAnsi="宋体" w:cs="宋体"/>
          <w:sz w:val="24"/>
        </w:rPr>
        <w:t>纸质投标文件应使用单位公章加盖骑</w:t>
      </w:r>
      <w:r>
        <w:rPr>
          <w:rFonts w:hint="eastAsia" w:hAnsi="宋体"/>
          <w:sz w:val="24"/>
        </w:rPr>
        <w:t>缝</w:t>
      </w:r>
      <w:r>
        <w:rPr>
          <w:rFonts w:hint="eastAsia" w:hAnsi="宋体" w:cs="宋体"/>
          <w:sz w:val="24"/>
        </w:rPr>
        <w:t>章。</w:t>
      </w:r>
    </w:p>
    <w:p w14:paraId="310DCABA">
      <w:pPr>
        <w:spacing w:line="360" w:lineRule="auto"/>
        <w:ind w:firstLine="480" w:firstLineChars="200"/>
        <w:rPr>
          <w:rFonts w:ascii="宋体" w:hAnsi="宋体"/>
          <w:color w:val="000000"/>
          <w:sz w:val="24"/>
        </w:rPr>
      </w:pPr>
      <w:r>
        <w:rPr>
          <w:rFonts w:hint="eastAsia" w:ascii="宋体" w:hAnsi="宋体"/>
          <w:color w:val="000000"/>
          <w:kern w:val="0"/>
          <w:sz w:val="24"/>
          <w:szCs w:val="20"/>
        </w:rPr>
        <w:t>3.6.3招标文件中《开标一览表》、《资格性审查响应表》、《符合性审查响应表》、《</w:t>
      </w:r>
      <w:r>
        <w:rPr>
          <w:rFonts w:hint="eastAsia" w:ascii="宋体" w:hAnsi="宋体"/>
          <w:color w:val="000000"/>
          <w:kern w:val="0"/>
          <w:sz w:val="24"/>
          <w:szCs w:val="20"/>
          <w:lang w:val="en-US" w:eastAsia="zh-CN"/>
        </w:rPr>
        <w:t>采购需求</w:t>
      </w:r>
      <w:r>
        <w:rPr>
          <w:rFonts w:hint="eastAsia" w:ascii="宋体" w:hAnsi="宋体"/>
          <w:color w:val="000000"/>
          <w:kern w:val="0"/>
          <w:sz w:val="24"/>
          <w:szCs w:val="20"/>
        </w:rPr>
        <w:t>响应表》、《技术、商务评分响应表》等要求盖章的文件需单位加盖公章。</w:t>
      </w:r>
    </w:p>
    <w:p w14:paraId="355545F9">
      <w:pPr>
        <w:spacing w:line="360" w:lineRule="auto"/>
        <w:rPr>
          <w:rFonts w:ascii="宋体" w:hAnsi="宋体"/>
          <w:b/>
          <w:sz w:val="28"/>
        </w:rPr>
      </w:pPr>
      <w:r>
        <w:rPr>
          <w:rFonts w:hint="eastAsia" w:ascii="宋体" w:hAnsi="宋体"/>
          <w:b/>
          <w:sz w:val="28"/>
        </w:rPr>
        <w:t>四、投标文件的密封及递交</w:t>
      </w:r>
    </w:p>
    <w:p w14:paraId="31CF13FE">
      <w:pPr>
        <w:spacing w:line="360" w:lineRule="auto"/>
        <w:rPr>
          <w:rFonts w:ascii="宋体" w:hAnsi="宋体"/>
          <w:b/>
          <w:sz w:val="24"/>
        </w:rPr>
      </w:pPr>
      <w:r>
        <w:rPr>
          <w:rFonts w:hint="eastAsia" w:ascii="宋体" w:hAnsi="宋体"/>
          <w:b/>
          <w:sz w:val="24"/>
        </w:rPr>
        <w:t>4.1投标文件的密封及标记</w:t>
      </w:r>
    </w:p>
    <w:p w14:paraId="3AFFD800">
      <w:pPr>
        <w:pStyle w:val="5"/>
        <w:ind w:firstLineChars="175"/>
        <w:rPr>
          <w:rFonts w:hAnsi="宋体"/>
          <w:sz w:val="24"/>
        </w:rPr>
      </w:pPr>
      <w:r>
        <w:rPr>
          <w:rFonts w:hint="eastAsia" w:hAnsi="宋体"/>
          <w:sz w:val="24"/>
        </w:rPr>
        <w:t>4.1.1投标文件的递交，投标人须按以下方式密封、标记：</w:t>
      </w:r>
    </w:p>
    <w:p w14:paraId="59FB9C85">
      <w:pPr>
        <w:pStyle w:val="5"/>
        <w:ind w:firstLineChars="175"/>
        <w:rPr>
          <w:rFonts w:hAnsi="宋体"/>
          <w:sz w:val="24"/>
        </w:rPr>
      </w:pPr>
      <w:r>
        <w:rPr>
          <w:rFonts w:hint="eastAsia" w:hAnsi="宋体"/>
          <w:sz w:val="24"/>
        </w:rPr>
        <w:t>4.1.2投标人应将纸质版投标文件装订成册，且密封提交。</w:t>
      </w:r>
    </w:p>
    <w:p w14:paraId="0BEFA82A">
      <w:pPr>
        <w:pStyle w:val="5"/>
        <w:ind w:firstLineChars="175"/>
        <w:rPr>
          <w:rFonts w:hAnsi="宋体"/>
          <w:sz w:val="24"/>
        </w:rPr>
      </w:pPr>
      <w:r>
        <w:rPr>
          <w:rFonts w:hint="eastAsia" w:hAnsi="宋体"/>
          <w:sz w:val="24"/>
        </w:rPr>
        <w:t>4.1.3投标人应将投标文件密封在投标专用袋（箱）中（正本一包，副本一包，电子版文件一包），并在投标专用袋（箱）上标明“正本”、“副本”、“投标文件电子版”字样，封口处应加盖骑缝章。</w:t>
      </w:r>
    </w:p>
    <w:p w14:paraId="4573BC17">
      <w:pPr>
        <w:widowControl/>
        <w:spacing w:line="360" w:lineRule="auto"/>
        <w:ind w:firstLine="480" w:firstLineChars="200"/>
        <w:rPr>
          <w:rFonts w:ascii="宋体" w:hAnsi="宋体"/>
          <w:kern w:val="0"/>
          <w:sz w:val="24"/>
          <w:szCs w:val="20"/>
        </w:rPr>
      </w:pPr>
      <w:r>
        <w:rPr>
          <w:rFonts w:hint="eastAsia" w:ascii="宋体" w:hAnsi="宋体"/>
          <w:kern w:val="0"/>
          <w:sz w:val="24"/>
          <w:szCs w:val="20"/>
        </w:rPr>
        <w:t>4.1.4投标专用袋（箱）封面上须注明：</w:t>
      </w:r>
    </w:p>
    <w:p w14:paraId="171E631C">
      <w:pPr>
        <w:widowControl/>
        <w:spacing w:line="360" w:lineRule="auto"/>
        <w:rPr>
          <w:rFonts w:ascii="宋体" w:hAnsi="宋体"/>
          <w:kern w:val="0"/>
          <w:sz w:val="24"/>
          <w:szCs w:val="20"/>
        </w:rPr>
      </w:pPr>
      <w:r>
        <w:rPr>
          <w:rFonts w:hint="eastAsia" w:ascii="宋体" w:hAnsi="宋体"/>
          <w:kern w:val="0"/>
          <w:sz w:val="24"/>
          <w:szCs w:val="20"/>
        </w:rPr>
        <w:t xml:space="preserve">    （l）项目编号及项目名称；</w:t>
      </w:r>
    </w:p>
    <w:p w14:paraId="4C32D955">
      <w:pPr>
        <w:widowControl/>
        <w:spacing w:line="360" w:lineRule="auto"/>
        <w:ind w:firstLine="465"/>
        <w:rPr>
          <w:rFonts w:ascii="宋体" w:hAnsi="宋体"/>
          <w:kern w:val="0"/>
          <w:sz w:val="24"/>
        </w:rPr>
      </w:pPr>
      <w:r>
        <w:rPr>
          <w:rFonts w:hint="eastAsia" w:ascii="宋体" w:hAnsi="宋体"/>
          <w:kern w:val="0"/>
          <w:sz w:val="24"/>
        </w:rPr>
        <w:t>（2）分包号（如有的话）；</w:t>
      </w:r>
    </w:p>
    <w:p w14:paraId="0E5ABF9D">
      <w:pPr>
        <w:widowControl/>
        <w:spacing w:line="360" w:lineRule="auto"/>
        <w:ind w:firstLine="465"/>
        <w:rPr>
          <w:rFonts w:ascii="宋体" w:hAnsi="宋体"/>
          <w:kern w:val="0"/>
          <w:sz w:val="24"/>
        </w:rPr>
      </w:pPr>
      <w:r>
        <w:rPr>
          <w:rFonts w:hint="eastAsia" w:ascii="宋体" w:hAnsi="宋体"/>
          <w:kern w:val="0"/>
          <w:sz w:val="24"/>
        </w:rPr>
        <w:t>（3）标明：“开标前不得启封”</w:t>
      </w:r>
    </w:p>
    <w:p w14:paraId="63B3623F">
      <w:pPr>
        <w:widowControl/>
        <w:spacing w:line="360" w:lineRule="auto"/>
        <w:rPr>
          <w:rFonts w:ascii="宋体" w:hAnsi="宋体"/>
          <w:kern w:val="0"/>
          <w:sz w:val="24"/>
        </w:rPr>
      </w:pPr>
      <w:r>
        <w:rPr>
          <w:rFonts w:hint="eastAsia" w:ascii="宋体" w:hAnsi="宋体"/>
          <w:kern w:val="0"/>
          <w:sz w:val="24"/>
        </w:rPr>
        <w:t xml:space="preserve">    （4）投标人的名称、地址、联系人、电话。</w:t>
      </w:r>
    </w:p>
    <w:p w14:paraId="6CF60A14">
      <w:pPr>
        <w:pStyle w:val="5"/>
        <w:ind w:firstLineChars="175"/>
        <w:rPr>
          <w:rFonts w:hAnsi="宋体"/>
          <w:b/>
          <w:bCs/>
          <w:sz w:val="24"/>
        </w:rPr>
      </w:pPr>
      <w:r>
        <w:rPr>
          <w:rFonts w:hint="eastAsia" w:hAnsi="宋体"/>
          <w:sz w:val="24"/>
        </w:rPr>
        <w:t>4.1.5投标文件未密封的，</w:t>
      </w:r>
      <w:r>
        <w:rPr>
          <w:rFonts w:hAnsi="宋体"/>
          <w:sz w:val="24"/>
        </w:rPr>
        <w:t>采购代理机构将拒绝</w:t>
      </w:r>
      <w:r>
        <w:rPr>
          <w:rFonts w:hint="eastAsia" w:hAnsi="宋体"/>
          <w:sz w:val="24"/>
        </w:rPr>
        <w:t>接收</w:t>
      </w:r>
      <w:r>
        <w:rPr>
          <w:rFonts w:hAnsi="宋体"/>
          <w:sz w:val="24"/>
        </w:rPr>
        <w:t>其</w:t>
      </w:r>
      <w:r>
        <w:rPr>
          <w:rFonts w:hint="eastAsia" w:hAnsi="宋体"/>
          <w:sz w:val="24"/>
        </w:rPr>
        <w:t>投标文件。投标专用袋（箱）未按第4.1.3、4.1.4条规定标注的，采购代理机构不对投标文件被错放或先期启封负责。</w:t>
      </w:r>
    </w:p>
    <w:p w14:paraId="360837F5">
      <w:pPr>
        <w:pStyle w:val="5"/>
        <w:ind w:firstLine="0"/>
        <w:rPr>
          <w:rFonts w:hAnsi="宋体"/>
          <w:b/>
          <w:bCs/>
          <w:sz w:val="24"/>
        </w:rPr>
      </w:pPr>
      <w:r>
        <w:rPr>
          <w:rFonts w:hint="eastAsia" w:hAnsi="宋体"/>
          <w:b/>
          <w:bCs/>
          <w:sz w:val="24"/>
        </w:rPr>
        <w:t>4.2投标文件的递交</w:t>
      </w:r>
    </w:p>
    <w:p w14:paraId="64A4E740">
      <w:pPr>
        <w:pStyle w:val="5"/>
        <w:ind w:firstLineChars="175"/>
        <w:rPr>
          <w:rFonts w:hAnsi="宋体" w:cs="宋体"/>
          <w:sz w:val="24"/>
        </w:rPr>
      </w:pPr>
      <w:r>
        <w:rPr>
          <w:rFonts w:hint="eastAsia" w:hAnsi="宋体" w:cs="宋体"/>
          <w:sz w:val="24"/>
        </w:rPr>
        <w:t>4.2.1递交方式及地址：详见“第一章 招标公告”。</w:t>
      </w:r>
    </w:p>
    <w:p w14:paraId="5A5C48C4">
      <w:pPr>
        <w:pStyle w:val="5"/>
        <w:ind w:firstLineChars="175"/>
        <w:rPr>
          <w:rFonts w:hAnsi="宋体" w:cs="宋体"/>
          <w:sz w:val="24"/>
        </w:rPr>
      </w:pPr>
      <w:r>
        <w:rPr>
          <w:rFonts w:hint="eastAsia" w:hAnsi="宋体" w:cs="宋体"/>
          <w:sz w:val="24"/>
        </w:rPr>
        <w:t>4.2.2逾期送达的，或者未送达指定地点，以及未按指定方式送达的投标文件，采购代理机构不予受理。</w:t>
      </w:r>
    </w:p>
    <w:p w14:paraId="288E0A44">
      <w:pPr>
        <w:pStyle w:val="5"/>
        <w:ind w:firstLineChars="175"/>
        <w:rPr>
          <w:rFonts w:hAnsi="宋体" w:cs="宋体"/>
          <w:sz w:val="24"/>
        </w:rPr>
      </w:pPr>
      <w:r>
        <w:rPr>
          <w:rFonts w:hint="eastAsia" w:hAnsi="宋体" w:cs="宋体"/>
          <w:sz w:val="24"/>
        </w:rPr>
        <w:t>4.2.3 采购代理机构可根据需要调整文件递交时间，文件递交时间改变将会通过网络方式进行公告或书面通知已</w:t>
      </w:r>
      <w:r>
        <w:rPr>
          <w:rFonts w:hAnsi="宋体" w:cs="宋体"/>
          <w:sz w:val="24"/>
        </w:rPr>
        <w:t>报名</w:t>
      </w:r>
      <w:r>
        <w:rPr>
          <w:rFonts w:hint="eastAsia" w:hAnsi="宋体" w:cs="宋体"/>
          <w:sz w:val="24"/>
        </w:rPr>
        <w:t>的投标人。</w:t>
      </w:r>
    </w:p>
    <w:p w14:paraId="40809D1C">
      <w:pPr>
        <w:pStyle w:val="5"/>
        <w:ind w:firstLineChars="175"/>
        <w:rPr>
          <w:rFonts w:hAnsi="宋体"/>
          <w:sz w:val="24"/>
        </w:rPr>
      </w:pPr>
      <w:r>
        <w:rPr>
          <w:rFonts w:hint="eastAsia" w:hAnsi="宋体"/>
          <w:sz w:val="24"/>
        </w:rPr>
        <w:t>4.2.4投标文件将不予退还。</w:t>
      </w:r>
    </w:p>
    <w:p w14:paraId="53E98C77">
      <w:pPr>
        <w:pStyle w:val="44"/>
        <w:tabs>
          <w:tab w:val="left" w:pos="420"/>
        </w:tabs>
        <w:spacing w:beforeLines="50" w:line="360" w:lineRule="auto"/>
        <w:ind w:left="770" w:leftChars="29"/>
        <w:rPr>
          <w:b/>
          <w:sz w:val="24"/>
          <w:szCs w:val="24"/>
        </w:rPr>
      </w:pPr>
      <w:r>
        <w:rPr>
          <w:rFonts w:hint="eastAsia"/>
          <w:b/>
          <w:sz w:val="24"/>
          <w:szCs w:val="24"/>
        </w:rPr>
        <w:t>4.3修改与重投</w:t>
      </w:r>
    </w:p>
    <w:p w14:paraId="61F11B30">
      <w:pPr>
        <w:pStyle w:val="5"/>
        <w:ind w:firstLine="480" w:firstLineChars="200"/>
        <w:rPr>
          <w:rFonts w:hAnsi="宋体"/>
          <w:sz w:val="24"/>
        </w:rPr>
      </w:pPr>
      <w:r>
        <w:rPr>
          <w:rFonts w:hint="eastAsia" w:hAnsi="宋体"/>
          <w:sz w:val="24"/>
        </w:rPr>
        <w:t>4.3.1投标人在递交投标文件截止时间前</w:t>
      </w:r>
      <w:r>
        <w:rPr>
          <w:rFonts w:hAnsi="宋体"/>
          <w:sz w:val="24"/>
        </w:rPr>
        <w:t>可修改或撤回其递交的</w:t>
      </w:r>
      <w:r>
        <w:rPr>
          <w:rFonts w:hint="eastAsia" w:hAnsi="宋体"/>
          <w:sz w:val="24"/>
        </w:rPr>
        <w:t>投标文件。</w:t>
      </w:r>
      <w:r>
        <w:rPr>
          <w:rFonts w:hAnsi="宋体"/>
          <w:sz w:val="24"/>
        </w:rPr>
        <w:t>修改的</w:t>
      </w:r>
      <w:r>
        <w:rPr>
          <w:rFonts w:hint="eastAsia" w:hAnsi="宋体"/>
          <w:sz w:val="24"/>
        </w:rPr>
        <w:t>响应</w:t>
      </w:r>
      <w:r>
        <w:rPr>
          <w:rFonts w:hAnsi="宋体"/>
          <w:sz w:val="24"/>
        </w:rPr>
        <w:t>内容应按规定密封、签署及标记</w:t>
      </w:r>
      <w:r>
        <w:rPr>
          <w:rFonts w:hint="eastAsia" w:hAnsi="宋体"/>
          <w:sz w:val="24"/>
        </w:rPr>
        <w:t>“修改”字样，并按规定要求递交；撤回文件时应向采购代理机构提出撤回申请，经同意后将投标人所提交的投标文件原封退回。</w:t>
      </w:r>
    </w:p>
    <w:p w14:paraId="7557A0FB">
      <w:pPr>
        <w:spacing w:line="380" w:lineRule="exact"/>
        <w:ind w:firstLine="480" w:firstLineChars="200"/>
        <w:rPr>
          <w:rFonts w:ascii="宋体" w:hAnsi="宋体"/>
          <w:sz w:val="24"/>
        </w:rPr>
      </w:pPr>
      <w:r>
        <w:rPr>
          <w:rFonts w:hint="eastAsia" w:ascii="宋体" w:hAnsi="宋体"/>
          <w:kern w:val="0"/>
          <w:sz w:val="24"/>
          <w:szCs w:val="20"/>
        </w:rPr>
        <w:t>4.3.2投标人不得在递交投标</w:t>
      </w:r>
      <w:r>
        <w:rPr>
          <w:rFonts w:hint="eastAsia" w:ascii="宋体" w:hAnsi="宋体"/>
          <w:sz w:val="24"/>
        </w:rPr>
        <w:t>文件截止时间以后修改投标文件。</w:t>
      </w:r>
    </w:p>
    <w:p w14:paraId="75C45493">
      <w:pPr>
        <w:spacing w:before="100" w:beforeAutospacing="1" w:line="360" w:lineRule="auto"/>
        <w:rPr>
          <w:rFonts w:ascii="宋体" w:hAnsi="宋体"/>
          <w:b/>
          <w:sz w:val="32"/>
          <w:szCs w:val="32"/>
        </w:rPr>
      </w:pPr>
      <w:bookmarkStart w:id="11" w:name="_Toc20235"/>
      <w:r>
        <w:rPr>
          <w:rFonts w:hint="eastAsia" w:ascii="宋体" w:hAnsi="宋体"/>
          <w:b/>
          <w:sz w:val="32"/>
          <w:szCs w:val="32"/>
        </w:rPr>
        <w:t>五、开 标</w:t>
      </w:r>
      <w:bookmarkEnd w:id="11"/>
    </w:p>
    <w:p w14:paraId="17F03D6A">
      <w:pPr>
        <w:pStyle w:val="44"/>
        <w:tabs>
          <w:tab w:val="left" w:pos="420"/>
        </w:tabs>
        <w:spacing w:beforeLines="50" w:line="360" w:lineRule="auto"/>
        <w:ind w:left="770" w:leftChars="29"/>
        <w:rPr>
          <w:b/>
          <w:sz w:val="24"/>
          <w:szCs w:val="24"/>
        </w:rPr>
      </w:pPr>
      <w:r>
        <w:rPr>
          <w:rFonts w:hint="eastAsia"/>
          <w:b/>
          <w:sz w:val="24"/>
          <w:szCs w:val="24"/>
        </w:rPr>
        <w:t>5.1 开标时间和地点</w:t>
      </w:r>
    </w:p>
    <w:p w14:paraId="78DA57C2">
      <w:pPr>
        <w:pStyle w:val="5"/>
        <w:ind w:firstLineChars="175"/>
        <w:rPr>
          <w:rFonts w:hAnsi="宋体"/>
          <w:sz w:val="24"/>
        </w:rPr>
      </w:pPr>
      <w:r>
        <w:rPr>
          <w:rFonts w:hAnsi="宋体"/>
          <w:sz w:val="24"/>
        </w:rPr>
        <w:t>5.1.1</w:t>
      </w:r>
      <w:r>
        <w:rPr>
          <w:rFonts w:hint="eastAsia" w:hAnsi="宋体"/>
          <w:sz w:val="24"/>
        </w:rPr>
        <w:t xml:space="preserve"> 采购代理机构将按照招标公告或更正公告约定的时间和地点进行公开开标, 采购代理机构有权邀请政府采购监管部门、纪检、监察、审计等有关单位代表出席开标会。</w:t>
      </w:r>
    </w:p>
    <w:p w14:paraId="4E712295">
      <w:pPr>
        <w:pStyle w:val="5"/>
        <w:ind w:firstLineChars="175"/>
        <w:rPr>
          <w:rFonts w:hAnsi="宋体"/>
          <w:sz w:val="24"/>
        </w:rPr>
      </w:pPr>
      <w:r>
        <w:rPr>
          <w:rFonts w:hint="eastAsia" w:hAnsi="宋体"/>
          <w:sz w:val="24"/>
        </w:rPr>
        <w:t>5.1.2 开标由采购人或采购代理机构主持，邀请投标人参加。评标委员会成员（专家）不得参加开标活动。</w:t>
      </w:r>
    </w:p>
    <w:p w14:paraId="7E529D43">
      <w:pPr>
        <w:pStyle w:val="5"/>
        <w:ind w:firstLineChars="175"/>
        <w:rPr>
          <w:rFonts w:hAnsi="宋体"/>
          <w:sz w:val="24"/>
        </w:rPr>
      </w:pPr>
      <w:r>
        <w:rPr>
          <w:rFonts w:hint="eastAsia" w:hAnsi="宋体"/>
          <w:sz w:val="24"/>
        </w:rPr>
        <w:t>5.1.3 出席开标现场的代表必须携带身份证。</w:t>
      </w:r>
    </w:p>
    <w:p w14:paraId="60BCADCE">
      <w:pPr>
        <w:pStyle w:val="5"/>
        <w:ind w:firstLineChars="175"/>
        <w:rPr>
          <w:rFonts w:hAnsi="宋体"/>
          <w:sz w:val="24"/>
        </w:rPr>
      </w:pPr>
      <w:r>
        <w:rPr>
          <w:rFonts w:hint="eastAsia" w:hAnsi="宋体"/>
          <w:sz w:val="24"/>
        </w:rPr>
        <w:t>5.1.4投标人应派其法定代表人或其授权代表准时参加开标会，并代表投标人进行签到、确认开标报告等工作，否则其</w:t>
      </w:r>
      <w:r>
        <w:rPr>
          <w:rFonts w:hint="eastAsia" w:hAnsi="宋体"/>
          <w:b/>
          <w:sz w:val="24"/>
        </w:rPr>
        <w:t>投标将被视作无效</w:t>
      </w:r>
      <w:r>
        <w:rPr>
          <w:rFonts w:hint="eastAsia" w:hAnsi="宋体"/>
          <w:sz w:val="24"/>
        </w:rPr>
        <w:t>。</w:t>
      </w:r>
    </w:p>
    <w:p w14:paraId="6F228306">
      <w:pPr>
        <w:pStyle w:val="5"/>
        <w:ind w:firstLine="240" w:firstLineChars="100"/>
        <w:rPr>
          <w:b/>
          <w:sz w:val="24"/>
          <w:szCs w:val="24"/>
        </w:rPr>
      </w:pPr>
      <w:r>
        <w:rPr>
          <w:rFonts w:hint="eastAsia" w:hAnsi="宋体"/>
          <w:sz w:val="24"/>
        </w:rPr>
        <w:t>（注：以上5.1.1、5.1.2项如更正公告有新的约定，则按最后更正公告的约定进行。）</w:t>
      </w:r>
    </w:p>
    <w:p w14:paraId="73F531C5">
      <w:pPr>
        <w:pStyle w:val="44"/>
        <w:tabs>
          <w:tab w:val="left" w:pos="420"/>
        </w:tabs>
        <w:spacing w:beforeLines="50" w:line="360" w:lineRule="auto"/>
        <w:ind w:left="770" w:leftChars="29"/>
        <w:rPr>
          <w:b/>
          <w:sz w:val="24"/>
          <w:szCs w:val="24"/>
        </w:rPr>
      </w:pPr>
      <w:r>
        <w:rPr>
          <w:rFonts w:hint="eastAsia"/>
          <w:b/>
          <w:sz w:val="24"/>
          <w:szCs w:val="24"/>
        </w:rPr>
        <w:t>5.2 开标程序</w:t>
      </w:r>
    </w:p>
    <w:p w14:paraId="2C41AB89">
      <w:pPr>
        <w:pStyle w:val="44"/>
        <w:tabs>
          <w:tab w:val="left" w:pos="420"/>
        </w:tabs>
        <w:spacing w:beforeLines="50" w:line="360" w:lineRule="auto"/>
        <w:ind w:left="0" w:firstLine="506"/>
        <w:rPr>
          <w:b/>
          <w:sz w:val="24"/>
          <w:szCs w:val="24"/>
        </w:rPr>
      </w:pPr>
      <w:r>
        <w:rPr>
          <w:rFonts w:hint="eastAsia"/>
          <w:kern w:val="2"/>
          <w:sz w:val="24"/>
          <w:szCs w:val="22"/>
        </w:rPr>
        <w:t>到递交投标文件截止时间，递交投标文件的</w:t>
      </w:r>
      <w:r>
        <w:rPr>
          <w:rFonts w:hint="eastAsia"/>
          <w:sz w:val="24"/>
        </w:rPr>
        <w:t>投标人</w:t>
      </w:r>
      <w:r>
        <w:rPr>
          <w:rFonts w:hint="eastAsia"/>
          <w:kern w:val="2"/>
          <w:sz w:val="24"/>
          <w:szCs w:val="22"/>
        </w:rPr>
        <w:t>不足三家的，不开标，项目按废标处理。达到三家的按以下程序进行开标。</w:t>
      </w:r>
    </w:p>
    <w:p w14:paraId="6082979D">
      <w:pPr>
        <w:pStyle w:val="5"/>
        <w:ind w:firstLine="480" w:firstLineChars="200"/>
        <w:rPr>
          <w:rFonts w:hAnsi="宋体"/>
          <w:sz w:val="24"/>
        </w:rPr>
      </w:pPr>
      <w:r>
        <w:rPr>
          <w:rFonts w:hint="eastAsia" w:hAnsi="宋体"/>
          <w:sz w:val="24"/>
        </w:rPr>
        <w:t xml:space="preserve">5.2.1 </w:t>
      </w:r>
      <w:r>
        <w:rPr>
          <w:rFonts w:hint="eastAsia"/>
          <w:sz w:val="24"/>
          <w:szCs w:val="22"/>
        </w:rPr>
        <w:t>按招标公告或更正公告规定的时间进行签到</w:t>
      </w:r>
      <w:r>
        <w:rPr>
          <w:rFonts w:hint="eastAsia" w:hAnsi="宋体"/>
          <w:sz w:val="24"/>
        </w:rPr>
        <w:t>。</w:t>
      </w:r>
    </w:p>
    <w:p w14:paraId="3A38E78B">
      <w:pPr>
        <w:pStyle w:val="5"/>
        <w:ind w:firstLine="480" w:firstLineChars="200"/>
        <w:rPr>
          <w:rFonts w:hAnsi="宋体"/>
          <w:sz w:val="24"/>
        </w:rPr>
      </w:pPr>
      <w:r>
        <w:rPr>
          <w:rFonts w:hint="eastAsia" w:hAnsi="宋体"/>
          <w:sz w:val="24"/>
        </w:rPr>
        <w:t>5.2.2 宣布开标纪律及参会人员。</w:t>
      </w:r>
    </w:p>
    <w:p w14:paraId="099EEE3F">
      <w:pPr>
        <w:pStyle w:val="5"/>
        <w:ind w:firstLine="480" w:firstLineChars="200"/>
        <w:rPr>
          <w:rFonts w:hAnsi="宋体"/>
          <w:sz w:val="24"/>
        </w:rPr>
      </w:pPr>
      <w:r>
        <w:rPr>
          <w:rFonts w:hint="eastAsia" w:hAnsi="宋体"/>
          <w:sz w:val="24"/>
        </w:rPr>
        <w:t>5.2.3公布投标人名称，由投标人或者其推选的代表检查投标文件的密封情况。经确认无误后，由采购人或采购代理机构工作人员当众拆封。</w:t>
      </w:r>
    </w:p>
    <w:p w14:paraId="254A1266">
      <w:pPr>
        <w:pStyle w:val="5"/>
        <w:ind w:firstLine="480" w:firstLineChars="200"/>
        <w:rPr>
          <w:rFonts w:hAnsi="宋体"/>
          <w:sz w:val="24"/>
        </w:rPr>
      </w:pPr>
      <w:r>
        <w:rPr>
          <w:rFonts w:hint="eastAsia" w:hAnsi="宋体"/>
          <w:sz w:val="24"/>
        </w:rPr>
        <w:t>5.2.4唱标，投标人浏览唱标信息。</w:t>
      </w:r>
    </w:p>
    <w:p w14:paraId="260A2C4F">
      <w:pPr>
        <w:pStyle w:val="5"/>
        <w:ind w:firstLine="480" w:firstLineChars="200"/>
        <w:rPr>
          <w:rFonts w:hAnsi="宋体"/>
          <w:sz w:val="24"/>
        </w:rPr>
      </w:pPr>
      <w:r>
        <w:rPr>
          <w:rFonts w:hint="eastAsia" w:hAnsi="宋体"/>
          <w:sz w:val="24"/>
        </w:rPr>
        <w:t>5.2.5 产生开标报告，阅读开标报告，签署开标报告。</w:t>
      </w:r>
    </w:p>
    <w:p w14:paraId="50365777">
      <w:pPr>
        <w:pStyle w:val="5"/>
        <w:ind w:firstLine="480" w:firstLineChars="200"/>
        <w:rPr>
          <w:rFonts w:hAnsi="宋体"/>
          <w:sz w:val="24"/>
        </w:rPr>
      </w:pPr>
      <w:r>
        <w:rPr>
          <w:rFonts w:hint="eastAsia" w:hAnsi="宋体"/>
          <w:sz w:val="24"/>
        </w:rPr>
        <w:t>5.2.6 开标结束。</w:t>
      </w:r>
    </w:p>
    <w:p w14:paraId="705ED74B">
      <w:pPr>
        <w:pStyle w:val="5"/>
        <w:ind w:firstLineChars="175"/>
        <w:rPr>
          <w:rFonts w:hAnsi="宋体"/>
          <w:sz w:val="24"/>
        </w:rPr>
      </w:pPr>
      <w:r>
        <w:rPr>
          <w:rFonts w:hint="eastAsia" w:hAnsi="宋体"/>
          <w:sz w:val="24"/>
        </w:rPr>
        <w:t>5.2.7开标过程应当由采购人或采购代理机构负责记录，由参加开标的各投标人和相关工作人员签字确认后随招标文件一并存档。投标人代表对开标过程和开标报告有疑义，以及认为采购人、采购代理机构相关工作人员有需要回避的情形的，应当场提出询问或者回避申请。采购人、采购代理机构对投标人代表提出的询问或者回避申请应当及时处理。</w:t>
      </w:r>
    </w:p>
    <w:p w14:paraId="24E579D9">
      <w:pPr>
        <w:pStyle w:val="44"/>
        <w:tabs>
          <w:tab w:val="left" w:pos="420"/>
        </w:tabs>
        <w:spacing w:beforeLines="50" w:line="360" w:lineRule="auto"/>
        <w:ind w:left="770" w:leftChars="29"/>
        <w:rPr>
          <w:b/>
          <w:sz w:val="24"/>
          <w:szCs w:val="24"/>
        </w:rPr>
      </w:pPr>
      <w:bookmarkStart w:id="12" w:name="_5.4_开标时出现下列情况的，招标人将拒绝其投标。"/>
      <w:bookmarkEnd w:id="12"/>
      <w:bookmarkStart w:id="13" w:name="_Toc266951078"/>
      <w:r>
        <w:rPr>
          <w:rFonts w:hint="eastAsia"/>
          <w:b/>
          <w:sz w:val="24"/>
          <w:szCs w:val="24"/>
        </w:rPr>
        <w:t>5.3 出现下列情形之一的，将导致投标人本次投标无效。</w:t>
      </w:r>
      <w:bookmarkEnd w:id="13"/>
    </w:p>
    <w:p w14:paraId="766AF779">
      <w:pPr>
        <w:pStyle w:val="5"/>
        <w:ind w:left="420" w:firstLine="0"/>
        <w:rPr>
          <w:rFonts w:hAnsi="宋体"/>
          <w:sz w:val="24"/>
          <w:szCs w:val="24"/>
        </w:rPr>
      </w:pPr>
      <w:r>
        <w:rPr>
          <w:rFonts w:hint="eastAsia" w:hAnsi="宋体"/>
          <w:sz w:val="24"/>
          <w:szCs w:val="24"/>
        </w:rPr>
        <w:t>（1）投标文件未按规定要求提交的；</w:t>
      </w:r>
    </w:p>
    <w:p w14:paraId="5A139E64">
      <w:pPr>
        <w:pStyle w:val="5"/>
        <w:ind w:left="426" w:firstLine="0"/>
        <w:rPr>
          <w:rFonts w:hAnsi="宋体"/>
          <w:sz w:val="24"/>
        </w:rPr>
      </w:pPr>
      <w:r>
        <w:rPr>
          <w:rFonts w:hint="eastAsia" w:hAnsi="宋体"/>
          <w:sz w:val="24"/>
        </w:rPr>
        <w:t>（</w:t>
      </w:r>
      <w:r>
        <w:rPr>
          <w:rFonts w:hint="eastAsia" w:hAnsi="宋体"/>
          <w:sz w:val="24"/>
          <w:lang w:val="en-US" w:eastAsia="zh-CN"/>
        </w:rPr>
        <w:t>2</w:t>
      </w:r>
      <w:r>
        <w:rPr>
          <w:rFonts w:hint="eastAsia" w:hAnsi="宋体"/>
          <w:sz w:val="24"/>
        </w:rPr>
        <w:t>）不满足“申请人的资格要求</w:t>
      </w:r>
      <w:r>
        <w:rPr>
          <w:rFonts w:hint="eastAsia" w:hAnsi="宋体" w:cs="Tahoma"/>
          <w:sz w:val="24"/>
        </w:rPr>
        <w:t>”或</w:t>
      </w:r>
      <w:r>
        <w:rPr>
          <w:rFonts w:hint="eastAsia" w:hAnsi="宋体"/>
          <w:sz w:val="24"/>
        </w:rPr>
        <w:t>未按要求提供“申请人的资格要求</w:t>
      </w:r>
      <w:r>
        <w:rPr>
          <w:rFonts w:hint="eastAsia" w:hAnsi="宋体" w:cs="Tahoma"/>
          <w:sz w:val="24"/>
        </w:rPr>
        <w:t>”</w:t>
      </w:r>
      <w:r>
        <w:rPr>
          <w:rFonts w:hint="eastAsia" w:hAnsi="宋体"/>
          <w:sz w:val="24"/>
        </w:rPr>
        <w:t>中的有效证明文件的；</w:t>
      </w:r>
    </w:p>
    <w:p w14:paraId="3C4A37F3">
      <w:pPr>
        <w:tabs>
          <w:tab w:val="left" w:pos="720"/>
          <w:tab w:val="left" w:pos="1030"/>
        </w:tabs>
        <w:spacing w:line="440" w:lineRule="exact"/>
        <w:ind w:left="426"/>
        <w:rPr>
          <w:rFonts w:ascii="宋体" w:hAnsi="宋体"/>
          <w:sz w:val="24"/>
        </w:rPr>
      </w:pPr>
      <w:r>
        <w:rPr>
          <w:rFonts w:hint="eastAsia" w:ascii="宋体" w:hAnsi="宋体"/>
          <w:sz w:val="24"/>
        </w:rPr>
        <w:t>（</w:t>
      </w:r>
      <w:r>
        <w:rPr>
          <w:rFonts w:hint="eastAsia" w:ascii="宋体" w:hAnsi="宋体"/>
          <w:sz w:val="24"/>
          <w:lang w:val="en-US" w:eastAsia="zh-CN"/>
        </w:rPr>
        <w:t>3</w:t>
      </w:r>
      <w:r>
        <w:rPr>
          <w:rFonts w:hint="eastAsia" w:ascii="宋体" w:hAnsi="宋体"/>
          <w:sz w:val="24"/>
        </w:rPr>
        <w:t>）投标文件未按招标文件规定要求签署及盖章的；</w:t>
      </w:r>
    </w:p>
    <w:p w14:paraId="111145F0">
      <w:pPr>
        <w:spacing w:line="440" w:lineRule="exact"/>
        <w:ind w:left="426"/>
        <w:rPr>
          <w:rFonts w:ascii="宋体" w:hAnsi="宋体"/>
          <w:sz w:val="24"/>
        </w:rPr>
      </w:pPr>
      <w:r>
        <w:rPr>
          <w:rFonts w:hint="eastAsia" w:ascii="宋体" w:hAnsi="宋体"/>
          <w:sz w:val="24"/>
        </w:rPr>
        <w:t>（</w:t>
      </w:r>
      <w:r>
        <w:rPr>
          <w:rFonts w:hint="eastAsia" w:ascii="宋体" w:hAnsi="宋体"/>
          <w:sz w:val="24"/>
          <w:lang w:val="en-US" w:eastAsia="zh-CN"/>
        </w:rPr>
        <w:t>4</w:t>
      </w:r>
      <w:r>
        <w:rPr>
          <w:rFonts w:hint="eastAsia" w:ascii="宋体" w:hAnsi="宋体"/>
          <w:sz w:val="24"/>
        </w:rPr>
        <w:t>）不满足招标文件中规定的其他实质性要求和条件的；</w:t>
      </w:r>
    </w:p>
    <w:p w14:paraId="2B9B8D20">
      <w:pPr>
        <w:spacing w:line="440" w:lineRule="exact"/>
        <w:ind w:left="426"/>
        <w:rPr>
          <w:rFonts w:ascii="宋体" w:hAnsi="宋体"/>
          <w:sz w:val="24"/>
        </w:rPr>
      </w:pPr>
      <w:r>
        <w:rPr>
          <w:rFonts w:hint="eastAsia" w:ascii="宋体" w:hAnsi="宋体"/>
          <w:sz w:val="24"/>
        </w:rPr>
        <w:t>（</w:t>
      </w:r>
      <w:r>
        <w:rPr>
          <w:rFonts w:hint="eastAsia" w:ascii="宋体" w:hAnsi="宋体"/>
          <w:sz w:val="24"/>
          <w:lang w:val="en-US" w:eastAsia="zh-CN"/>
        </w:rPr>
        <w:t>5</w:t>
      </w:r>
      <w:r>
        <w:rPr>
          <w:rFonts w:hint="eastAsia" w:ascii="宋体" w:hAnsi="宋体"/>
          <w:sz w:val="24"/>
        </w:rPr>
        <w:t>）投标文件含有采购人不能接受的附加条件的；</w:t>
      </w:r>
    </w:p>
    <w:p w14:paraId="0A16B4E5">
      <w:pPr>
        <w:spacing w:line="440" w:lineRule="exact"/>
        <w:ind w:left="426"/>
        <w:rPr>
          <w:rFonts w:ascii="宋体" w:hAnsi="宋体"/>
          <w:sz w:val="24"/>
        </w:rPr>
      </w:pPr>
      <w:r>
        <w:rPr>
          <w:rFonts w:hint="eastAsia" w:ascii="宋体" w:hAnsi="宋体"/>
          <w:sz w:val="24"/>
        </w:rPr>
        <w:t>（</w:t>
      </w:r>
      <w:r>
        <w:rPr>
          <w:rFonts w:hint="eastAsia" w:ascii="宋体" w:hAnsi="宋体"/>
          <w:sz w:val="24"/>
          <w:lang w:val="en-US" w:eastAsia="zh-CN"/>
        </w:rPr>
        <w:t>6</w:t>
      </w:r>
      <w:r>
        <w:rPr>
          <w:rFonts w:hint="eastAsia" w:ascii="宋体" w:hAnsi="宋体"/>
          <w:sz w:val="24"/>
        </w:rPr>
        <w:t>）属于招标文件中规定的串通投标的情形的；</w:t>
      </w:r>
    </w:p>
    <w:p w14:paraId="176054DE">
      <w:pPr>
        <w:spacing w:line="440" w:lineRule="exact"/>
        <w:ind w:left="426"/>
        <w:rPr>
          <w:rFonts w:ascii="宋体" w:hAnsi="宋体"/>
          <w:sz w:val="24"/>
        </w:rPr>
      </w:pPr>
      <w:r>
        <w:rPr>
          <w:rFonts w:hint="eastAsia" w:ascii="宋体" w:hAnsi="宋体"/>
          <w:sz w:val="24"/>
        </w:rPr>
        <w:t>（</w:t>
      </w:r>
      <w:r>
        <w:rPr>
          <w:rFonts w:hint="eastAsia" w:ascii="宋体" w:hAnsi="宋体"/>
          <w:sz w:val="24"/>
          <w:lang w:val="en-US" w:eastAsia="zh-CN"/>
        </w:rPr>
        <w:t>7</w:t>
      </w:r>
      <w:r>
        <w:rPr>
          <w:rFonts w:hint="eastAsia" w:ascii="宋体" w:hAnsi="宋体"/>
          <w:sz w:val="24"/>
        </w:rPr>
        <w:t>）法律、法规和招标文件规定的其他投标无效的情形。</w:t>
      </w:r>
    </w:p>
    <w:p w14:paraId="07678141">
      <w:pPr>
        <w:spacing w:line="440" w:lineRule="exact"/>
        <w:ind w:left="426"/>
        <w:rPr>
          <w:rFonts w:ascii="宋体" w:hAnsi="宋体"/>
          <w:sz w:val="24"/>
        </w:rPr>
      </w:pPr>
      <w:r>
        <w:rPr>
          <w:rFonts w:hint="eastAsia" w:ascii="宋体" w:hAnsi="宋体"/>
          <w:sz w:val="24"/>
        </w:rPr>
        <w:t>（</w:t>
      </w:r>
      <w:r>
        <w:rPr>
          <w:rFonts w:hint="eastAsia" w:ascii="宋体" w:hAnsi="宋体"/>
          <w:sz w:val="24"/>
          <w:lang w:val="en-US" w:eastAsia="zh-CN"/>
        </w:rPr>
        <w:t>8</w:t>
      </w:r>
      <w:r>
        <w:rPr>
          <w:rFonts w:hint="eastAsia" w:ascii="宋体" w:hAnsi="宋体"/>
          <w:sz w:val="24"/>
        </w:rPr>
        <w:t>）投标人向采购人或代理机构任何人行贿的。</w:t>
      </w:r>
    </w:p>
    <w:p w14:paraId="026BCAC6">
      <w:pPr>
        <w:spacing w:line="440" w:lineRule="exact"/>
        <w:ind w:left="426"/>
        <w:rPr>
          <w:rFonts w:ascii="宋体" w:hAnsi="宋体"/>
          <w:sz w:val="24"/>
        </w:rPr>
      </w:pPr>
      <w:r>
        <w:rPr>
          <w:rFonts w:hint="eastAsia" w:ascii="宋体" w:hAnsi="宋体"/>
          <w:sz w:val="24"/>
        </w:rPr>
        <w:t>（</w:t>
      </w:r>
      <w:r>
        <w:rPr>
          <w:rFonts w:hint="eastAsia" w:ascii="宋体" w:hAnsi="宋体"/>
          <w:sz w:val="24"/>
          <w:lang w:val="en-US" w:eastAsia="zh-CN"/>
        </w:rPr>
        <w:t>9</w:t>
      </w:r>
      <w:r>
        <w:rPr>
          <w:rFonts w:hint="eastAsia" w:ascii="宋体" w:hAnsi="宋体"/>
          <w:sz w:val="24"/>
        </w:rPr>
        <w:t>）投标人提交虚假信息的。</w:t>
      </w:r>
    </w:p>
    <w:p w14:paraId="2EBF7A31">
      <w:pPr>
        <w:spacing w:before="100" w:beforeAutospacing="1" w:line="360" w:lineRule="auto"/>
        <w:rPr>
          <w:rFonts w:ascii="宋体" w:hAnsi="宋体"/>
          <w:b/>
          <w:sz w:val="32"/>
          <w:szCs w:val="32"/>
        </w:rPr>
      </w:pPr>
      <w:bookmarkStart w:id="14" w:name="_Toc13432"/>
      <w:r>
        <w:rPr>
          <w:rFonts w:hint="eastAsia" w:ascii="宋体" w:hAnsi="宋体"/>
          <w:b/>
          <w:sz w:val="32"/>
          <w:szCs w:val="32"/>
        </w:rPr>
        <w:t>六、资格审查</w:t>
      </w:r>
      <w:bookmarkEnd w:id="14"/>
    </w:p>
    <w:p w14:paraId="78D62FE5">
      <w:pPr>
        <w:spacing w:line="360" w:lineRule="auto"/>
        <w:rPr>
          <w:rFonts w:ascii="宋体" w:hAnsi="宋体"/>
          <w:b/>
          <w:kern w:val="0"/>
          <w:sz w:val="24"/>
        </w:rPr>
      </w:pPr>
      <w:bookmarkStart w:id="15" w:name="_Toc11814"/>
      <w:r>
        <w:rPr>
          <w:rFonts w:hint="eastAsia" w:ascii="宋体" w:hAnsi="宋体"/>
          <w:b/>
          <w:kern w:val="0"/>
          <w:sz w:val="24"/>
        </w:rPr>
        <w:t>6.1资格审查人员</w:t>
      </w:r>
      <w:bookmarkEnd w:id="15"/>
    </w:p>
    <w:p w14:paraId="59FFE565">
      <w:pPr>
        <w:spacing w:line="360" w:lineRule="auto"/>
        <w:rPr>
          <w:rFonts w:ascii="宋体" w:hAnsi="宋体"/>
          <w:b/>
          <w:kern w:val="0"/>
          <w:sz w:val="24"/>
        </w:rPr>
      </w:pPr>
      <w:bookmarkStart w:id="16" w:name="_Toc10285"/>
      <w:r>
        <w:rPr>
          <w:rFonts w:hint="eastAsia" w:ascii="宋体" w:hAnsi="宋体"/>
          <w:kern w:val="0"/>
          <w:sz w:val="24"/>
        </w:rPr>
        <w:t>采购人或者采购代理机构对投标人的资格进行审查。</w:t>
      </w:r>
      <w:bookmarkEnd w:id="16"/>
    </w:p>
    <w:p w14:paraId="69738A58">
      <w:pPr>
        <w:spacing w:line="360" w:lineRule="auto"/>
        <w:rPr>
          <w:rFonts w:ascii="宋体" w:hAnsi="宋体"/>
          <w:b/>
          <w:kern w:val="0"/>
          <w:sz w:val="24"/>
        </w:rPr>
      </w:pPr>
      <w:bookmarkStart w:id="17" w:name="_Toc5650"/>
      <w:r>
        <w:rPr>
          <w:rFonts w:hint="eastAsia" w:ascii="宋体" w:hAnsi="宋体"/>
          <w:b/>
          <w:kern w:val="0"/>
          <w:sz w:val="24"/>
        </w:rPr>
        <w:t>6.2审查程序</w:t>
      </w:r>
      <w:bookmarkEnd w:id="17"/>
    </w:p>
    <w:p w14:paraId="78351403">
      <w:pPr>
        <w:spacing w:line="360" w:lineRule="auto"/>
        <w:ind w:firstLine="480" w:firstLineChars="200"/>
        <w:rPr>
          <w:rFonts w:ascii="宋体" w:hAnsi="宋体"/>
          <w:sz w:val="24"/>
        </w:rPr>
      </w:pPr>
      <w:bookmarkStart w:id="18" w:name="_Toc17642"/>
      <w:r>
        <w:rPr>
          <w:rFonts w:hint="eastAsia" w:ascii="宋体" w:hAnsi="宋体"/>
          <w:kern w:val="0"/>
          <w:sz w:val="24"/>
        </w:rPr>
        <w:t>6.2.1</w:t>
      </w:r>
      <w:r>
        <w:rPr>
          <w:rFonts w:hint="eastAsia" w:ascii="宋体" w:hAnsi="宋体"/>
          <w:sz w:val="24"/>
        </w:rPr>
        <w:t>资格审查人员对投标人所提交的投标文件进行资格审查。只有对招标文件所列各项资格性审查条款做出实质性响应的投标文件才能通过审查。</w:t>
      </w:r>
      <w:r>
        <w:rPr>
          <w:rFonts w:hint="eastAsia" w:ascii="宋体" w:hAnsi="宋体"/>
          <w:kern w:val="0"/>
          <w:sz w:val="24"/>
        </w:rPr>
        <w:t>资格审查的内容只要有一条不满足，</w:t>
      </w:r>
      <w:r>
        <w:rPr>
          <w:rFonts w:hint="eastAsia" w:ascii="宋体" w:hAnsi="宋体"/>
          <w:b/>
          <w:bCs/>
          <w:kern w:val="0"/>
          <w:sz w:val="24"/>
        </w:rPr>
        <w:t>则投标文件无效</w:t>
      </w:r>
      <w:r>
        <w:rPr>
          <w:rFonts w:hint="eastAsia" w:ascii="宋体" w:hAnsi="宋体"/>
          <w:kern w:val="0"/>
          <w:sz w:val="24"/>
        </w:rPr>
        <w:t>。</w:t>
      </w:r>
      <w:bookmarkEnd w:id="18"/>
    </w:p>
    <w:p w14:paraId="79AF5BBC">
      <w:pPr>
        <w:tabs>
          <w:tab w:val="left" w:pos="0"/>
        </w:tabs>
        <w:spacing w:line="480" w:lineRule="exact"/>
        <w:ind w:firstLine="480" w:firstLineChars="200"/>
        <w:rPr>
          <w:rFonts w:ascii="宋体" w:hAnsi="宋体"/>
          <w:sz w:val="24"/>
        </w:rPr>
      </w:pPr>
      <w:r>
        <w:rPr>
          <w:rFonts w:hint="eastAsia" w:ascii="宋体" w:hAnsi="宋体"/>
          <w:kern w:val="0"/>
          <w:sz w:val="24"/>
          <w:szCs w:val="20"/>
        </w:rPr>
        <w:t>6.2.2投标人需在《</w:t>
      </w:r>
      <w:r>
        <w:rPr>
          <w:rFonts w:hint="eastAsia" w:ascii="宋体" w:hAnsi="宋体" w:cs="Lucida Sans Unicode"/>
          <w:sz w:val="24"/>
        </w:rPr>
        <w:t>资格性审查响应表</w:t>
      </w:r>
      <w:r>
        <w:rPr>
          <w:rFonts w:hint="eastAsia" w:ascii="宋体" w:hAnsi="宋体"/>
          <w:kern w:val="0"/>
          <w:sz w:val="24"/>
          <w:szCs w:val="20"/>
        </w:rPr>
        <w:t>》中指出评审点的评判依据，即投标文件中哪些起止页码范围响应了对应的评审点。由于投标人未响应此表，或未正确地响应评审点的起止页码，导致审查人员无法加以正确审查的，投标人需独自承担可能产生的各种不利结果。</w:t>
      </w:r>
    </w:p>
    <w:p w14:paraId="1AC4B94C">
      <w:pPr>
        <w:spacing w:line="360" w:lineRule="auto"/>
        <w:ind w:firstLine="480" w:firstLineChars="200"/>
        <w:rPr>
          <w:rFonts w:ascii="宋体" w:hAnsi="宋体"/>
          <w:sz w:val="24"/>
        </w:rPr>
      </w:pPr>
      <w:bookmarkStart w:id="19" w:name="_Toc27003"/>
      <w:r>
        <w:rPr>
          <w:rFonts w:hint="eastAsia" w:ascii="宋体" w:hAnsi="宋体"/>
          <w:sz w:val="24"/>
        </w:rPr>
        <w:t>6.2.3审查人员根据招标文件中要求的“申请人的资格要求”对投标人进行资格审查，只有对“申请人的资格要求”所列各项所要求提供的证明材料做出有效响应的投标文件才能通过审查。对是否有效响应招标文件的要求有争议的投标，资格审查人员将以记名方式表决，得票超过半数的投标人有资格进入下一阶段的评审，否则将被淘汰。</w:t>
      </w:r>
      <w:bookmarkEnd w:id="19"/>
    </w:p>
    <w:p w14:paraId="4470BBB5">
      <w:pPr>
        <w:spacing w:line="360" w:lineRule="auto"/>
        <w:ind w:firstLine="480" w:firstLineChars="200"/>
        <w:rPr>
          <w:rFonts w:ascii="宋体" w:hAnsi="宋体"/>
          <w:sz w:val="24"/>
        </w:rPr>
      </w:pPr>
      <w:bookmarkStart w:id="20" w:name="_Toc22630"/>
      <w:r>
        <w:rPr>
          <w:rFonts w:hint="eastAsia" w:ascii="宋体" w:hAnsi="宋体"/>
          <w:sz w:val="24"/>
        </w:rPr>
        <w:t>6.2.4通过资格审查的投标人不足三家的，按废标处理。</w:t>
      </w:r>
      <w:bookmarkEnd w:id="20"/>
    </w:p>
    <w:p w14:paraId="782ED32C">
      <w:pPr>
        <w:spacing w:line="360" w:lineRule="auto"/>
        <w:ind w:firstLine="480" w:firstLineChars="200"/>
        <w:rPr>
          <w:rFonts w:ascii="宋体" w:hAnsi="宋体"/>
          <w:sz w:val="24"/>
        </w:rPr>
      </w:pPr>
      <w:bookmarkStart w:id="21" w:name="_Toc26107"/>
      <w:r>
        <w:rPr>
          <w:rFonts w:hint="eastAsia" w:ascii="宋体" w:hAnsi="宋体"/>
          <w:sz w:val="24"/>
        </w:rPr>
        <w:t>6.2.5提供相同品牌产品的不同投标人参加同一合同项下投标的，按一家投标人计算。非单一产品采购项目，多家投标人提供的核心产品品牌相同的，按一家投标人计算。核心</w:t>
      </w:r>
      <w:r>
        <w:rPr>
          <w:rFonts w:ascii="宋体" w:hAnsi="宋体"/>
          <w:sz w:val="24"/>
        </w:rPr>
        <w:t>产品详见</w:t>
      </w:r>
      <w:r>
        <w:rPr>
          <w:rFonts w:hint="eastAsia" w:ascii="宋体" w:hAnsi="宋体"/>
          <w:sz w:val="24"/>
        </w:rPr>
        <w:t>“采购需求”。</w:t>
      </w:r>
      <w:bookmarkEnd w:id="21"/>
    </w:p>
    <w:p w14:paraId="3777515C">
      <w:pPr>
        <w:spacing w:line="360" w:lineRule="auto"/>
        <w:rPr>
          <w:rFonts w:ascii="宋体" w:hAnsi="宋体"/>
          <w:b/>
          <w:sz w:val="28"/>
        </w:rPr>
      </w:pPr>
      <w:r>
        <w:rPr>
          <w:rFonts w:hint="eastAsia" w:ascii="宋体" w:hAnsi="宋体"/>
          <w:b/>
          <w:sz w:val="28"/>
        </w:rPr>
        <w:t>七、评 标</w:t>
      </w:r>
    </w:p>
    <w:p w14:paraId="6C683193">
      <w:pPr>
        <w:spacing w:line="360" w:lineRule="auto"/>
        <w:rPr>
          <w:rFonts w:ascii="宋体" w:hAnsi="宋体"/>
          <w:b/>
          <w:sz w:val="24"/>
        </w:rPr>
      </w:pPr>
      <w:r>
        <w:rPr>
          <w:rFonts w:hint="eastAsia" w:ascii="宋体" w:hAnsi="宋体"/>
          <w:b/>
          <w:sz w:val="24"/>
        </w:rPr>
        <w:t>7.1</w:t>
      </w:r>
      <w:r>
        <w:rPr>
          <w:rFonts w:hint="eastAsia"/>
          <w:b/>
          <w:sz w:val="24"/>
        </w:rPr>
        <w:t>评标委员会</w:t>
      </w:r>
    </w:p>
    <w:p w14:paraId="794E1B7C">
      <w:pPr>
        <w:keepNext w:val="0"/>
        <w:keepLines w:val="0"/>
        <w:pageBreakBefore w:val="0"/>
        <w:widowControl/>
        <w:tabs>
          <w:tab w:val="left" w:pos="0"/>
          <w:tab w:val="left" w:pos="1080"/>
          <w:tab w:val="left" w:pos="1802"/>
        </w:tabs>
        <w:kinsoku/>
        <w:wordWrap/>
        <w:overflowPunct/>
        <w:topLinePunct w:val="0"/>
        <w:autoSpaceDE/>
        <w:autoSpaceDN/>
        <w:bidi w:val="0"/>
        <w:adjustRightInd/>
        <w:snapToGrid/>
        <w:spacing w:line="480" w:lineRule="exact"/>
        <w:ind w:firstLine="480" w:firstLineChars="200"/>
        <w:textAlignment w:val="auto"/>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本项目评标</w:t>
      </w:r>
      <w:r>
        <w:rPr>
          <w:rFonts w:hint="eastAsia" w:ascii="宋体" w:hAnsi="宋体"/>
          <w:color w:val="000000" w:themeColor="text1"/>
          <w:sz w:val="24"/>
          <w:lang w:val="en-US" w:eastAsia="zh-CN"/>
          <w14:textFill>
            <w14:solidFill>
              <w14:schemeClr w14:val="tx1"/>
            </w14:solidFill>
          </w14:textFill>
        </w:rPr>
        <w:t>委员会</w:t>
      </w:r>
      <w:r>
        <w:rPr>
          <w:rFonts w:hint="eastAsia" w:ascii="宋体" w:hAnsi="宋体"/>
          <w:color w:val="000000" w:themeColor="text1"/>
          <w:sz w:val="24"/>
          <w14:textFill>
            <w14:solidFill>
              <w14:schemeClr w14:val="tx1"/>
            </w14:solidFill>
          </w14:textFill>
        </w:rPr>
        <w:t>由技术、经济等方面的</w:t>
      </w:r>
      <w:r>
        <w:rPr>
          <w:rFonts w:hint="eastAsia" w:ascii="宋体" w:hAnsi="宋体"/>
          <w:color w:val="000000" w:themeColor="text1"/>
          <w:sz w:val="24"/>
          <w:lang w:val="en-US" w:eastAsia="zh-CN"/>
          <w14:textFill>
            <w14:solidFill>
              <w14:schemeClr w14:val="tx1"/>
            </w14:solidFill>
          </w14:textFill>
        </w:rPr>
        <w:t>5名</w:t>
      </w:r>
      <w:r>
        <w:rPr>
          <w:rFonts w:hint="eastAsia" w:ascii="宋体" w:hAnsi="宋体"/>
          <w:color w:val="000000" w:themeColor="text1"/>
          <w:sz w:val="24"/>
          <w14:textFill>
            <w14:solidFill>
              <w14:schemeClr w14:val="tx1"/>
            </w14:solidFill>
          </w14:textFill>
        </w:rPr>
        <w:t>专家组成，</w:t>
      </w:r>
      <w:r>
        <w:rPr>
          <w:rFonts w:hint="eastAsia" w:ascii="宋体" w:hAnsi="宋体"/>
          <w:color w:val="000000" w:themeColor="text1"/>
          <w:sz w:val="24"/>
          <w:lang w:val="en-US" w:eastAsia="zh-CN"/>
          <w14:textFill>
            <w14:solidFill>
              <w14:schemeClr w14:val="tx1"/>
            </w14:solidFill>
          </w14:textFill>
        </w:rPr>
        <w:t>其中</w:t>
      </w:r>
      <w:r>
        <w:rPr>
          <w:rFonts w:hint="eastAsia" w:ascii="宋体" w:hAnsi="宋体"/>
          <w:color w:val="000000" w:themeColor="text1"/>
          <w:sz w:val="24"/>
          <w14:textFill>
            <w14:solidFill>
              <w14:schemeClr w14:val="tx1"/>
            </w14:solidFill>
          </w14:textFill>
        </w:rPr>
        <w:t>技术、经济等方面的专家不少于成员总数的2/3。该评标委员会独立工作，负责评审所有投标文件并确定中标候选人，评审专家从评审专家库中随机抽取。</w:t>
      </w:r>
    </w:p>
    <w:p w14:paraId="119062D5">
      <w:pPr>
        <w:widowControl/>
        <w:tabs>
          <w:tab w:val="left" w:pos="0"/>
          <w:tab w:val="left" w:pos="1080"/>
          <w:tab w:val="left" w:pos="1802"/>
        </w:tabs>
        <w:spacing w:line="480" w:lineRule="exact"/>
        <w:rPr>
          <w:rFonts w:ascii="宋体" w:hAnsi="宋体"/>
          <w:b/>
          <w:sz w:val="24"/>
        </w:rPr>
      </w:pPr>
      <w:r>
        <w:rPr>
          <w:rFonts w:hint="eastAsia" w:ascii="宋体" w:hAnsi="宋体"/>
          <w:b/>
          <w:sz w:val="24"/>
        </w:rPr>
        <w:t>7.2原则和方法</w:t>
      </w:r>
    </w:p>
    <w:p w14:paraId="7934AFF7">
      <w:pPr>
        <w:pStyle w:val="5"/>
        <w:ind w:firstLineChars="175"/>
        <w:rPr>
          <w:rFonts w:hAnsi="宋体"/>
          <w:sz w:val="24"/>
        </w:rPr>
      </w:pPr>
      <w:r>
        <w:rPr>
          <w:rFonts w:hint="eastAsia" w:hAnsi="宋体"/>
          <w:sz w:val="24"/>
        </w:rPr>
        <w:t>7.2.1 评标活动应遵循客观、公正、审慎的原则。</w:t>
      </w:r>
    </w:p>
    <w:p w14:paraId="0B38384F">
      <w:pPr>
        <w:pStyle w:val="5"/>
        <w:ind w:firstLineChars="175"/>
        <w:rPr>
          <w:rFonts w:hAnsi="宋体"/>
          <w:sz w:val="24"/>
        </w:rPr>
      </w:pPr>
      <w:r>
        <w:rPr>
          <w:rFonts w:hint="eastAsia" w:hAnsi="宋体"/>
          <w:sz w:val="24"/>
        </w:rPr>
        <w:t>7.2.2 评标委员会将按本招标文件中规定的评标方法进行评标。</w:t>
      </w:r>
    </w:p>
    <w:p w14:paraId="1260B33E">
      <w:pPr>
        <w:pStyle w:val="5"/>
        <w:ind w:firstLineChars="175"/>
        <w:rPr>
          <w:rFonts w:hAnsi="宋体"/>
          <w:sz w:val="24"/>
        </w:rPr>
      </w:pPr>
      <w:r>
        <w:rPr>
          <w:rFonts w:hint="eastAsia" w:hAnsi="宋体"/>
          <w:sz w:val="24"/>
        </w:rPr>
        <w:t>7.2.3 评标委员会各成员应当独立对每个投标人的投标文件进行评价。</w:t>
      </w:r>
    </w:p>
    <w:p w14:paraId="70F6912B">
      <w:pPr>
        <w:pStyle w:val="5"/>
        <w:ind w:firstLineChars="175"/>
        <w:rPr>
          <w:rFonts w:hAnsi="宋体"/>
          <w:sz w:val="24"/>
        </w:rPr>
      </w:pPr>
      <w:r>
        <w:rPr>
          <w:rFonts w:hint="eastAsia" w:hAnsi="宋体"/>
          <w:sz w:val="24"/>
        </w:rPr>
        <w:t>7.2.4评审过程分为符合性审查、澄清说明补正（如需）、综合评审、推荐中标候选人。</w:t>
      </w:r>
    </w:p>
    <w:p w14:paraId="444C76FE">
      <w:pPr>
        <w:pStyle w:val="5"/>
        <w:ind w:firstLineChars="175"/>
        <w:rPr>
          <w:rFonts w:hAnsi="宋体"/>
          <w:sz w:val="24"/>
        </w:rPr>
      </w:pPr>
      <w:r>
        <w:rPr>
          <w:rFonts w:hint="eastAsia" w:hAnsi="宋体"/>
          <w:sz w:val="24"/>
        </w:rPr>
        <w:t>7.2.5 评标过程中的一些约定事项：</w:t>
      </w:r>
    </w:p>
    <w:p w14:paraId="0D6C81F1">
      <w:pPr>
        <w:pStyle w:val="5"/>
        <w:ind w:firstLineChars="175"/>
        <w:rPr>
          <w:rFonts w:hAnsi="宋体"/>
          <w:sz w:val="24"/>
        </w:rPr>
      </w:pPr>
      <w:r>
        <w:rPr>
          <w:rFonts w:hint="eastAsia" w:hAnsi="宋体"/>
          <w:sz w:val="24"/>
        </w:rPr>
        <w:t>（1）计算百分数时，保留百分数小数点后两位有效数字。</w:t>
      </w:r>
    </w:p>
    <w:p w14:paraId="5CD1EEB3">
      <w:pPr>
        <w:pStyle w:val="5"/>
        <w:ind w:firstLineChars="175"/>
        <w:rPr>
          <w:rFonts w:hAnsi="宋体"/>
          <w:sz w:val="24"/>
        </w:rPr>
      </w:pPr>
      <w:r>
        <w:rPr>
          <w:rFonts w:hint="eastAsia" w:hAnsi="宋体"/>
          <w:sz w:val="24"/>
        </w:rPr>
        <w:t>（2）计算最终得分时，保留小数点后一位有效数字。</w:t>
      </w:r>
    </w:p>
    <w:p w14:paraId="23E3A186">
      <w:pPr>
        <w:pStyle w:val="5"/>
        <w:ind w:firstLineChars="175"/>
        <w:rPr>
          <w:rFonts w:hAnsi="宋体"/>
          <w:sz w:val="24"/>
        </w:rPr>
      </w:pPr>
      <w:r>
        <w:rPr>
          <w:rFonts w:hint="eastAsia" w:hAnsi="宋体"/>
          <w:sz w:val="24"/>
        </w:rPr>
        <w:t>（3）所有专家评分的算术平均值得分为投标单位的最终得分。</w:t>
      </w:r>
    </w:p>
    <w:p w14:paraId="396E257B">
      <w:pPr>
        <w:pStyle w:val="5"/>
        <w:ind w:firstLineChars="175"/>
        <w:rPr>
          <w:rFonts w:hAnsi="宋体"/>
          <w:sz w:val="24"/>
        </w:rPr>
      </w:pPr>
      <w:r>
        <w:rPr>
          <w:rFonts w:hint="eastAsia" w:hAnsi="宋体"/>
          <w:sz w:val="24"/>
        </w:rPr>
        <w:t>（4）评标中如有未考虑到的问题，由评标委员会集体研究处理。</w:t>
      </w:r>
    </w:p>
    <w:p w14:paraId="5C9E7790">
      <w:pPr>
        <w:widowControl/>
        <w:spacing w:line="360" w:lineRule="auto"/>
        <w:rPr>
          <w:b/>
          <w:sz w:val="24"/>
        </w:rPr>
      </w:pPr>
      <w:r>
        <w:rPr>
          <w:rFonts w:hint="eastAsia" w:ascii="宋体" w:hAnsi="宋体"/>
          <w:b/>
          <w:kern w:val="0"/>
          <w:sz w:val="24"/>
          <w:szCs w:val="20"/>
        </w:rPr>
        <w:t>7.3</w:t>
      </w:r>
      <w:r>
        <w:rPr>
          <w:rFonts w:hint="eastAsia"/>
          <w:b/>
          <w:sz w:val="24"/>
        </w:rPr>
        <w:t>符合性审查</w:t>
      </w:r>
    </w:p>
    <w:p w14:paraId="595F68A3">
      <w:pPr>
        <w:pStyle w:val="5"/>
        <w:ind w:firstLineChars="175"/>
        <w:rPr>
          <w:rFonts w:hAnsi="宋体"/>
          <w:b/>
          <w:bCs/>
          <w:sz w:val="24"/>
        </w:rPr>
      </w:pPr>
      <w:r>
        <w:rPr>
          <w:rFonts w:hint="eastAsia" w:hAnsi="宋体"/>
          <w:sz w:val="24"/>
        </w:rPr>
        <w:t>7.3.1 评标委员会将依据符合性审查条款规定的评审标准，对投标人所提交的投标文件进行符合性审查。符合性审查的内容只要有一条不满足，则</w:t>
      </w:r>
      <w:r>
        <w:rPr>
          <w:rFonts w:hint="eastAsia" w:hAnsi="宋体"/>
          <w:b/>
          <w:bCs/>
          <w:sz w:val="24"/>
        </w:rPr>
        <w:t>投标文件无效。</w:t>
      </w:r>
    </w:p>
    <w:p w14:paraId="2C5AC9BE">
      <w:pPr>
        <w:tabs>
          <w:tab w:val="left" w:pos="0"/>
        </w:tabs>
        <w:spacing w:line="480" w:lineRule="exact"/>
        <w:ind w:firstLine="480" w:firstLineChars="200"/>
        <w:rPr>
          <w:rFonts w:ascii="宋体" w:hAnsi="宋体"/>
          <w:kern w:val="0"/>
          <w:sz w:val="24"/>
          <w:szCs w:val="20"/>
        </w:rPr>
      </w:pPr>
      <w:r>
        <w:rPr>
          <w:rFonts w:hint="eastAsia" w:ascii="宋体" w:hAnsi="宋体"/>
          <w:kern w:val="0"/>
          <w:sz w:val="24"/>
          <w:szCs w:val="20"/>
        </w:rPr>
        <w:t>7.3.2投标人需在《符合性审查响应表》中指出评审点的评判依据，即投标文件中哪些起止页码范围响应了对应的评审点。由于投标人未响应此表，或未正确地响应评审点的起止页码，导致评标委员会无法加以正确评判的，投标人需独自承担可能产生的各种不利结果。</w:t>
      </w:r>
    </w:p>
    <w:p w14:paraId="22379015">
      <w:pPr>
        <w:tabs>
          <w:tab w:val="left" w:pos="0"/>
        </w:tabs>
        <w:spacing w:line="480" w:lineRule="exact"/>
        <w:ind w:firstLine="480" w:firstLineChars="200"/>
        <w:rPr>
          <w:rFonts w:ascii="宋体" w:hAnsi="宋体"/>
          <w:sz w:val="24"/>
        </w:rPr>
      </w:pPr>
      <w:r>
        <w:rPr>
          <w:rFonts w:hint="eastAsia" w:ascii="宋体" w:hAnsi="宋体"/>
          <w:sz w:val="24"/>
        </w:rPr>
        <w:t>7.3.3评标委员会根据招标文件中符合性审查条款对投标人的符合性进行审查，只有对招标文件所列各项符合性审查条款做出实质性响应的投标文件才能通过审查。对是否实质性响应招标文件的要求有争议的投标，评标委员会将以记名方式表决，得票超过半数的投标人有资格进入下一阶段的评审，否则将被淘汰。</w:t>
      </w:r>
    </w:p>
    <w:p w14:paraId="05892156">
      <w:pPr>
        <w:widowControl/>
        <w:tabs>
          <w:tab w:val="left" w:pos="360"/>
        </w:tabs>
        <w:spacing w:line="480" w:lineRule="exact"/>
        <w:ind w:firstLine="420" w:firstLineChars="175"/>
        <w:rPr>
          <w:rFonts w:ascii="宋体" w:hAnsi="宋体"/>
          <w:sz w:val="24"/>
        </w:rPr>
      </w:pPr>
      <w:r>
        <w:rPr>
          <w:rFonts w:hint="eastAsia" w:ascii="宋体" w:hAnsi="宋体"/>
          <w:sz w:val="24"/>
        </w:rPr>
        <w:t>7.3.4通过符合性审查的投标人不足三家的，按废标处理。投标人数量计算见6.2.5条规定。</w:t>
      </w:r>
    </w:p>
    <w:p w14:paraId="7411D1E4">
      <w:pPr>
        <w:pStyle w:val="5"/>
        <w:ind w:firstLine="480" w:firstLineChars="200"/>
        <w:rPr>
          <w:rFonts w:hAnsi="宋体"/>
          <w:sz w:val="24"/>
        </w:rPr>
      </w:pPr>
      <w:r>
        <w:rPr>
          <w:rFonts w:hint="eastAsia" w:hAnsi="宋体"/>
          <w:sz w:val="24"/>
        </w:rPr>
        <w:t>7.3.5在评审过程中，评标委员会发现投标人有下列表现形式之一的，视为投标人串通投标，</w:t>
      </w:r>
      <w:r>
        <w:rPr>
          <w:rFonts w:hint="eastAsia" w:hAnsi="宋体"/>
          <w:b/>
          <w:bCs/>
          <w:sz w:val="24"/>
        </w:rPr>
        <w:t>其投标无效，</w:t>
      </w:r>
      <w:r>
        <w:rPr>
          <w:rFonts w:hint="eastAsia" w:hAnsi="宋体"/>
          <w:sz w:val="24"/>
        </w:rPr>
        <w:t>具体表现形式如下：</w:t>
      </w:r>
    </w:p>
    <w:p w14:paraId="50E95361">
      <w:pPr>
        <w:pStyle w:val="5"/>
        <w:ind w:firstLineChars="175"/>
        <w:rPr>
          <w:sz w:val="24"/>
          <w:szCs w:val="24"/>
        </w:rPr>
      </w:pPr>
      <w:r>
        <w:rPr>
          <w:rFonts w:hint="eastAsia"/>
          <w:sz w:val="24"/>
          <w:szCs w:val="24"/>
        </w:rPr>
        <w:t>（1）不同投标人的投标文件由同一单位或者个人编制；</w:t>
      </w:r>
    </w:p>
    <w:p w14:paraId="2DF904F5">
      <w:pPr>
        <w:pStyle w:val="5"/>
        <w:ind w:firstLineChars="175"/>
        <w:rPr>
          <w:sz w:val="24"/>
          <w:szCs w:val="24"/>
        </w:rPr>
      </w:pPr>
      <w:r>
        <w:rPr>
          <w:rFonts w:hint="eastAsia"/>
          <w:sz w:val="24"/>
          <w:szCs w:val="24"/>
        </w:rPr>
        <w:t>（2）不同投标人委托同一单位或者个人办理投标事宜；</w:t>
      </w:r>
    </w:p>
    <w:p w14:paraId="0729944B">
      <w:pPr>
        <w:pStyle w:val="5"/>
        <w:ind w:firstLineChars="175"/>
        <w:rPr>
          <w:sz w:val="24"/>
          <w:szCs w:val="24"/>
        </w:rPr>
      </w:pPr>
      <w:r>
        <w:rPr>
          <w:rFonts w:hint="eastAsia"/>
          <w:sz w:val="24"/>
          <w:szCs w:val="24"/>
        </w:rPr>
        <w:t>（3）不同投标人的投标文件载明的项目管理成员或者联系人员为同一人；</w:t>
      </w:r>
    </w:p>
    <w:p w14:paraId="7CD3156C">
      <w:pPr>
        <w:pStyle w:val="5"/>
        <w:ind w:firstLineChars="175"/>
        <w:rPr>
          <w:sz w:val="24"/>
          <w:szCs w:val="24"/>
        </w:rPr>
      </w:pPr>
      <w:r>
        <w:rPr>
          <w:rFonts w:hint="eastAsia"/>
          <w:sz w:val="24"/>
          <w:szCs w:val="24"/>
        </w:rPr>
        <w:t>（4）不同投标人的投标文件异常一致；</w:t>
      </w:r>
    </w:p>
    <w:p w14:paraId="508006A5">
      <w:pPr>
        <w:pStyle w:val="5"/>
        <w:ind w:firstLineChars="175"/>
        <w:rPr>
          <w:sz w:val="24"/>
          <w:szCs w:val="24"/>
        </w:rPr>
      </w:pPr>
      <w:r>
        <w:rPr>
          <w:rFonts w:hint="eastAsia"/>
          <w:sz w:val="24"/>
          <w:szCs w:val="24"/>
        </w:rPr>
        <w:t>（5）不同投标人的投标文件相互混装；</w:t>
      </w:r>
    </w:p>
    <w:p w14:paraId="3DA741A6">
      <w:pPr>
        <w:pStyle w:val="5"/>
        <w:ind w:firstLineChars="175"/>
        <w:rPr>
          <w:sz w:val="24"/>
          <w:szCs w:val="24"/>
        </w:rPr>
      </w:pPr>
      <w:r>
        <w:rPr>
          <w:rFonts w:hint="eastAsia"/>
          <w:sz w:val="24"/>
          <w:szCs w:val="24"/>
        </w:rPr>
        <w:t>（</w:t>
      </w:r>
      <w:r>
        <w:rPr>
          <w:rFonts w:hint="eastAsia"/>
          <w:sz w:val="24"/>
          <w:szCs w:val="24"/>
          <w:lang w:val="en-US" w:eastAsia="zh-CN"/>
        </w:rPr>
        <w:t>6</w:t>
      </w:r>
      <w:r>
        <w:rPr>
          <w:rFonts w:hint="eastAsia"/>
          <w:sz w:val="24"/>
          <w:szCs w:val="24"/>
        </w:rPr>
        <w:t>）不同投标人的标书硬件特征码一致。</w:t>
      </w:r>
    </w:p>
    <w:p w14:paraId="0D2FA60E">
      <w:pPr>
        <w:pStyle w:val="44"/>
        <w:tabs>
          <w:tab w:val="left" w:pos="420"/>
        </w:tabs>
        <w:spacing w:beforeLines="50" w:line="360" w:lineRule="auto"/>
        <w:ind w:left="0" w:firstLine="0"/>
        <w:rPr>
          <w:b/>
          <w:sz w:val="24"/>
          <w:szCs w:val="24"/>
        </w:rPr>
      </w:pPr>
      <w:r>
        <w:rPr>
          <w:rFonts w:hint="eastAsia"/>
          <w:b/>
          <w:sz w:val="24"/>
        </w:rPr>
        <w:t>7.4</w:t>
      </w:r>
      <w:r>
        <w:rPr>
          <w:rFonts w:hint="eastAsia"/>
          <w:b/>
          <w:sz w:val="24"/>
          <w:szCs w:val="24"/>
        </w:rPr>
        <w:t>澄清、说明、补正</w:t>
      </w:r>
    </w:p>
    <w:p w14:paraId="16ACBE7D">
      <w:pPr>
        <w:pStyle w:val="5"/>
        <w:ind w:firstLineChars="175"/>
        <w:rPr>
          <w:rFonts w:hAnsi="宋体"/>
          <w:sz w:val="24"/>
        </w:rPr>
      </w:pPr>
      <w:r>
        <w:rPr>
          <w:rFonts w:hint="eastAsia" w:hAnsi="宋体"/>
          <w:sz w:val="24"/>
        </w:rPr>
        <w:t>7.4.1 评标委员会对于投标文件中含义不明确、同类问题表述不一致或者有明显文字和计算错误的内容或数据，应当以书面形式要求投标人在规定的时限内做出必要的澄清、说明或者补正。</w:t>
      </w:r>
    </w:p>
    <w:p w14:paraId="5EBCEE97">
      <w:pPr>
        <w:pStyle w:val="5"/>
        <w:ind w:firstLineChars="175"/>
        <w:rPr>
          <w:rFonts w:hAnsi="宋体"/>
          <w:sz w:val="24"/>
        </w:rPr>
      </w:pPr>
      <w:r>
        <w:rPr>
          <w:rFonts w:hint="eastAsia" w:hAnsi="宋体"/>
          <w:sz w:val="24"/>
        </w:rPr>
        <w:t>7.4.</w:t>
      </w:r>
      <w:r>
        <w:rPr>
          <w:rFonts w:hint="eastAsia" w:hAnsi="宋体"/>
          <w:sz w:val="24"/>
          <w:lang w:val="en-US" w:eastAsia="zh-CN"/>
        </w:rPr>
        <w:t>2</w:t>
      </w:r>
      <w:r>
        <w:rPr>
          <w:rFonts w:hint="eastAsia" w:hAnsi="宋体"/>
          <w:sz w:val="24"/>
        </w:rPr>
        <w:t>投标人的澄清、说明或者补正应当采用书面形式，并加盖公章，或者由法定代表人或者授权的代表签字。</w:t>
      </w:r>
    </w:p>
    <w:p w14:paraId="757A76B0">
      <w:pPr>
        <w:pStyle w:val="5"/>
        <w:ind w:firstLineChars="175"/>
        <w:rPr>
          <w:rFonts w:hAnsi="宋体"/>
          <w:sz w:val="24"/>
        </w:rPr>
      </w:pPr>
      <w:r>
        <w:rPr>
          <w:rFonts w:hint="eastAsia" w:hAnsi="宋体"/>
          <w:sz w:val="24"/>
        </w:rPr>
        <w:t>7.4.</w:t>
      </w:r>
      <w:r>
        <w:rPr>
          <w:rFonts w:hint="eastAsia" w:hAnsi="宋体"/>
          <w:sz w:val="24"/>
          <w:lang w:val="en-US" w:eastAsia="zh-CN"/>
        </w:rPr>
        <w:t>3</w:t>
      </w:r>
      <w:r>
        <w:rPr>
          <w:rFonts w:hint="eastAsia" w:hAnsi="宋体"/>
          <w:sz w:val="24"/>
        </w:rPr>
        <w:t xml:space="preserve"> 澄清、说明或补正的内容不得超出投标文件的范围或者改变投标文件的实质性内容。</w:t>
      </w:r>
    </w:p>
    <w:p w14:paraId="7ED8A7A3">
      <w:pPr>
        <w:pStyle w:val="5"/>
        <w:ind w:firstLineChars="175"/>
        <w:rPr>
          <w:rFonts w:hAnsi="宋体"/>
          <w:sz w:val="24"/>
        </w:rPr>
      </w:pPr>
      <w:r>
        <w:rPr>
          <w:rFonts w:hint="eastAsia" w:hAnsi="宋体"/>
          <w:sz w:val="24"/>
        </w:rPr>
        <w:t>7.4.</w:t>
      </w:r>
      <w:r>
        <w:rPr>
          <w:rFonts w:hint="eastAsia" w:hAnsi="宋体"/>
          <w:sz w:val="24"/>
          <w:lang w:val="en-US" w:eastAsia="zh-CN"/>
        </w:rPr>
        <w:t>4</w:t>
      </w:r>
      <w:r>
        <w:rPr>
          <w:rFonts w:hint="eastAsia" w:hAnsi="宋体"/>
          <w:sz w:val="24"/>
        </w:rPr>
        <w:t xml:space="preserve"> 未按7.4.</w:t>
      </w:r>
      <w:r>
        <w:rPr>
          <w:rFonts w:hint="eastAsia" w:hAnsi="宋体"/>
          <w:sz w:val="24"/>
          <w:lang w:val="en-US" w:eastAsia="zh-CN"/>
        </w:rPr>
        <w:t>3</w:t>
      </w:r>
      <w:r>
        <w:rPr>
          <w:rFonts w:hint="eastAsia" w:hAnsi="宋体"/>
          <w:sz w:val="24"/>
        </w:rPr>
        <w:t>条要求或未在规定时间内进行澄清、说明、补正的，其投标文件按无效处理。</w:t>
      </w:r>
    </w:p>
    <w:p w14:paraId="1319DA6F">
      <w:pPr>
        <w:pStyle w:val="44"/>
        <w:tabs>
          <w:tab w:val="left" w:pos="420"/>
        </w:tabs>
        <w:spacing w:beforeLines="50" w:line="360" w:lineRule="auto"/>
        <w:ind w:left="770" w:leftChars="29"/>
        <w:rPr>
          <w:b/>
          <w:sz w:val="24"/>
          <w:szCs w:val="24"/>
        </w:rPr>
      </w:pPr>
      <w:r>
        <w:rPr>
          <w:rFonts w:hint="eastAsia"/>
          <w:b/>
          <w:sz w:val="24"/>
          <w:szCs w:val="24"/>
        </w:rPr>
        <w:t>7.5 综合评审</w:t>
      </w:r>
    </w:p>
    <w:p w14:paraId="45EC441D">
      <w:pPr>
        <w:pStyle w:val="5"/>
        <w:ind w:firstLineChars="175"/>
        <w:rPr>
          <w:rFonts w:hAnsi="宋体"/>
          <w:color w:val="auto"/>
          <w:sz w:val="24"/>
        </w:rPr>
      </w:pPr>
      <w:r>
        <w:rPr>
          <w:rFonts w:hint="eastAsia" w:hAnsi="宋体"/>
          <w:color w:val="auto"/>
          <w:sz w:val="24"/>
        </w:rPr>
        <w:t>7.5.1评标委员会将对投标人递交的投标文件进行综合评审并打分。投标人需在《技术、商务评分响应表》中指出评分点的评判依据，即投标文件中哪些起止页码范围响应了对应的评分点。</w:t>
      </w:r>
    </w:p>
    <w:p w14:paraId="5D84BEBD">
      <w:pPr>
        <w:pStyle w:val="5"/>
        <w:ind w:firstLineChars="175"/>
        <w:rPr>
          <w:rFonts w:hAnsi="宋体"/>
          <w:color w:val="auto"/>
          <w:sz w:val="24"/>
        </w:rPr>
      </w:pPr>
      <w:r>
        <w:rPr>
          <w:rFonts w:hint="eastAsia" w:hAnsi="宋体"/>
          <w:color w:val="auto"/>
          <w:sz w:val="24"/>
        </w:rPr>
        <w:t>7.5.2 由于投标人未响应此表，或未正确地响应评分点的起止页码，导致评标委员会无法加以正确评判的，投标人需独自承担可能产生的各种不利结果。</w:t>
      </w:r>
    </w:p>
    <w:p w14:paraId="03479D66">
      <w:pPr>
        <w:pStyle w:val="5"/>
        <w:ind w:firstLineChars="175"/>
        <w:rPr>
          <w:rFonts w:hAnsi="宋体"/>
          <w:color w:val="auto"/>
          <w:sz w:val="24"/>
          <w:szCs w:val="24"/>
        </w:rPr>
      </w:pPr>
      <w:r>
        <w:rPr>
          <w:rFonts w:hint="eastAsia" w:hAnsi="宋体"/>
          <w:color w:val="auto"/>
          <w:sz w:val="24"/>
        </w:rPr>
        <w:t>7.5.3</w:t>
      </w:r>
      <w:r>
        <w:rPr>
          <w:rFonts w:hint="eastAsia" w:hAnsi="宋体"/>
          <w:color w:val="auto"/>
          <w:sz w:val="24"/>
          <w:szCs w:val="24"/>
        </w:rPr>
        <w:t>对小型或微型企业投标的扶持（监狱企业、残疾人福利性单位视同小型、微型企业）：</w:t>
      </w:r>
    </w:p>
    <w:p w14:paraId="57069094">
      <w:pPr>
        <w:pStyle w:val="5"/>
        <w:ind w:firstLineChars="175"/>
        <w:rPr>
          <w:rFonts w:hAnsi="宋体"/>
          <w:color w:val="auto"/>
          <w:sz w:val="24"/>
          <w:szCs w:val="24"/>
        </w:rPr>
      </w:pPr>
      <w:r>
        <w:rPr>
          <w:rFonts w:hint="eastAsia" w:hAnsi="宋体"/>
          <w:color w:val="auto"/>
          <w:sz w:val="24"/>
          <w:szCs w:val="24"/>
        </w:rPr>
        <w:t>本项目对小型和微型企业的投标报价给予10%的扣除（包括成员全部为小型或微型企业的联合体），用扣除后的价格参与评审。</w:t>
      </w:r>
    </w:p>
    <w:p w14:paraId="164F7BBA">
      <w:pPr>
        <w:pStyle w:val="5"/>
        <w:ind w:firstLineChars="175"/>
        <w:rPr>
          <w:rFonts w:hAnsi="宋体"/>
          <w:color w:val="auto"/>
          <w:sz w:val="24"/>
          <w:szCs w:val="24"/>
        </w:rPr>
      </w:pPr>
      <w:r>
        <w:rPr>
          <w:rFonts w:hint="eastAsia" w:hAnsi="宋体"/>
          <w:color w:val="auto"/>
          <w:sz w:val="24"/>
          <w:szCs w:val="24"/>
        </w:rPr>
        <w:t>若</w:t>
      </w:r>
      <w:r>
        <w:rPr>
          <w:rFonts w:hint="eastAsia" w:hAnsi="宋体"/>
          <w:color w:val="auto"/>
          <w:sz w:val="24"/>
        </w:rPr>
        <w:t>投标人</w:t>
      </w:r>
      <w:r>
        <w:rPr>
          <w:rFonts w:hint="eastAsia" w:hAnsi="宋体"/>
          <w:color w:val="auto"/>
          <w:sz w:val="24"/>
          <w:szCs w:val="24"/>
        </w:rPr>
        <w:t>为联合体，且联合体协议中约定小型、微型企业的协议合同金额占到联合体协议合同总金额30%以上的，对联合体投标报价给予2%的价格扣除，用扣除后的价格参与评审。</w:t>
      </w:r>
    </w:p>
    <w:p w14:paraId="2C8C9076">
      <w:pPr>
        <w:pStyle w:val="5"/>
        <w:ind w:firstLineChars="175"/>
        <w:rPr>
          <w:rFonts w:hAnsi="宋体"/>
          <w:color w:val="auto"/>
          <w:sz w:val="24"/>
          <w:szCs w:val="24"/>
        </w:rPr>
      </w:pPr>
      <w:r>
        <w:rPr>
          <w:rFonts w:hint="eastAsia" w:hAnsi="宋体"/>
          <w:color w:val="auto"/>
          <w:sz w:val="24"/>
          <w:szCs w:val="24"/>
        </w:rPr>
        <w:t>（</w:t>
      </w:r>
      <w:r>
        <w:rPr>
          <w:rFonts w:hint="eastAsia" w:hAnsi="宋体"/>
          <w:b/>
          <w:color w:val="auto"/>
          <w:sz w:val="24"/>
          <w:szCs w:val="24"/>
        </w:rPr>
        <w:t>注</w:t>
      </w:r>
      <w:r>
        <w:rPr>
          <w:rFonts w:hint="eastAsia" w:hAnsi="宋体"/>
          <w:color w:val="auto"/>
          <w:sz w:val="24"/>
          <w:szCs w:val="24"/>
        </w:rPr>
        <w:t>：1、中小企业应当按要求在投标文件中提供《中小企业声明函》</w:t>
      </w:r>
      <w:r>
        <w:rPr>
          <w:rFonts w:hint="eastAsia" w:hAnsi="宋体"/>
          <w:color w:val="auto"/>
          <w:sz w:val="24"/>
          <w:szCs w:val="24"/>
          <w:lang w:eastAsia="zh-CN"/>
        </w:rPr>
        <w:t>，</w:t>
      </w:r>
      <w:r>
        <w:rPr>
          <w:rFonts w:hint="eastAsia" w:hAnsi="宋体"/>
          <w:b/>
          <w:bCs/>
          <w:color w:val="auto"/>
          <w:sz w:val="24"/>
          <w:szCs w:val="24"/>
          <w:lang w:eastAsia="zh-CN"/>
        </w:rPr>
        <w:t>本项目所属行业为</w:t>
      </w:r>
      <w:r>
        <w:rPr>
          <w:rFonts w:hint="eastAsia" w:hAnsi="宋体"/>
          <w:b/>
          <w:bCs/>
          <w:color w:val="auto"/>
          <w:sz w:val="24"/>
          <w:szCs w:val="24"/>
          <w:lang w:val="en-US" w:eastAsia="zh-CN"/>
        </w:rPr>
        <w:t>其他未列明行业</w:t>
      </w:r>
      <w:r>
        <w:rPr>
          <w:rFonts w:hint="eastAsia" w:hAnsi="宋体"/>
          <w:b/>
          <w:bCs/>
          <w:color w:val="auto"/>
          <w:sz w:val="24"/>
          <w:szCs w:val="24"/>
          <w:lang w:eastAsia="zh-CN"/>
        </w:rPr>
        <w:t>，具体标准详见—工信部联企业〔2011〕300 号《中小企业划型标准规定》</w:t>
      </w:r>
      <w:r>
        <w:rPr>
          <w:rFonts w:hint="eastAsia" w:hAnsi="宋体"/>
          <w:color w:val="auto"/>
          <w:sz w:val="24"/>
          <w:szCs w:val="24"/>
        </w:rPr>
        <w:t>。</w:t>
      </w:r>
      <w:r>
        <w:rPr>
          <w:rFonts w:hint="eastAsia" w:hAnsi="宋体" w:cs="Lucida Sans Unicode"/>
          <w:color w:val="auto"/>
          <w:sz w:val="24"/>
        </w:rPr>
        <w:t>小型、微型企业提供中型、大型企业制造的货物的，视同为中型、大型企业。2、</w:t>
      </w:r>
      <w:r>
        <w:rPr>
          <w:rFonts w:hint="eastAsia" w:hAnsi="宋体"/>
          <w:color w:val="auto"/>
          <w:sz w:val="24"/>
          <w:szCs w:val="24"/>
        </w:rPr>
        <w:t>监狱企业应当在投标文件中提供由省级以上监狱管理局、戒毒管理局(含新疆生产建设兵团)出具的属于监狱企业的证明文件。3、残疾人福利性单位应当在投标文件中提供《残疾人福利性单位声明函》。）</w:t>
      </w:r>
    </w:p>
    <w:p w14:paraId="4B0C7EFB">
      <w:pPr>
        <w:pStyle w:val="5"/>
        <w:ind w:firstLineChars="175"/>
        <w:rPr>
          <w:rFonts w:hAnsi="宋体"/>
          <w:color w:val="auto"/>
          <w:sz w:val="24"/>
          <w:szCs w:val="24"/>
        </w:rPr>
      </w:pPr>
      <w:r>
        <w:rPr>
          <w:rFonts w:hint="eastAsia" w:hAnsi="宋体"/>
          <w:color w:val="auto"/>
          <w:sz w:val="24"/>
          <w:szCs w:val="24"/>
        </w:rPr>
        <w:t>7.5.4</w:t>
      </w:r>
      <w:r>
        <w:rPr>
          <w:rFonts w:hint="eastAsia" w:hAnsi="宋体"/>
          <w:color w:val="auto"/>
          <w:sz w:val="24"/>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将作为无效投标处理。</w:t>
      </w:r>
    </w:p>
    <w:p w14:paraId="4B1FD745">
      <w:pPr>
        <w:spacing w:line="495" w:lineRule="atLeast"/>
        <w:ind w:firstLine="360" w:firstLineChars="150"/>
        <w:rPr>
          <w:rFonts w:hint="eastAsia" w:hAnsi="宋体" w:eastAsia="宋体"/>
          <w:color w:val="FF0000"/>
          <w:sz w:val="24"/>
          <w:lang w:eastAsia="zh-CN"/>
        </w:rPr>
      </w:pPr>
      <w:r>
        <w:rPr>
          <w:rFonts w:hint="eastAsia" w:ascii="宋体" w:hAnsi="宋体"/>
          <w:color w:val="auto"/>
          <w:sz w:val="24"/>
        </w:rPr>
        <w:t>7.5.5综合评分法中的价格分统一采用低价优先法计算，即满足招标文件要求且投标价格最低的投标报价为评标基准价，其价格分为满分。其他投标人的价格分统一按照下列公式计算：报价得分=(评标基准价/价格扣除后的投标报价)*100*报价分值权重</w:t>
      </w:r>
      <w:r>
        <w:rPr>
          <w:rFonts w:hint="eastAsia" w:ascii="宋体" w:hAnsi="宋体" w:eastAsia="宋体" w:cs="Times New Roman"/>
          <w:color w:val="auto"/>
          <w:sz w:val="24"/>
          <w:lang w:eastAsia="zh-CN"/>
        </w:rPr>
        <w:t>。</w:t>
      </w:r>
    </w:p>
    <w:p w14:paraId="34E4A83F">
      <w:pPr>
        <w:tabs>
          <w:tab w:val="left" w:pos="1030"/>
          <w:tab w:val="left" w:pos="2160"/>
        </w:tabs>
        <w:spacing w:line="480" w:lineRule="exact"/>
        <w:ind w:firstLine="352" w:firstLineChars="146"/>
        <w:rPr>
          <w:rFonts w:ascii="宋体" w:hAnsi="宋体"/>
          <w:b/>
          <w:sz w:val="24"/>
        </w:rPr>
      </w:pPr>
      <w:r>
        <w:rPr>
          <w:rFonts w:hint="eastAsia" w:ascii="宋体" w:hAnsi="宋体"/>
          <w:b/>
          <w:sz w:val="24"/>
        </w:rPr>
        <w:t>7.5.6评审因素权重分配</w:t>
      </w:r>
      <w:r>
        <w:rPr>
          <w:rFonts w:ascii="宋体" w:hAnsi="宋体"/>
          <w:sz w:val="24"/>
        </w:rPr>
        <w:fldChar w:fldCharType="begin"/>
      </w:r>
      <w:r>
        <w:rPr>
          <w:rFonts w:ascii="宋体" w:hAnsi="宋体"/>
          <w:sz w:val="24"/>
        </w:rPr>
        <w:instrText xml:space="preserve">&lt;MK</w:instrText>
      </w:r>
      <w:r>
        <w:rPr>
          <w:rFonts w:hint="eastAsia" w:ascii="宋体" w:hAnsi="宋体"/>
          <w:sz w:val="24"/>
        </w:rPr>
        <w:instrText xml:space="preserve"> cmd="bus"</w:instrText>
      </w:r>
      <w:r>
        <w:rPr>
          <w:rFonts w:ascii="宋体" w:hAnsi="宋体"/>
          <w:sz w:val="24"/>
        </w:rPr>
        <w:instrText xml:space="preserve">&gt;</w:instrText>
      </w:r>
      <w:r>
        <w:rPr>
          <w:rFonts w:hint="eastAsia" w:ascii="宋体" w:hAnsi="宋体"/>
          <w:sz w:val="24"/>
        </w:rPr>
        <w:instrText xml:space="preserve">&lt;def type="query" recs="para"&gt;</w:instrText>
      </w:r>
      <w:r>
        <w:rPr>
          <w:rFonts w:ascii="宋体" w:hAnsi="宋体"/>
          <w:sz w:val="24"/>
        </w:rPr>
        <w:instrText xml:space="preserve">"SELECT A.PARANAME, B.OPTIONVALUE VALUE FROM MOU_REVIEWPARA A, MOU_REVPARAVALUE B WHERE A.EVAPARAID=B.EVAPARAID AND A.EVATEMPID="+ NFV("evalinfo.evatempid",-1)+" AND A.ASSMETHOD=5878 AND B.BAGRECORDID="+NFV("bagrecordid",-1)</w:instrText>
      </w:r>
      <w:r>
        <w:rPr>
          <w:rFonts w:hint="eastAsia" w:ascii="宋体" w:hAnsi="宋体"/>
          <w:sz w:val="24"/>
        </w:rPr>
        <w:instrText xml:space="preserve">&lt;/def&gt;</w:instrText>
      </w:r>
      <w:r>
        <w:rPr>
          <w:rFonts w:ascii="宋体" w:hAnsi="宋体"/>
          <w:sz w:val="24"/>
        </w:rPr>
        <w:instrText xml:space="preserve">&lt;/MK&gt;</w:instrText>
      </w:r>
      <w:r>
        <w:rPr>
          <w:rFonts w:ascii="宋体" w:hAnsi="宋体"/>
          <w:sz w:val="24"/>
        </w:rPr>
        <w:fldChar w:fldCharType="separate"/>
      </w:r>
      <w:r>
        <w:rPr>
          <w:rFonts w:ascii="宋体" w:hAnsi="宋体"/>
          <w:sz w:val="24"/>
        </w:rPr>
        <w:t>!异常的公式结尾</w:t>
      </w:r>
      <w:r>
        <w:rPr>
          <w:rFonts w:ascii="宋体" w:hAnsi="宋体"/>
          <w:sz w:val="24"/>
        </w:rPr>
        <w:fldChar w:fldCharType="end"/>
      </w:r>
      <w:r>
        <w:rPr>
          <w:rFonts w:ascii="宋体" w:hAnsi="宋体"/>
          <w:sz w:val="24"/>
        </w:rPr>
        <w:fldChar w:fldCharType="begin"/>
      </w:r>
      <w:r>
        <w:rPr>
          <w:rFonts w:ascii="宋体" w:hAnsi="宋体"/>
          <w:sz w:val="24"/>
        </w:rPr>
        <w:instrText xml:space="preserve">&lt;MK</w:instrText>
      </w:r>
      <w:r>
        <w:rPr>
          <w:rFonts w:hint="eastAsia" w:ascii="宋体" w:hAnsi="宋体"/>
          <w:sz w:val="24"/>
        </w:rPr>
        <w:instrText xml:space="preserve"> cmd="bus"</w:instrText>
      </w:r>
      <w:r>
        <w:rPr>
          <w:rFonts w:ascii="宋体" w:hAnsi="宋体"/>
          <w:sz w:val="24"/>
        </w:rPr>
        <w:instrText xml:space="preserve">&gt;</w:instrText>
      </w:r>
      <w:r>
        <w:rPr>
          <w:rFonts w:hint="eastAsia" w:ascii="宋体" w:hAnsi="宋体"/>
          <w:sz w:val="24"/>
        </w:rPr>
        <w:instrText xml:space="preserve">&lt;def type="query" recs="</w:instrText>
      </w:r>
      <w:r>
        <w:rPr>
          <w:rFonts w:ascii="宋体" w:hAnsi="宋体"/>
          <w:sz w:val="24"/>
        </w:rPr>
        <w:instrText xml:space="preserve">score</w:instrText>
      </w:r>
      <w:r>
        <w:rPr>
          <w:rFonts w:hint="eastAsia" w:ascii="宋体" w:hAnsi="宋体"/>
          <w:sz w:val="24"/>
        </w:rPr>
        <w:instrText xml:space="preserve">"&gt;</w:instrText>
      </w:r>
      <w:r>
        <w:rPr>
          <w:rFonts w:ascii="宋体" w:hAnsi="宋体"/>
          <w:sz w:val="24"/>
        </w:rPr>
        <w:instrText xml:space="preserve">" select sum(maxscore) score from gprs_gradestander b where b.bagrecordid="+NFV("bagrecordid",-1)</w:instrText>
      </w:r>
      <w:r>
        <w:rPr>
          <w:rFonts w:hint="eastAsia" w:ascii="宋体" w:hAnsi="宋体"/>
          <w:sz w:val="24"/>
        </w:rPr>
        <w:instrText xml:space="preserve">&lt;/def&gt;</w:instrText>
      </w:r>
      <w:r>
        <w:rPr>
          <w:rFonts w:ascii="宋体" w:hAnsi="宋体"/>
          <w:sz w:val="24"/>
        </w:rPr>
        <w:instrText xml:space="preserve">&lt;/MK&gt;</w:instrText>
      </w:r>
      <w:r>
        <w:rPr>
          <w:rFonts w:ascii="宋体" w:hAnsi="宋体"/>
          <w:sz w:val="24"/>
        </w:rPr>
        <w:fldChar w:fldCharType="separate"/>
      </w:r>
      <w:r>
        <w:rPr>
          <w:rFonts w:ascii="宋体" w:hAnsi="宋体"/>
          <w:sz w:val="24"/>
        </w:rPr>
        <w:t>!异常的公式结尾</w:t>
      </w:r>
      <w:r>
        <w:rPr>
          <w:rFonts w:ascii="宋体" w:hAnsi="宋体"/>
          <w:sz w:val="24"/>
        </w:rPr>
        <w:fldChar w:fldCharType="end"/>
      </w:r>
    </w:p>
    <w:tbl>
      <w:tblPr>
        <w:tblStyle w:val="19"/>
        <w:tblW w:w="8638"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785"/>
        <w:gridCol w:w="2701"/>
        <w:gridCol w:w="4152"/>
      </w:tblGrid>
      <w:tr w14:paraId="77CA2FA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1785" w:type="dxa"/>
            <w:tcBorders>
              <w:top w:val="single" w:color="auto" w:sz="6" w:space="0"/>
              <w:left w:val="single" w:color="auto" w:sz="6" w:space="0"/>
              <w:bottom w:val="single" w:color="auto" w:sz="6" w:space="0"/>
              <w:right w:val="single" w:color="auto" w:sz="6" w:space="0"/>
            </w:tcBorders>
            <w:shd w:val="clear" w:color="auto" w:fill="D9D9D9"/>
            <w:vAlign w:val="center"/>
          </w:tcPr>
          <w:p w14:paraId="3D2E2F9B">
            <w:pPr>
              <w:jc w:val="center"/>
              <w:rPr>
                <w:rFonts w:ascii="宋体" w:hAnsi="宋体"/>
                <w:sz w:val="24"/>
              </w:rPr>
            </w:pPr>
            <w:r>
              <w:rPr>
                <w:rFonts w:hint="eastAsia" w:ascii="宋体" w:hAnsi="宋体"/>
                <w:sz w:val="24"/>
              </w:rPr>
              <w:t>评审因素</w:t>
            </w:r>
          </w:p>
        </w:tc>
        <w:tc>
          <w:tcPr>
            <w:tcW w:w="2701" w:type="dxa"/>
            <w:tcBorders>
              <w:top w:val="single" w:color="auto" w:sz="6" w:space="0"/>
              <w:left w:val="single" w:color="auto" w:sz="4" w:space="0"/>
              <w:bottom w:val="single" w:color="auto" w:sz="6" w:space="0"/>
              <w:right w:val="single" w:color="auto" w:sz="4" w:space="0"/>
            </w:tcBorders>
            <w:shd w:val="clear" w:color="auto" w:fill="D9D9D9"/>
            <w:vAlign w:val="center"/>
          </w:tcPr>
          <w:p w14:paraId="66789963">
            <w:pPr>
              <w:jc w:val="center"/>
              <w:rPr>
                <w:rFonts w:hint="default" w:ascii="宋体" w:hAnsi="宋体" w:eastAsia="宋体"/>
                <w:sz w:val="24"/>
                <w:lang w:val="en-US" w:eastAsia="zh-CN"/>
              </w:rPr>
            </w:pPr>
            <w:r>
              <w:rPr>
                <w:rFonts w:hint="eastAsia" w:ascii="宋体" w:hAnsi="宋体"/>
                <w:sz w:val="24"/>
                <w:lang w:val="en-US" w:eastAsia="zh-CN"/>
              </w:rPr>
              <w:t>价格</w:t>
            </w:r>
          </w:p>
        </w:tc>
        <w:tc>
          <w:tcPr>
            <w:tcW w:w="4152" w:type="dxa"/>
            <w:tcBorders>
              <w:top w:val="single" w:color="auto" w:sz="6" w:space="0"/>
              <w:left w:val="single" w:color="auto" w:sz="4" w:space="0"/>
              <w:bottom w:val="single" w:color="auto" w:sz="6" w:space="0"/>
              <w:right w:val="single" w:color="auto" w:sz="4" w:space="0"/>
            </w:tcBorders>
            <w:shd w:val="clear" w:color="auto" w:fill="D9D9D9"/>
            <w:vAlign w:val="center"/>
          </w:tcPr>
          <w:p w14:paraId="36E840AF">
            <w:pPr>
              <w:jc w:val="center"/>
              <w:rPr>
                <w:rFonts w:ascii="宋体" w:hAnsi="宋体"/>
                <w:sz w:val="24"/>
              </w:rPr>
            </w:pPr>
            <w:r>
              <w:rPr>
                <w:rFonts w:hint="eastAsia" w:ascii="宋体" w:hAnsi="宋体"/>
                <w:sz w:val="24"/>
              </w:rPr>
              <w:t>技术、商务等评分</w:t>
            </w:r>
          </w:p>
        </w:tc>
      </w:tr>
      <w:tr w14:paraId="562730A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4" w:hRule="atLeast"/>
          <w:jc w:val="center"/>
        </w:trPr>
        <w:tc>
          <w:tcPr>
            <w:tcW w:w="1785" w:type="dxa"/>
            <w:tcBorders>
              <w:top w:val="single" w:color="auto" w:sz="6" w:space="0"/>
              <w:left w:val="single" w:color="auto" w:sz="6" w:space="0"/>
              <w:bottom w:val="single" w:color="auto" w:sz="6" w:space="0"/>
              <w:right w:val="single" w:color="auto" w:sz="6" w:space="0"/>
            </w:tcBorders>
            <w:vAlign w:val="center"/>
          </w:tcPr>
          <w:p w14:paraId="62C0AF0C">
            <w:pPr>
              <w:jc w:val="center"/>
              <w:rPr>
                <w:rFonts w:ascii="宋体" w:hAnsi="宋体"/>
                <w:sz w:val="24"/>
              </w:rPr>
            </w:pPr>
            <w:r>
              <w:rPr>
                <w:rFonts w:hint="eastAsia" w:ascii="宋体" w:hAnsi="宋体"/>
                <w:sz w:val="24"/>
              </w:rPr>
              <w:t>权   重</w:t>
            </w:r>
          </w:p>
        </w:tc>
        <w:tc>
          <w:tcPr>
            <w:tcW w:w="2701" w:type="dxa"/>
            <w:tcBorders>
              <w:top w:val="single" w:color="auto" w:sz="6" w:space="0"/>
              <w:left w:val="single" w:color="auto" w:sz="4" w:space="0"/>
              <w:bottom w:val="single" w:color="auto" w:sz="6" w:space="0"/>
              <w:right w:val="single" w:color="auto" w:sz="4" w:space="0"/>
            </w:tcBorders>
            <w:vAlign w:val="center"/>
          </w:tcPr>
          <w:p w14:paraId="1D03AE87">
            <w:pPr>
              <w:jc w:val="center"/>
              <w:rPr>
                <w:rFonts w:hint="default" w:ascii="宋体" w:hAnsi="宋体" w:eastAsia="宋体"/>
                <w:sz w:val="24"/>
                <w:lang w:val="en-US" w:eastAsia="zh-CN"/>
              </w:rPr>
            </w:pPr>
            <w:r>
              <w:rPr>
                <w:rFonts w:hint="eastAsia" w:ascii="宋体" w:hAnsi="宋体"/>
                <w:sz w:val="24"/>
                <w:lang w:val="en-US" w:eastAsia="zh-CN"/>
              </w:rPr>
              <w:t>10%</w:t>
            </w:r>
          </w:p>
        </w:tc>
        <w:tc>
          <w:tcPr>
            <w:tcW w:w="4152" w:type="dxa"/>
            <w:tcBorders>
              <w:top w:val="single" w:color="auto" w:sz="6" w:space="0"/>
              <w:left w:val="single" w:color="auto" w:sz="4" w:space="0"/>
              <w:bottom w:val="single" w:color="auto" w:sz="6" w:space="0"/>
              <w:right w:val="single" w:color="auto" w:sz="4" w:space="0"/>
            </w:tcBorders>
            <w:vAlign w:val="center"/>
          </w:tcPr>
          <w:p w14:paraId="4B2BA363">
            <w:pPr>
              <w:jc w:val="center"/>
              <w:rPr>
                <w:rFonts w:ascii="宋体" w:hAnsi="宋体"/>
                <w:sz w:val="24"/>
              </w:rPr>
            </w:pPr>
            <w:r>
              <w:rPr>
                <w:rFonts w:hint="eastAsia" w:ascii="宋体" w:hAnsi="宋体"/>
                <w:sz w:val="24"/>
                <w:lang w:val="en-US" w:eastAsia="zh-CN"/>
              </w:rPr>
              <w:t>90</w:t>
            </w:r>
            <w:r>
              <w:rPr>
                <w:rFonts w:hint="eastAsia" w:ascii="宋体" w:hAnsi="宋体"/>
                <w:sz w:val="24"/>
              </w:rPr>
              <w:t>%</w:t>
            </w:r>
          </w:p>
        </w:tc>
      </w:tr>
    </w:tbl>
    <w:p w14:paraId="743959AB">
      <w:pPr>
        <w:tabs>
          <w:tab w:val="left" w:pos="540"/>
        </w:tabs>
        <w:spacing w:line="480" w:lineRule="exact"/>
        <w:ind w:firstLine="361" w:firstLineChars="150"/>
        <w:rPr>
          <w:rFonts w:ascii="宋体" w:hAnsi="宋体"/>
          <w:sz w:val="24"/>
        </w:rPr>
      </w:pPr>
      <w:r>
        <w:rPr>
          <w:rFonts w:hint="eastAsia" w:ascii="宋体" w:hAnsi="宋体"/>
          <w:b/>
          <w:sz w:val="24"/>
        </w:rPr>
        <w:t xml:space="preserve">7.5.7 </w:t>
      </w:r>
      <w:r>
        <w:rPr>
          <w:rFonts w:hint="eastAsia" w:ascii="宋体" w:hAnsi="宋体"/>
          <w:sz w:val="24"/>
        </w:rPr>
        <w:t>评标委员会对投标文件的各项评审因素进行评价、打分，经汇总各评审因素得分后取平均值即得综合得分。</w:t>
      </w:r>
    </w:p>
    <w:p w14:paraId="5DD2A92B">
      <w:pPr>
        <w:pStyle w:val="44"/>
        <w:tabs>
          <w:tab w:val="left" w:pos="420"/>
        </w:tabs>
        <w:spacing w:beforeLines="50" w:line="360" w:lineRule="auto"/>
        <w:ind w:left="770" w:leftChars="29"/>
        <w:rPr>
          <w:b/>
          <w:sz w:val="24"/>
          <w:szCs w:val="24"/>
        </w:rPr>
      </w:pPr>
      <w:r>
        <w:rPr>
          <w:rFonts w:hint="eastAsia"/>
          <w:b/>
          <w:sz w:val="24"/>
          <w:szCs w:val="24"/>
        </w:rPr>
        <w:t>7.6 推荐中标候选人</w:t>
      </w:r>
    </w:p>
    <w:p w14:paraId="102EC8AA">
      <w:pPr>
        <w:pStyle w:val="5"/>
        <w:ind w:firstLineChars="175"/>
        <w:rPr>
          <w:rFonts w:hAnsi="宋体"/>
          <w:sz w:val="24"/>
        </w:rPr>
      </w:pPr>
      <w:r>
        <w:rPr>
          <w:rFonts w:hint="eastAsia" w:hAnsi="宋体"/>
          <w:sz w:val="24"/>
        </w:rPr>
        <w:t>7.6.1评标委员会</w:t>
      </w:r>
      <w:r>
        <w:rPr>
          <w:rFonts w:hAnsi="宋体"/>
          <w:sz w:val="24"/>
        </w:rPr>
        <w:t>向采购单位推荐</w:t>
      </w:r>
      <w:r>
        <w:rPr>
          <w:rFonts w:hint="eastAsia" w:hAnsi="宋体"/>
          <w:sz w:val="24"/>
        </w:rPr>
        <w:t>不少于三</w:t>
      </w:r>
      <w:r>
        <w:rPr>
          <w:rFonts w:hAnsi="宋体"/>
          <w:sz w:val="24"/>
        </w:rPr>
        <w:t>名中标候选人</w:t>
      </w:r>
      <w:r>
        <w:rPr>
          <w:rFonts w:hint="eastAsia" w:hAnsi="宋体"/>
          <w:sz w:val="24"/>
        </w:rPr>
        <w:t>，</w:t>
      </w:r>
      <w:r>
        <w:rPr>
          <w:rFonts w:hAnsi="宋体"/>
          <w:sz w:val="24"/>
        </w:rPr>
        <w:t>依据对各投标文件的评审结果，</w:t>
      </w:r>
      <w:r>
        <w:rPr>
          <w:rFonts w:hint="eastAsia" w:hAnsi="宋体"/>
          <w:sz w:val="24"/>
        </w:rPr>
        <w:t>按得分由高到低顺序排列。投标文件满足招标文件全部实质性要求，且按照评审因素的量化指标评审得分最高的投标人为排名第一的中标候选人。</w:t>
      </w:r>
    </w:p>
    <w:p w14:paraId="1EDDFFF5">
      <w:pPr>
        <w:pStyle w:val="44"/>
        <w:tabs>
          <w:tab w:val="left" w:pos="420"/>
        </w:tabs>
        <w:spacing w:beforeLines="50" w:line="360" w:lineRule="auto"/>
        <w:ind w:left="770" w:leftChars="29"/>
        <w:rPr>
          <w:b/>
          <w:sz w:val="24"/>
          <w:szCs w:val="24"/>
        </w:rPr>
      </w:pPr>
      <w:r>
        <w:rPr>
          <w:rFonts w:hint="eastAsia"/>
          <w:b/>
          <w:sz w:val="24"/>
          <w:szCs w:val="24"/>
        </w:rPr>
        <w:t>7.7 中标人的确定</w:t>
      </w:r>
    </w:p>
    <w:p w14:paraId="511FA134">
      <w:pPr>
        <w:pStyle w:val="5"/>
        <w:ind w:firstLineChars="175"/>
        <w:rPr>
          <w:rFonts w:hAnsi="宋体"/>
          <w:sz w:val="24"/>
        </w:rPr>
      </w:pPr>
      <w:r>
        <w:rPr>
          <w:rFonts w:hint="eastAsia" w:hAnsi="宋体"/>
          <w:sz w:val="24"/>
        </w:rPr>
        <w:t>7.7.1 采购单位按照评标报告中推荐的中标候选投标人的顺序依法确定</w:t>
      </w:r>
      <w:r>
        <w:rPr>
          <w:rFonts w:hint="eastAsia" w:hAnsi="宋体"/>
          <w:sz w:val="24"/>
          <w:lang w:eastAsia="zh-CN"/>
        </w:rPr>
        <w:t>2</w:t>
      </w:r>
      <w:r>
        <w:rPr>
          <w:rFonts w:hint="eastAsia" w:hAnsi="宋体"/>
          <w:sz w:val="24"/>
          <w:lang w:val="en-US" w:eastAsia="zh-CN"/>
        </w:rPr>
        <w:t>名</w:t>
      </w:r>
      <w:r>
        <w:rPr>
          <w:rFonts w:hint="eastAsia" w:hAnsi="宋体"/>
          <w:sz w:val="24"/>
        </w:rPr>
        <w:t>中标人。中标候选人并列的，由采购人</w:t>
      </w:r>
      <w:r>
        <w:rPr>
          <w:rFonts w:hint="eastAsia" w:hAnsi="宋体"/>
          <w:sz w:val="24"/>
          <w:lang w:eastAsia="zh-CN"/>
        </w:rPr>
        <w:t>依据情况确定</w:t>
      </w:r>
      <w:r>
        <w:rPr>
          <w:rFonts w:hAnsi="宋体"/>
          <w:sz w:val="24"/>
        </w:rPr>
        <w:t>为</w:t>
      </w:r>
      <w:r>
        <w:rPr>
          <w:rFonts w:hint="eastAsia" w:hAnsi="宋体"/>
          <w:sz w:val="24"/>
        </w:rPr>
        <w:t>中标人。</w:t>
      </w:r>
    </w:p>
    <w:p w14:paraId="4BE483C2">
      <w:pPr>
        <w:pStyle w:val="5"/>
        <w:ind w:firstLineChars="175"/>
        <w:rPr>
          <w:rFonts w:hAnsi="宋体"/>
          <w:sz w:val="24"/>
        </w:rPr>
      </w:pPr>
      <w:r>
        <w:rPr>
          <w:rFonts w:hint="eastAsia" w:hAnsi="宋体"/>
          <w:sz w:val="24"/>
        </w:rPr>
        <w:t>7.7.2 采购代理机构依据采购单位的确认结果，在“第一章 招标公告”中规定的信息发布媒体上发布中标公告。</w:t>
      </w:r>
    </w:p>
    <w:p w14:paraId="0C5B07CA">
      <w:pPr>
        <w:pStyle w:val="5"/>
        <w:ind w:firstLineChars="175"/>
        <w:rPr>
          <w:rFonts w:hAnsi="宋体"/>
          <w:sz w:val="24"/>
        </w:rPr>
      </w:pPr>
      <w:bookmarkStart w:id="22" w:name="_7.2_定标方式"/>
      <w:bookmarkEnd w:id="22"/>
      <w:bookmarkStart w:id="23" w:name="_Toc266951085"/>
      <w:r>
        <w:rPr>
          <w:rFonts w:hint="eastAsia" w:hAnsi="宋体"/>
          <w:sz w:val="24"/>
        </w:rPr>
        <w:t>7.7.3对中标结果提出质疑的，若所公告的中标结果确实存在问题的，采购单位将按照中标候选人的推荐排序重新公告中标结果，或按相关规定依法重新进行招标，确保公正性。</w:t>
      </w:r>
    </w:p>
    <w:bookmarkEnd w:id="23"/>
    <w:p w14:paraId="5E00D22D">
      <w:pPr>
        <w:pStyle w:val="5"/>
        <w:ind w:firstLineChars="175"/>
        <w:rPr>
          <w:rFonts w:hAnsi="宋体"/>
          <w:sz w:val="24"/>
        </w:rPr>
      </w:pPr>
      <w:bookmarkStart w:id="24" w:name="_7.2_定标方式_1"/>
      <w:bookmarkEnd w:id="24"/>
      <w:r>
        <w:rPr>
          <w:rFonts w:hint="eastAsia" w:hAnsi="宋体"/>
          <w:sz w:val="24"/>
        </w:rPr>
        <w:t>7.7.4 如确定的中标人因不可抗力或者自身原因不能履行采购合同的，采购单位将按中标候选人名单排序，确定下一候选人为中标供应商（以此类推），也可以重新开展活动。</w:t>
      </w:r>
    </w:p>
    <w:p w14:paraId="772A3617">
      <w:pPr>
        <w:spacing w:line="360" w:lineRule="auto"/>
        <w:rPr>
          <w:rFonts w:ascii="宋体" w:hAnsi="宋体"/>
          <w:b/>
          <w:sz w:val="28"/>
        </w:rPr>
      </w:pPr>
      <w:r>
        <w:rPr>
          <w:rFonts w:hint="eastAsia" w:ascii="宋体" w:hAnsi="宋体"/>
          <w:b/>
          <w:sz w:val="28"/>
        </w:rPr>
        <w:t>八、合同授予</w:t>
      </w:r>
    </w:p>
    <w:p w14:paraId="7CEFF3C2">
      <w:pPr>
        <w:pStyle w:val="44"/>
        <w:tabs>
          <w:tab w:val="left" w:pos="420"/>
        </w:tabs>
        <w:spacing w:beforeLines="50" w:line="360" w:lineRule="auto"/>
        <w:ind w:left="770" w:leftChars="29"/>
        <w:rPr>
          <w:b/>
          <w:sz w:val="24"/>
          <w:szCs w:val="24"/>
        </w:rPr>
      </w:pPr>
      <w:r>
        <w:rPr>
          <w:rFonts w:hint="eastAsia"/>
          <w:b/>
          <w:sz w:val="24"/>
          <w:szCs w:val="24"/>
        </w:rPr>
        <w:t>8.1 中标通知</w:t>
      </w:r>
    </w:p>
    <w:p w14:paraId="11F0BC47">
      <w:pPr>
        <w:pStyle w:val="5"/>
        <w:ind w:firstLineChars="175"/>
        <w:rPr>
          <w:rFonts w:hAnsi="宋体"/>
          <w:sz w:val="24"/>
        </w:rPr>
      </w:pPr>
      <w:r>
        <w:rPr>
          <w:rFonts w:hint="eastAsia" w:hAnsi="宋体"/>
          <w:sz w:val="24"/>
        </w:rPr>
        <w:t>8.1.1 根据采购人确定的中标结果，采购代理机构将向中标人发出中标通知书。</w:t>
      </w:r>
    </w:p>
    <w:p w14:paraId="38009E67">
      <w:pPr>
        <w:pStyle w:val="5"/>
        <w:ind w:firstLineChars="175"/>
        <w:rPr>
          <w:rFonts w:hAnsi="宋体"/>
          <w:sz w:val="24"/>
        </w:rPr>
      </w:pPr>
      <w:r>
        <w:rPr>
          <w:rFonts w:hint="eastAsia" w:hAnsi="宋体"/>
          <w:sz w:val="24"/>
        </w:rPr>
        <w:t>8.1.2 中标通知书对采购单位和中标人具有同等法律效力。中标通知书发出后，采购单位改变中标结果，或者中标人放弃中标，应当承担相应的法律责任。</w:t>
      </w:r>
    </w:p>
    <w:p w14:paraId="2D06C9A8">
      <w:pPr>
        <w:pStyle w:val="5"/>
        <w:ind w:firstLineChars="175"/>
        <w:rPr>
          <w:rFonts w:hAnsi="宋体"/>
          <w:sz w:val="24"/>
        </w:rPr>
      </w:pPr>
      <w:r>
        <w:rPr>
          <w:rFonts w:hint="eastAsia" w:hAnsi="宋体"/>
          <w:sz w:val="24"/>
        </w:rPr>
        <w:t>8.1.3中标通知书是政府采购合同的组成部分。</w:t>
      </w:r>
    </w:p>
    <w:p w14:paraId="7D7D5D81">
      <w:pPr>
        <w:pStyle w:val="44"/>
        <w:tabs>
          <w:tab w:val="left" w:pos="420"/>
        </w:tabs>
        <w:spacing w:beforeLines="50" w:line="360" w:lineRule="auto"/>
        <w:ind w:left="770" w:leftChars="29"/>
        <w:rPr>
          <w:b/>
          <w:sz w:val="24"/>
          <w:szCs w:val="24"/>
        </w:rPr>
      </w:pPr>
      <w:bookmarkStart w:id="25" w:name="_7.4_履约担保"/>
      <w:bookmarkEnd w:id="25"/>
      <w:bookmarkStart w:id="26" w:name="_Toc266951087"/>
      <w:r>
        <w:rPr>
          <w:rFonts w:hint="eastAsia"/>
          <w:b/>
          <w:sz w:val="24"/>
          <w:szCs w:val="24"/>
        </w:rPr>
        <w:t>8.2 履约</w:t>
      </w:r>
      <w:bookmarkEnd w:id="26"/>
      <w:r>
        <w:rPr>
          <w:rFonts w:hint="eastAsia"/>
          <w:b/>
          <w:sz w:val="24"/>
          <w:szCs w:val="24"/>
        </w:rPr>
        <w:t>保证</w:t>
      </w:r>
    </w:p>
    <w:p w14:paraId="2B4BB3AC">
      <w:pPr>
        <w:pStyle w:val="5"/>
        <w:ind w:firstLine="480" w:firstLineChars="200"/>
        <w:rPr>
          <w:rFonts w:hAnsi="宋体"/>
          <w:sz w:val="24"/>
        </w:rPr>
      </w:pPr>
      <w:r>
        <w:rPr>
          <w:rFonts w:hint="eastAsia" w:hAnsi="宋体"/>
          <w:sz w:val="24"/>
        </w:rPr>
        <w:t>8</w:t>
      </w:r>
      <w:r>
        <w:rPr>
          <w:rFonts w:hAnsi="宋体"/>
          <w:sz w:val="24"/>
        </w:rPr>
        <w:t>.</w:t>
      </w:r>
      <w:r>
        <w:rPr>
          <w:rFonts w:hint="eastAsia" w:hAnsi="宋体"/>
          <w:sz w:val="24"/>
        </w:rPr>
        <w:t>2</w:t>
      </w:r>
      <w:r>
        <w:rPr>
          <w:rFonts w:hAnsi="宋体"/>
          <w:sz w:val="24"/>
        </w:rPr>
        <w:t xml:space="preserve">.1 </w:t>
      </w:r>
      <w:r>
        <w:rPr>
          <w:rFonts w:hint="eastAsia" w:hAnsi="宋体"/>
          <w:sz w:val="24"/>
        </w:rPr>
        <w:t>供应商在签订合同前，应根据采购人的要求缴纳履约保证金。供货验收合格后，经采购人确认后,采购人将履约保证金退还中标供应商。中标供应商如未能按合同要求供货验收不合格，采购人有权从履约保证金中取得补偿。</w:t>
      </w:r>
    </w:p>
    <w:p w14:paraId="6CC0CC7B">
      <w:pPr>
        <w:pStyle w:val="5"/>
        <w:ind w:firstLine="480" w:firstLineChars="200"/>
        <w:rPr>
          <w:rFonts w:hAnsi="宋体"/>
          <w:sz w:val="24"/>
        </w:rPr>
      </w:pPr>
      <w:r>
        <w:rPr>
          <w:rFonts w:hint="eastAsia" w:hAnsi="宋体"/>
          <w:sz w:val="24"/>
        </w:rPr>
        <w:t>8</w:t>
      </w:r>
      <w:r>
        <w:rPr>
          <w:rFonts w:hAnsi="宋体"/>
          <w:sz w:val="24"/>
        </w:rPr>
        <w:t>.</w:t>
      </w:r>
      <w:r>
        <w:rPr>
          <w:rFonts w:hint="eastAsia" w:hAnsi="宋体"/>
          <w:sz w:val="24"/>
        </w:rPr>
        <w:t>2</w:t>
      </w:r>
      <w:r>
        <w:rPr>
          <w:rFonts w:hAnsi="宋体"/>
          <w:sz w:val="24"/>
        </w:rPr>
        <w:t xml:space="preserve">.2 </w:t>
      </w:r>
      <w:r>
        <w:rPr>
          <w:rFonts w:hint="eastAsia" w:hAnsi="宋体"/>
          <w:sz w:val="24"/>
        </w:rPr>
        <w:t>中标供应商不能在中标通知书发出后、8.3.1条规定的签订合同时间前缴纳履约保证金的，视为</w:t>
      </w:r>
      <w:r>
        <w:rPr>
          <w:rFonts w:hint="eastAsia" w:hAnsi="宋体"/>
          <w:b/>
          <w:sz w:val="24"/>
        </w:rPr>
        <w:t>放弃中标</w:t>
      </w:r>
      <w:r>
        <w:rPr>
          <w:rFonts w:hint="eastAsia" w:hAnsi="宋体"/>
          <w:sz w:val="24"/>
        </w:rPr>
        <w:t>，其投标保证金不予退还，给采购单位造成的损失超过投标保证金数额的，中标供应商还应当对超过部分予以赔偿。</w:t>
      </w:r>
    </w:p>
    <w:p w14:paraId="3F1EECA0">
      <w:pPr>
        <w:pStyle w:val="5"/>
        <w:ind w:firstLine="480" w:firstLineChars="200"/>
        <w:rPr>
          <w:rFonts w:hAnsi="宋体"/>
          <w:sz w:val="24"/>
        </w:rPr>
      </w:pPr>
      <w:r>
        <w:rPr>
          <w:rFonts w:hint="eastAsia" w:hAnsi="宋体"/>
          <w:sz w:val="24"/>
        </w:rPr>
        <w:t>8.2.3 中标供应商的履约保证金将在合同履约完毕，且已签署验收合格的《项目验收单》，可办理履约保证的退还而且是无息的，任何形式的履约保证都不能中途退还。</w:t>
      </w:r>
    </w:p>
    <w:p w14:paraId="0B55A6CF">
      <w:pPr>
        <w:pStyle w:val="44"/>
        <w:tabs>
          <w:tab w:val="left" w:pos="420"/>
        </w:tabs>
        <w:spacing w:beforeLines="50" w:line="360" w:lineRule="auto"/>
        <w:ind w:left="770" w:leftChars="29"/>
        <w:rPr>
          <w:b/>
          <w:sz w:val="24"/>
          <w:szCs w:val="24"/>
        </w:rPr>
      </w:pPr>
      <w:r>
        <w:rPr>
          <w:rFonts w:hint="eastAsia"/>
          <w:b/>
          <w:sz w:val="24"/>
          <w:szCs w:val="24"/>
        </w:rPr>
        <w:t>8.3 合同签订</w:t>
      </w:r>
    </w:p>
    <w:p w14:paraId="0598FF54">
      <w:pPr>
        <w:spacing w:line="360" w:lineRule="auto"/>
        <w:ind w:firstLine="480" w:firstLineChars="200"/>
        <w:rPr>
          <w:rFonts w:ascii="宋体" w:hAnsi="宋体"/>
          <w:sz w:val="24"/>
        </w:rPr>
      </w:pPr>
      <w:r>
        <w:rPr>
          <w:rFonts w:hint="eastAsia" w:ascii="宋体" w:hAnsi="宋体"/>
          <w:sz w:val="24"/>
        </w:rPr>
        <w:t>8.3.1 合同签订周期：中标通知书发出后</w:t>
      </w:r>
      <w:r>
        <w:rPr>
          <w:rFonts w:hint="eastAsia" w:ascii="宋体" w:hAnsi="宋体"/>
          <w:sz w:val="24"/>
          <w:lang w:val="en-US" w:eastAsia="zh-CN"/>
        </w:rPr>
        <w:t>5个工作日</w:t>
      </w:r>
      <w:r>
        <w:rPr>
          <w:rFonts w:hint="eastAsia" w:ascii="宋体" w:hAnsi="宋体"/>
          <w:sz w:val="24"/>
        </w:rPr>
        <w:t>内。</w:t>
      </w:r>
    </w:p>
    <w:p w14:paraId="357D4E88">
      <w:pPr>
        <w:pStyle w:val="5"/>
        <w:ind w:firstLine="480" w:firstLineChars="200"/>
        <w:rPr>
          <w:rFonts w:hAnsi="宋体"/>
          <w:sz w:val="24"/>
        </w:rPr>
      </w:pPr>
      <w:r>
        <w:rPr>
          <w:rFonts w:hint="eastAsia" w:hAnsi="宋体"/>
          <w:sz w:val="24"/>
        </w:rPr>
        <w:t>8.3.2 采购单位应当自中标通知书发出后规定的时间内，按照招标文件和中标人投标文件的约定，与中标人签订采购合同。所签采购合同不得对招标文件和中标人的投标文件作实质性修改。</w:t>
      </w:r>
    </w:p>
    <w:p w14:paraId="3C4B6A5B">
      <w:pPr>
        <w:pStyle w:val="5"/>
        <w:ind w:firstLine="480" w:firstLineChars="200"/>
        <w:rPr>
          <w:rFonts w:hAnsi="宋体"/>
          <w:sz w:val="24"/>
        </w:rPr>
      </w:pPr>
      <w:r>
        <w:rPr>
          <w:rFonts w:hint="eastAsia" w:hAnsi="宋体"/>
          <w:sz w:val="24"/>
        </w:rPr>
        <w:t>8.3.3 中标人应按中标通知书规定的时间、地点与采购单位签订成交合同,否则投标保证金将不予退还，给采购人和采购代理机构造成损失的，供应商还应承担赔偿责任。</w:t>
      </w:r>
    </w:p>
    <w:p w14:paraId="53657315">
      <w:pPr>
        <w:pStyle w:val="5"/>
        <w:ind w:firstLineChars="175"/>
        <w:rPr>
          <w:rFonts w:hAnsi="宋体"/>
          <w:sz w:val="24"/>
        </w:rPr>
      </w:pPr>
      <w:r>
        <w:rPr>
          <w:rFonts w:hint="eastAsia" w:hAnsi="宋体"/>
          <w:sz w:val="24"/>
        </w:rPr>
        <w:t>8.3.4 采购单位不得向中标人提出任何不合理的要求作为签订合同的条件，不得与中标人私下订立背离合同实质性内容的协议。</w:t>
      </w:r>
    </w:p>
    <w:p w14:paraId="10492381">
      <w:pPr>
        <w:pStyle w:val="5"/>
        <w:ind w:firstLineChars="175"/>
        <w:rPr>
          <w:rFonts w:hAnsi="宋体"/>
          <w:sz w:val="24"/>
        </w:rPr>
      </w:pPr>
      <w:r>
        <w:rPr>
          <w:rFonts w:hint="eastAsia" w:hAnsi="宋体"/>
          <w:sz w:val="24"/>
        </w:rPr>
        <w:t>8.3.5 招标文件、中标人的投标文件及评审过程中有关澄清文件均应作为合同附件。</w:t>
      </w:r>
    </w:p>
    <w:p w14:paraId="083CF743">
      <w:pPr>
        <w:spacing w:before="100" w:beforeAutospacing="1" w:line="360" w:lineRule="auto"/>
        <w:rPr>
          <w:rFonts w:ascii="宋体" w:hAnsi="宋体"/>
          <w:b/>
          <w:sz w:val="32"/>
          <w:szCs w:val="32"/>
        </w:rPr>
      </w:pPr>
      <w:bookmarkStart w:id="27" w:name="_Toc7599"/>
      <w:r>
        <w:rPr>
          <w:rFonts w:hint="eastAsia" w:ascii="宋体" w:hAnsi="宋体"/>
          <w:b/>
          <w:sz w:val="32"/>
          <w:szCs w:val="32"/>
        </w:rPr>
        <w:t>九、监  督</w:t>
      </w:r>
      <w:bookmarkEnd w:id="27"/>
    </w:p>
    <w:p w14:paraId="2F8240E4">
      <w:pPr>
        <w:pStyle w:val="44"/>
        <w:tabs>
          <w:tab w:val="left" w:pos="420"/>
        </w:tabs>
        <w:spacing w:beforeLines="50" w:line="360" w:lineRule="auto"/>
        <w:ind w:left="770" w:leftChars="29"/>
        <w:rPr>
          <w:b/>
          <w:sz w:val="24"/>
          <w:szCs w:val="24"/>
        </w:rPr>
      </w:pPr>
      <w:r>
        <w:rPr>
          <w:rFonts w:hint="eastAsia"/>
          <w:b/>
          <w:sz w:val="24"/>
          <w:szCs w:val="24"/>
        </w:rPr>
        <w:t>9.1 适用法规</w:t>
      </w:r>
    </w:p>
    <w:p w14:paraId="3650BA0D">
      <w:pPr>
        <w:pStyle w:val="5"/>
        <w:ind w:firstLineChars="175"/>
        <w:rPr>
          <w:rFonts w:hAnsi="宋体"/>
          <w:sz w:val="24"/>
        </w:rPr>
      </w:pPr>
      <w:r>
        <w:rPr>
          <w:rFonts w:hint="eastAsia" w:hAnsi="宋体"/>
          <w:sz w:val="24"/>
        </w:rPr>
        <w:t>9.1.1 采购项目的招标活动受相关法律法规的约束，以确保采购活动的公开、公平和公正。</w:t>
      </w:r>
    </w:p>
    <w:p w14:paraId="0CEE1143">
      <w:pPr>
        <w:pStyle w:val="44"/>
        <w:tabs>
          <w:tab w:val="left" w:pos="420"/>
        </w:tabs>
        <w:spacing w:beforeLines="50" w:line="360" w:lineRule="auto"/>
        <w:ind w:left="770" w:leftChars="29"/>
        <w:rPr>
          <w:b/>
          <w:sz w:val="24"/>
          <w:szCs w:val="24"/>
        </w:rPr>
      </w:pPr>
      <w:r>
        <w:rPr>
          <w:rFonts w:hint="eastAsia"/>
          <w:b/>
          <w:sz w:val="24"/>
          <w:szCs w:val="24"/>
        </w:rPr>
        <w:t>9.2 信息发布</w:t>
      </w:r>
    </w:p>
    <w:p w14:paraId="7B5100D3">
      <w:pPr>
        <w:pStyle w:val="5"/>
        <w:ind w:firstLine="540" w:firstLineChars="225"/>
        <w:rPr>
          <w:rFonts w:hAnsi="宋体"/>
          <w:sz w:val="24"/>
        </w:rPr>
      </w:pPr>
      <w:r>
        <w:rPr>
          <w:rFonts w:hint="eastAsia" w:hAnsi="宋体"/>
          <w:sz w:val="24"/>
        </w:rPr>
        <w:t>9.2.1 招标活动过程中需对外发布的信息均统一发布到“第一章 招标公告”中指定的信息发布媒体上，投标人可从前“第一章 招标公告”中指定的信息发布媒体获取信息。</w:t>
      </w:r>
    </w:p>
    <w:p w14:paraId="74E6995B">
      <w:pPr>
        <w:pStyle w:val="44"/>
        <w:tabs>
          <w:tab w:val="left" w:pos="420"/>
        </w:tabs>
        <w:spacing w:beforeLines="50" w:line="360" w:lineRule="auto"/>
        <w:ind w:left="770" w:leftChars="29"/>
        <w:rPr>
          <w:b/>
          <w:sz w:val="24"/>
          <w:szCs w:val="24"/>
        </w:rPr>
      </w:pPr>
      <w:bookmarkStart w:id="28" w:name="_Toc266951093"/>
      <w:r>
        <w:rPr>
          <w:rFonts w:hint="eastAsia"/>
          <w:b/>
          <w:sz w:val="24"/>
          <w:szCs w:val="24"/>
        </w:rPr>
        <w:t>9.3 纪律要求</w:t>
      </w:r>
      <w:bookmarkEnd w:id="28"/>
    </w:p>
    <w:p w14:paraId="09586EF3">
      <w:pPr>
        <w:pStyle w:val="5"/>
        <w:ind w:firstLine="540" w:firstLineChars="225"/>
        <w:rPr>
          <w:rFonts w:hAnsi="宋体"/>
          <w:sz w:val="24"/>
        </w:rPr>
      </w:pPr>
      <w:r>
        <w:rPr>
          <w:rFonts w:hint="eastAsia" w:hAnsi="宋体"/>
          <w:sz w:val="24"/>
        </w:rPr>
        <w:t>9.3.1 采购单位不得泄漏招标投标活动中应当保密的情况和资料，不得与投标人串通损害国家利益、社会公共利益或者他人合法权益。</w:t>
      </w:r>
    </w:p>
    <w:p w14:paraId="75DDDD09">
      <w:pPr>
        <w:pStyle w:val="5"/>
        <w:ind w:firstLine="540" w:firstLineChars="225"/>
        <w:rPr>
          <w:rFonts w:hAnsi="宋体"/>
          <w:sz w:val="24"/>
        </w:rPr>
      </w:pPr>
      <w:bookmarkStart w:id="29" w:name="_9.2_对投标人的纪律要求"/>
      <w:bookmarkEnd w:id="29"/>
      <w:r>
        <w:rPr>
          <w:rFonts w:hint="eastAsia" w:hAnsi="宋体"/>
          <w:sz w:val="24"/>
        </w:rPr>
        <w:t>9.3.2 投标人不得相互串通投标或者与采购单位串通投标，不得向采购单位或者评标委员会成员行贿谋取中标，不得以他人名义投标或者以其他方式弄虚作假骗取中标；投标人不得以任何方式干扰、影响评标工作。以上行为一经发现，已经中标的，取消中标资格，未中标的，取消参评资格，并记入不良行为记录。</w:t>
      </w:r>
    </w:p>
    <w:p w14:paraId="01A80DC3">
      <w:pPr>
        <w:pStyle w:val="5"/>
        <w:ind w:firstLine="540" w:firstLineChars="225"/>
        <w:rPr>
          <w:rFonts w:hAnsi="宋体"/>
          <w:sz w:val="24"/>
        </w:rPr>
      </w:pPr>
      <w:r>
        <w:rPr>
          <w:rFonts w:hint="eastAsia" w:hAnsi="宋体"/>
          <w:sz w:val="24"/>
        </w:rPr>
        <w:t>9.3.3 评标委员会成员不得收受他人的财物或者其他好处，不得向他人透漏对投标文件的评审和比较、中标候选人的推荐情况以及评标有关的其他情况；在评标活动中，评标委员会成员不得擅离职守，影响评标程序正常进行；不得使用未规定的评审因素和标准进行评标；不得发表有失公正和不负责任的言论，不得相互串通和压制他人意见，不得将个人倾向性意见诱导、暗示或强加于他人认同。</w:t>
      </w:r>
    </w:p>
    <w:p w14:paraId="38446952">
      <w:pPr>
        <w:pStyle w:val="5"/>
        <w:ind w:firstLine="540" w:firstLineChars="225"/>
        <w:rPr>
          <w:rFonts w:hAnsi="宋体"/>
          <w:sz w:val="24"/>
        </w:rPr>
      </w:pPr>
      <w:bookmarkStart w:id="30" w:name="_9.4_对与评标活动有关的工作人员的纪律要求"/>
      <w:bookmarkEnd w:id="30"/>
      <w:r>
        <w:rPr>
          <w:rFonts w:hint="eastAsia" w:hAnsi="宋体"/>
          <w:sz w:val="24"/>
        </w:rPr>
        <w:t>9.3.4 与评标活动有关的工作人员不得收受他人的财物或者其他好处，不得向他人透漏对投标文件的评审和比较、中标候选人的推荐情况以及评标有关的其他情况。在评标活动中，与评标活动有关的工作人员不得擅离职守，不得利用职务之便，干扰评标活动，影响评标程序正常进行。</w:t>
      </w:r>
    </w:p>
    <w:p w14:paraId="113F6B3A">
      <w:pPr>
        <w:pStyle w:val="44"/>
        <w:tabs>
          <w:tab w:val="left" w:pos="420"/>
        </w:tabs>
        <w:spacing w:beforeLines="50" w:line="360" w:lineRule="auto"/>
        <w:ind w:left="770" w:leftChars="29"/>
        <w:rPr>
          <w:b/>
          <w:sz w:val="24"/>
          <w:szCs w:val="24"/>
        </w:rPr>
      </w:pPr>
      <w:r>
        <w:rPr>
          <w:rFonts w:hint="eastAsia"/>
          <w:b/>
          <w:sz w:val="24"/>
          <w:szCs w:val="24"/>
        </w:rPr>
        <w:t xml:space="preserve">9.4 质疑   </w:t>
      </w:r>
    </w:p>
    <w:p w14:paraId="22A0146F">
      <w:pPr>
        <w:pStyle w:val="5"/>
        <w:ind w:firstLine="540" w:firstLineChars="225"/>
        <w:rPr>
          <w:rFonts w:hAnsi="宋体"/>
          <w:sz w:val="24"/>
        </w:rPr>
      </w:pPr>
      <w:r>
        <w:rPr>
          <w:rFonts w:hint="eastAsia" w:hAnsi="宋体"/>
          <w:sz w:val="24"/>
        </w:rPr>
        <w:t>9.4.1 投标人认为招标文件、采购过程和中标结果使自己的权益受到损害的，可以在知道或者应知其权益受到损害之日起</w:t>
      </w:r>
      <w:r>
        <w:rPr>
          <w:rFonts w:hint="eastAsia" w:hAnsi="宋体"/>
          <w:b/>
          <w:sz w:val="24"/>
        </w:rPr>
        <w:t>7</w:t>
      </w:r>
      <w:r>
        <w:rPr>
          <w:rFonts w:hint="eastAsia" w:hAnsi="宋体"/>
          <w:sz w:val="24"/>
        </w:rPr>
        <w:t>个工作日内，以书面形式向采购代理机构提出质疑。如对招标文件中“申请人的资格要求”及“</w:t>
      </w:r>
      <w:r>
        <w:rPr>
          <w:rFonts w:hint="eastAsia" w:hAnsi="宋体"/>
          <w:kern w:val="28"/>
          <w:sz w:val="24"/>
        </w:rPr>
        <w:t>采购需求</w:t>
      </w:r>
      <w:r>
        <w:rPr>
          <w:rFonts w:hint="eastAsia" w:hAnsi="宋体"/>
          <w:sz w:val="24"/>
        </w:rPr>
        <w:t>”部分有质疑的，投标人应直接向采购人提出。</w:t>
      </w:r>
    </w:p>
    <w:p w14:paraId="151624FE">
      <w:pPr>
        <w:pStyle w:val="5"/>
        <w:ind w:firstLine="540" w:firstLineChars="225"/>
        <w:rPr>
          <w:rFonts w:hAnsi="宋体"/>
          <w:sz w:val="24"/>
        </w:rPr>
      </w:pPr>
      <w:r>
        <w:rPr>
          <w:rFonts w:hint="eastAsia" w:hAnsi="宋体"/>
          <w:sz w:val="24"/>
        </w:rPr>
        <w:t>其中</w:t>
      </w:r>
      <w:r>
        <w:rPr>
          <w:rFonts w:hAnsi="宋体"/>
          <w:sz w:val="24"/>
        </w:rPr>
        <w:t>对</w:t>
      </w:r>
      <w:r>
        <w:rPr>
          <w:rFonts w:hint="eastAsia" w:hAnsi="宋体"/>
          <w:sz w:val="24"/>
        </w:rPr>
        <w:t>招标文件</w:t>
      </w:r>
      <w:r>
        <w:rPr>
          <w:rFonts w:hAnsi="宋体"/>
          <w:sz w:val="24"/>
        </w:rPr>
        <w:t>提出质疑的，</w:t>
      </w:r>
      <w:r>
        <w:rPr>
          <w:rFonts w:hint="eastAsia" w:hAnsi="宋体"/>
          <w:sz w:val="24"/>
        </w:rPr>
        <w:t>“应知其权益受到损害之日”</w:t>
      </w:r>
      <w:r>
        <w:rPr>
          <w:rFonts w:hAnsi="宋体"/>
          <w:sz w:val="24"/>
        </w:rPr>
        <w:t>为</w:t>
      </w:r>
      <w:r>
        <w:rPr>
          <w:rFonts w:hint="eastAsia" w:hAnsi="宋体"/>
          <w:sz w:val="24"/>
        </w:rPr>
        <w:t>投标人确认投标之日。</w:t>
      </w:r>
    </w:p>
    <w:p w14:paraId="29F12871">
      <w:pPr>
        <w:pStyle w:val="5"/>
        <w:ind w:firstLine="540" w:firstLineChars="225"/>
        <w:rPr>
          <w:rFonts w:hAnsi="宋体"/>
          <w:sz w:val="24"/>
        </w:rPr>
      </w:pPr>
      <w:r>
        <w:rPr>
          <w:rFonts w:hint="eastAsia" w:hAnsi="宋体"/>
          <w:sz w:val="24"/>
        </w:rPr>
        <w:t>9.4.2 投标人在法定质疑期内必须一次性提出针对同一采购程序环节的质疑，采购人、采购代理机构不受理投标人针对同一采购程序环节的再次质疑。</w:t>
      </w:r>
    </w:p>
    <w:p w14:paraId="6CE1898C">
      <w:pPr>
        <w:pStyle w:val="5"/>
        <w:ind w:firstLine="540" w:firstLineChars="225"/>
        <w:rPr>
          <w:rFonts w:hAnsi="宋体"/>
          <w:sz w:val="24"/>
        </w:rPr>
      </w:pPr>
      <w:r>
        <w:rPr>
          <w:rFonts w:hint="eastAsia" w:hAnsi="宋体"/>
          <w:sz w:val="24"/>
        </w:rPr>
        <w:t>9.4.3 质疑函的递交</w:t>
      </w:r>
    </w:p>
    <w:p w14:paraId="06095754">
      <w:pPr>
        <w:pStyle w:val="5"/>
        <w:ind w:firstLine="480" w:firstLineChars="200"/>
        <w:rPr>
          <w:rFonts w:hAnsi="宋体"/>
          <w:sz w:val="24"/>
        </w:rPr>
      </w:pPr>
      <w:r>
        <w:rPr>
          <w:rFonts w:hint="eastAsia" w:hAnsi="宋体"/>
          <w:sz w:val="24"/>
        </w:rPr>
        <w:t>递交方式及所需证件：质疑人根据“质疑函”的要求递交纸质质疑函</w:t>
      </w:r>
      <w:r>
        <w:fldChar w:fldCharType="begin"/>
      </w:r>
      <w:r>
        <w:instrText xml:space="preserve"> HYPERLINK </w:instrText>
      </w:r>
      <w:r>
        <w:fldChar w:fldCharType="separate"/>
      </w:r>
      <w:r>
        <w:fldChar w:fldCharType="end"/>
      </w:r>
      <w:r>
        <w:rPr>
          <w:rFonts w:hint="eastAsia" w:hAnsi="宋体"/>
          <w:sz w:val="24"/>
        </w:rPr>
        <w:t xml:space="preserve"> ，质疑函可参照《政府采购质疑和投诉办法》</w:t>
      </w:r>
      <w:r>
        <w:rPr>
          <w:rFonts w:ascii="Arial"/>
          <w:color w:val="000000"/>
          <w:sz w:val="24"/>
          <w:shd w:val="clear" w:color="auto" w:fill="FFFFFF"/>
        </w:rPr>
        <w:t>第十二条</w:t>
      </w:r>
      <w:r>
        <w:rPr>
          <w:rFonts w:hint="eastAsia" w:ascii="Arial"/>
          <w:color w:val="000000"/>
          <w:sz w:val="24"/>
          <w:shd w:val="clear" w:color="auto" w:fill="FFFFFF"/>
        </w:rPr>
        <w:t>如实填写。</w:t>
      </w:r>
    </w:p>
    <w:p w14:paraId="7B606873">
      <w:pPr>
        <w:pStyle w:val="5"/>
        <w:ind w:firstLine="540" w:firstLineChars="225"/>
        <w:rPr>
          <w:rFonts w:hAnsi="宋体"/>
          <w:sz w:val="24"/>
        </w:rPr>
      </w:pPr>
      <w:r>
        <w:rPr>
          <w:rFonts w:hint="eastAsia" w:hAnsi="宋体"/>
          <w:sz w:val="24"/>
        </w:rPr>
        <w:t>递交地点：</w:t>
      </w:r>
    </w:p>
    <w:p w14:paraId="149F26C4">
      <w:pPr>
        <w:pStyle w:val="5"/>
        <w:ind w:firstLine="540" w:firstLineChars="225"/>
        <w:rPr>
          <w:rFonts w:hAnsi="宋体"/>
          <w:sz w:val="24"/>
        </w:rPr>
      </w:pPr>
      <w:r>
        <w:rPr>
          <w:rFonts w:hint="eastAsia" w:hAnsi="宋体"/>
          <w:sz w:val="24"/>
        </w:rPr>
        <w:t>（1）采购代理机构：</w:t>
      </w:r>
      <w:r>
        <w:rPr>
          <w:rFonts w:hint="eastAsia" w:hAnsi="宋体"/>
          <w:sz w:val="24"/>
          <w:lang w:eastAsia="zh-CN"/>
        </w:rPr>
        <w:t>海口市蓝天路名门广场北区B(6-9)1909房</w:t>
      </w:r>
      <w:r>
        <w:rPr>
          <w:rFonts w:hint="eastAsia" w:hAnsi="宋体"/>
          <w:sz w:val="24"/>
        </w:rPr>
        <w:t>。</w:t>
      </w:r>
    </w:p>
    <w:p w14:paraId="2E655FA9">
      <w:pPr>
        <w:pStyle w:val="5"/>
        <w:ind w:firstLine="540" w:firstLineChars="225"/>
        <w:rPr>
          <w:rFonts w:hAnsi="宋体"/>
          <w:sz w:val="24"/>
        </w:rPr>
      </w:pPr>
      <w:r>
        <w:rPr>
          <w:rFonts w:hint="eastAsia" w:hAnsi="宋体"/>
          <w:sz w:val="24"/>
        </w:rPr>
        <w:t>（2）采购人：见“第一章 招标公告”中“采购人地址”。</w:t>
      </w:r>
    </w:p>
    <w:p w14:paraId="1A8B0CC3">
      <w:pPr>
        <w:pStyle w:val="5"/>
        <w:ind w:firstLine="540" w:firstLineChars="225"/>
        <w:rPr>
          <w:rFonts w:hAnsi="宋体"/>
          <w:sz w:val="24"/>
        </w:rPr>
      </w:pPr>
      <w:r>
        <w:rPr>
          <w:rFonts w:hint="eastAsia" w:hAnsi="宋体"/>
          <w:sz w:val="24"/>
        </w:rPr>
        <w:t>9.4.4 采购代理机构应当在收到投标人的书面质疑后</w:t>
      </w:r>
      <w:r>
        <w:rPr>
          <w:rFonts w:hint="eastAsia" w:hAnsi="宋体"/>
          <w:b/>
          <w:sz w:val="24"/>
        </w:rPr>
        <w:t>7</w:t>
      </w:r>
      <w:r>
        <w:rPr>
          <w:rFonts w:hint="eastAsia" w:hAnsi="宋体"/>
          <w:sz w:val="24"/>
        </w:rPr>
        <w:t>个工作日内，参照政府采购法第五十一条、第五十三条的规定就采购单位委托授权范围内的事项，以书面形式向质疑人和其他有关投标人做出答复，但答复的内容不得涉及商业秘密。</w:t>
      </w:r>
    </w:p>
    <w:p w14:paraId="7477F419">
      <w:pPr>
        <w:pStyle w:val="44"/>
        <w:tabs>
          <w:tab w:val="left" w:pos="420"/>
        </w:tabs>
        <w:spacing w:beforeLines="50" w:line="360" w:lineRule="auto"/>
        <w:ind w:left="770" w:leftChars="29"/>
        <w:rPr>
          <w:b/>
          <w:sz w:val="24"/>
          <w:szCs w:val="24"/>
        </w:rPr>
      </w:pPr>
      <w:bookmarkStart w:id="31" w:name="_9.5_投诉"/>
      <w:bookmarkEnd w:id="31"/>
      <w:bookmarkStart w:id="32" w:name="_Toc266951097"/>
      <w:r>
        <w:rPr>
          <w:rFonts w:hint="eastAsia"/>
          <w:b/>
          <w:sz w:val="24"/>
          <w:szCs w:val="24"/>
        </w:rPr>
        <w:t>9.5 投诉</w:t>
      </w:r>
      <w:bookmarkEnd w:id="32"/>
    </w:p>
    <w:p w14:paraId="18085EC1">
      <w:pPr>
        <w:pStyle w:val="5"/>
        <w:ind w:firstLine="540" w:firstLineChars="225"/>
        <w:rPr>
          <w:rFonts w:hAnsi="宋体"/>
          <w:sz w:val="24"/>
        </w:rPr>
      </w:pPr>
      <w:r>
        <w:rPr>
          <w:rFonts w:hint="eastAsia" w:hAnsi="宋体"/>
          <w:sz w:val="24"/>
        </w:rPr>
        <w:t xml:space="preserve">9.5.1 </w:t>
      </w:r>
      <w:bookmarkStart w:id="33" w:name="EBc6e786d1f3ba49c7be945a8d45e37b5f"/>
      <w:r>
        <w:rPr>
          <w:rFonts w:hint="eastAsia" w:hAnsi="宋体"/>
          <w:sz w:val="24"/>
        </w:rPr>
        <w:t>质疑供应商对采购人、采购代理机构的答复不满意或者采购人、采购代理机构未在规定的时间内作出答复的，可以在答复期满后十五个工作日内向政府采购监督管理部门投诉。</w:t>
      </w:r>
      <w:bookmarkEnd w:id="33"/>
    </w:p>
    <w:p w14:paraId="3CB69400">
      <w:pPr>
        <w:spacing w:before="100" w:beforeAutospacing="1" w:line="360" w:lineRule="auto"/>
        <w:rPr>
          <w:rFonts w:ascii="宋体" w:hAnsi="宋体"/>
          <w:b/>
          <w:sz w:val="32"/>
          <w:szCs w:val="32"/>
        </w:rPr>
      </w:pPr>
      <w:bookmarkStart w:id="34" w:name="_9.1_对招标人的纪律要求"/>
      <w:bookmarkEnd w:id="34"/>
      <w:bookmarkStart w:id="35" w:name="_Toc18160"/>
      <w:r>
        <w:rPr>
          <w:rFonts w:hint="eastAsia" w:ascii="宋体" w:hAnsi="宋体"/>
          <w:b/>
          <w:sz w:val="32"/>
          <w:szCs w:val="32"/>
        </w:rPr>
        <w:t>十、其  它</w:t>
      </w:r>
      <w:bookmarkEnd w:id="35"/>
    </w:p>
    <w:p w14:paraId="02A626FE">
      <w:pPr>
        <w:pStyle w:val="44"/>
        <w:tabs>
          <w:tab w:val="left" w:pos="420"/>
        </w:tabs>
        <w:spacing w:beforeLines="50" w:line="360" w:lineRule="auto"/>
        <w:ind w:left="770" w:leftChars="29"/>
        <w:rPr>
          <w:b/>
          <w:sz w:val="24"/>
          <w:szCs w:val="24"/>
        </w:rPr>
      </w:pPr>
      <w:bookmarkStart w:id="36" w:name="_Toc266951099"/>
      <w:r>
        <w:rPr>
          <w:rFonts w:hint="eastAsia"/>
          <w:b/>
          <w:sz w:val="24"/>
          <w:szCs w:val="24"/>
        </w:rPr>
        <w:t>10.1 不良行为</w:t>
      </w:r>
      <w:bookmarkEnd w:id="36"/>
    </w:p>
    <w:p w14:paraId="6E4C27B6">
      <w:pPr>
        <w:pStyle w:val="5"/>
        <w:ind w:firstLineChars="175"/>
        <w:rPr>
          <w:rFonts w:hAnsi="宋体"/>
          <w:sz w:val="24"/>
        </w:rPr>
      </w:pPr>
      <w:r>
        <w:rPr>
          <w:rFonts w:hint="eastAsia" w:hAnsi="宋体"/>
          <w:sz w:val="24"/>
        </w:rPr>
        <w:t>10.1.1投标人存在的以下情况，将被认定为不良行为：</w:t>
      </w:r>
    </w:p>
    <w:p w14:paraId="48A8EE3D">
      <w:pPr>
        <w:pStyle w:val="5"/>
        <w:ind w:firstLineChars="175"/>
        <w:rPr>
          <w:rFonts w:hAnsi="宋体"/>
          <w:sz w:val="24"/>
        </w:rPr>
      </w:pPr>
      <w:r>
        <w:rPr>
          <w:rFonts w:hint="eastAsia" w:hAnsi="宋体"/>
          <w:sz w:val="24"/>
        </w:rPr>
        <w:t>(1)投标人在投标活动中存在违反规定提供虚假、无效证件等行为的；</w:t>
      </w:r>
    </w:p>
    <w:p w14:paraId="56F35E98">
      <w:pPr>
        <w:pStyle w:val="5"/>
        <w:ind w:firstLineChars="175"/>
        <w:rPr>
          <w:rFonts w:hAnsi="宋体"/>
          <w:sz w:val="24"/>
        </w:rPr>
      </w:pPr>
      <w:r>
        <w:rPr>
          <w:rFonts w:hint="eastAsia" w:hAnsi="宋体"/>
          <w:sz w:val="24"/>
        </w:rPr>
        <w:t>(</w:t>
      </w:r>
      <w:r>
        <w:rPr>
          <w:rFonts w:hint="eastAsia" w:hAnsi="宋体"/>
          <w:sz w:val="24"/>
          <w:lang w:val="en-US" w:eastAsia="zh-CN"/>
        </w:rPr>
        <w:t>2</w:t>
      </w:r>
      <w:r>
        <w:rPr>
          <w:rFonts w:hint="eastAsia" w:hAnsi="宋体"/>
          <w:sz w:val="24"/>
        </w:rPr>
        <w:t>)投标人在参加投标活动时，有围标、串标、陪标等行为的；</w:t>
      </w:r>
    </w:p>
    <w:p w14:paraId="707D0A73">
      <w:pPr>
        <w:pStyle w:val="5"/>
        <w:ind w:firstLineChars="175"/>
        <w:rPr>
          <w:rFonts w:hAnsi="宋体"/>
          <w:sz w:val="24"/>
        </w:rPr>
      </w:pPr>
      <w:r>
        <w:rPr>
          <w:rFonts w:hint="eastAsia" w:hAnsi="宋体"/>
          <w:sz w:val="24"/>
        </w:rPr>
        <w:t>(</w:t>
      </w:r>
      <w:r>
        <w:rPr>
          <w:rFonts w:hint="eastAsia" w:hAnsi="宋体"/>
          <w:sz w:val="24"/>
          <w:lang w:val="en-US" w:eastAsia="zh-CN"/>
        </w:rPr>
        <w:t>3</w:t>
      </w:r>
      <w:r>
        <w:rPr>
          <w:rFonts w:hint="eastAsia" w:hAnsi="宋体"/>
          <w:sz w:val="24"/>
        </w:rPr>
        <w:t>)投标人不遵守投标会场纪律,扰乱招投标秩序的;</w:t>
      </w:r>
    </w:p>
    <w:p w14:paraId="078EA2A8">
      <w:pPr>
        <w:pStyle w:val="5"/>
        <w:ind w:firstLineChars="175"/>
        <w:rPr>
          <w:rFonts w:hAnsi="宋体"/>
          <w:sz w:val="24"/>
        </w:rPr>
      </w:pPr>
      <w:r>
        <w:rPr>
          <w:rFonts w:hint="eastAsia" w:hAnsi="宋体"/>
          <w:sz w:val="24"/>
        </w:rPr>
        <w:t>(</w:t>
      </w:r>
      <w:r>
        <w:rPr>
          <w:rFonts w:hint="eastAsia" w:hAnsi="宋体"/>
          <w:sz w:val="24"/>
          <w:lang w:val="en-US" w:eastAsia="zh-CN"/>
        </w:rPr>
        <w:t>4</w:t>
      </w:r>
      <w:r>
        <w:rPr>
          <w:rFonts w:hint="eastAsia" w:hAnsi="宋体"/>
          <w:sz w:val="24"/>
        </w:rPr>
        <w:t>)有其他违反行业市场及采购管理有关规定行为的；</w:t>
      </w:r>
    </w:p>
    <w:p w14:paraId="564A654A">
      <w:pPr>
        <w:pStyle w:val="5"/>
        <w:ind w:firstLineChars="175"/>
        <w:rPr>
          <w:rFonts w:hAnsi="宋体"/>
          <w:sz w:val="24"/>
        </w:rPr>
      </w:pPr>
      <w:r>
        <w:rPr>
          <w:rFonts w:hAnsi="宋体"/>
          <w:sz w:val="24"/>
        </w:rPr>
        <w:t>(</w:t>
      </w:r>
      <w:r>
        <w:rPr>
          <w:rFonts w:hint="eastAsia" w:hAnsi="宋体"/>
          <w:sz w:val="24"/>
          <w:lang w:val="en-US" w:eastAsia="zh-CN"/>
        </w:rPr>
        <w:t>5</w:t>
      </w:r>
      <w:r>
        <w:rPr>
          <w:rFonts w:hint="eastAsia" w:hAnsi="宋体"/>
          <w:sz w:val="24"/>
        </w:rPr>
        <w:t>)有行政监督管理部门认定的其他不良行为的；</w:t>
      </w:r>
    </w:p>
    <w:p w14:paraId="6E491502">
      <w:pPr>
        <w:pStyle w:val="5"/>
        <w:ind w:firstLineChars="175"/>
        <w:rPr>
          <w:rFonts w:hAnsi="宋体"/>
          <w:sz w:val="24"/>
        </w:rPr>
      </w:pPr>
      <w:r>
        <w:rPr>
          <w:rFonts w:hAnsi="宋体"/>
          <w:sz w:val="24"/>
        </w:rPr>
        <w:t>（</w:t>
      </w:r>
      <w:r>
        <w:rPr>
          <w:rFonts w:hint="eastAsia" w:hAnsi="宋体"/>
          <w:sz w:val="24"/>
          <w:lang w:val="en-US" w:eastAsia="zh-CN"/>
        </w:rPr>
        <w:t>6</w:t>
      </w:r>
      <w:r>
        <w:rPr>
          <w:rFonts w:hAnsi="宋体"/>
          <w:sz w:val="24"/>
        </w:rPr>
        <w:t>）</w:t>
      </w:r>
      <w:r>
        <w:rPr>
          <w:rFonts w:hint="eastAsia" w:hAnsi="宋体"/>
          <w:sz w:val="24"/>
        </w:rPr>
        <w:t>向采购方人或代理机构任何人行贿的。</w:t>
      </w:r>
    </w:p>
    <w:p w14:paraId="20B430A6">
      <w:pPr>
        <w:pStyle w:val="44"/>
        <w:tabs>
          <w:tab w:val="left" w:pos="420"/>
        </w:tabs>
        <w:spacing w:beforeLines="50" w:line="360" w:lineRule="auto"/>
        <w:ind w:left="770" w:leftChars="29"/>
        <w:rPr>
          <w:b/>
          <w:sz w:val="24"/>
          <w:szCs w:val="24"/>
        </w:rPr>
      </w:pPr>
      <w:bookmarkStart w:id="37" w:name="_10.2_招标控制价（拦标价）"/>
      <w:bookmarkEnd w:id="37"/>
      <w:bookmarkStart w:id="38" w:name="_10.2_招标控制价"/>
      <w:bookmarkEnd w:id="38"/>
      <w:bookmarkStart w:id="39" w:name="_10.2_招标控制价及标底"/>
      <w:bookmarkEnd w:id="39"/>
      <w:bookmarkStart w:id="40" w:name="_Toc266951100"/>
      <w:r>
        <w:rPr>
          <w:rFonts w:hint="eastAsia"/>
          <w:b/>
          <w:sz w:val="24"/>
          <w:szCs w:val="24"/>
        </w:rPr>
        <w:t>10.2 招标控制价</w:t>
      </w:r>
      <w:bookmarkEnd w:id="40"/>
    </w:p>
    <w:p w14:paraId="6728B2C3">
      <w:pPr>
        <w:pStyle w:val="5"/>
        <w:ind w:firstLineChars="175"/>
        <w:rPr>
          <w:rFonts w:hAnsi="宋体"/>
          <w:sz w:val="24"/>
        </w:rPr>
      </w:pPr>
      <w:r>
        <w:rPr>
          <w:rFonts w:hint="eastAsia" w:hAnsi="宋体"/>
          <w:sz w:val="24"/>
        </w:rPr>
        <w:t>招标文件中规定的最高限价为招标控制价；如未规定最高限价的，则项目预算金额为招标控制价。</w:t>
      </w:r>
    </w:p>
    <w:p w14:paraId="00F3EF6F">
      <w:pPr>
        <w:pStyle w:val="44"/>
        <w:tabs>
          <w:tab w:val="left" w:pos="420"/>
        </w:tabs>
        <w:spacing w:beforeLines="50" w:line="360" w:lineRule="auto"/>
        <w:ind w:left="770" w:leftChars="29"/>
        <w:rPr>
          <w:b/>
          <w:sz w:val="24"/>
          <w:szCs w:val="24"/>
        </w:rPr>
      </w:pPr>
      <w:bookmarkStart w:id="41" w:name="_10.6_投标人代表出席开标会"/>
      <w:bookmarkEnd w:id="41"/>
      <w:bookmarkStart w:id="42" w:name="_10.8_知识产权"/>
      <w:bookmarkEnd w:id="42"/>
      <w:r>
        <w:rPr>
          <w:rFonts w:hint="eastAsia"/>
          <w:b/>
          <w:sz w:val="24"/>
          <w:szCs w:val="24"/>
        </w:rPr>
        <w:t>10.3 知识产权</w:t>
      </w:r>
    </w:p>
    <w:p w14:paraId="7A5F329A">
      <w:pPr>
        <w:pStyle w:val="5"/>
        <w:ind w:firstLineChars="175"/>
        <w:rPr>
          <w:rFonts w:hAnsi="宋体"/>
          <w:sz w:val="24"/>
        </w:rPr>
      </w:pPr>
      <w:r>
        <w:rPr>
          <w:rFonts w:hAnsi="宋体"/>
          <w:sz w:val="24"/>
        </w:rPr>
        <w:t>构成本招标文件各个组成部分的文件，未经采购单位书面同意，投标人不得擅自复印和用于非本招标</w:t>
      </w:r>
      <w:r>
        <w:rPr>
          <w:rFonts w:hint="eastAsia" w:hAnsi="宋体"/>
          <w:sz w:val="24"/>
        </w:rPr>
        <w:t>项目</w:t>
      </w:r>
      <w:r>
        <w:rPr>
          <w:rFonts w:hAnsi="宋体"/>
          <w:sz w:val="24"/>
        </w:rPr>
        <w:t>所需的其他目的</w:t>
      </w:r>
      <w:r>
        <w:rPr>
          <w:rFonts w:hint="eastAsia" w:hAnsi="宋体"/>
          <w:sz w:val="24"/>
        </w:rPr>
        <w:t>。</w:t>
      </w:r>
      <w:r>
        <w:rPr>
          <w:rFonts w:hAnsi="宋体"/>
          <w:sz w:val="24"/>
        </w:rPr>
        <w:t>采购单位全部或者部分使用</w:t>
      </w:r>
      <w:r>
        <w:rPr>
          <w:rFonts w:hint="eastAsia" w:hAnsi="宋体"/>
          <w:sz w:val="24"/>
        </w:rPr>
        <w:t>未</w:t>
      </w:r>
      <w:r>
        <w:rPr>
          <w:rFonts w:hAnsi="宋体"/>
          <w:sz w:val="24"/>
        </w:rPr>
        <w:t>中标</w:t>
      </w:r>
      <w:r>
        <w:rPr>
          <w:rFonts w:hint="eastAsia" w:hAnsi="宋体"/>
          <w:sz w:val="24"/>
        </w:rPr>
        <w:t>人</w:t>
      </w:r>
      <w:r>
        <w:rPr>
          <w:rFonts w:hAnsi="宋体"/>
          <w:sz w:val="24"/>
        </w:rPr>
        <w:t>投标文件中的技术成果或技术方案时，需征得其书面同意，并不得擅自复印或提供给</w:t>
      </w:r>
      <w:r>
        <w:rPr>
          <w:rFonts w:hint="eastAsia" w:hAnsi="宋体"/>
          <w:sz w:val="24"/>
        </w:rPr>
        <w:t>第三</w:t>
      </w:r>
      <w:r>
        <w:rPr>
          <w:rFonts w:hAnsi="宋体"/>
          <w:sz w:val="24"/>
        </w:rPr>
        <w:t>人。</w:t>
      </w:r>
      <w:bookmarkStart w:id="43" w:name="_10.10_解释权"/>
      <w:bookmarkEnd w:id="43"/>
      <w:bookmarkStart w:id="44" w:name="_10.9_重新招标"/>
      <w:bookmarkEnd w:id="44"/>
      <w:bookmarkStart w:id="45" w:name="_10.9_重新招标的其他情形"/>
      <w:bookmarkEnd w:id="45"/>
    </w:p>
    <w:p w14:paraId="3AC9F53A">
      <w:pPr>
        <w:pStyle w:val="44"/>
        <w:tabs>
          <w:tab w:val="left" w:pos="420"/>
        </w:tabs>
        <w:spacing w:beforeLines="50" w:line="360" w:lineRule="auto"/>
        <w:ind w:left="770" w:leftChars="29"/>
        <w:rPr>
          <w:b/>
          <w:sz w:val="24"/>
          <w:szCs w:val="24"/>
        </w:rPr>
      </w:pPr>
      <w:bookmarkStart w:id="46" w:name="_10.11_监督"/>
      <w:bookmarkEnd w:id="46"/>
      <w:bookmarkStart w:id="47" w:name="_10.11_招标人认为需要补充的其他内容"/>
      <w:bookmarkEnd w:id="47"/>
      <w:bookmarkStart w:id="48" w:name="_10.10_同义词语"/>
      <w:bookmarkEnd w:id="48"/>
      <w:bookmarkStart w:id="49" w:name="_10.12_解释权"/>
      <w:bookmarkEnd w:id="49"/>
      <w:r>
        <w:rPr>
          <w:rFonts w:hint="eastAsia"/>
          <w:b/>
          <w:sz w:val="24"/>
          <w:szCs w:val="24"/>
        </w:rPr>
        <w:t>10.4 解释权</w:t>
      </w:r>
    </w:p>
    <w:p w14:paraId="13F050E8">
      <w:pPr>
        <w:pStyle w:val="5"/>
        <w:ind w:firstLineChars="175"/>
        <w:rPr>
          <w:rFonts w:hAnsi="宋体"/>
          <w:sz w:val="24"/>
        </w:rPr>
        <w:sectPr>
          <w:footerReference r:id="rId3" w:type="default"/>
          <w:pgSz w:w="11906" w:h="16838"/>
          <w:pgMar w:top="1440" w:right="1133" w:bottom="1440" w:left="1418" w:header="851" w:footer="992" w:gutter="0"/>
          <w:pgNumType w:start="1"/>
          <w:cols w:space="720" w:num="1"/>
          <w:docGrid w:type="lines" w:linePitch="312" w:charSpace="0"/>
        </w:sectPr>
      </w:pPr>
      <w:r>
        <w:rPr>
          <w:rFonts w:hint="eastAsia" w:hAnsi="宋体"/>
          <w:sz w:val="24"/>
        </w:rPr>
        <w:t>构成本招标文件的各个组成文件应互为解释，互为说明；如有不明确或不一致，构成合同文件组成内容的，以合同文件约定内容为准；除招标文件中有特别规定外，仅适用于招标投标阶段的规定，按招标公告、投标人须知、评标办法、投标文件格式的先后顺序解释；同一文件中就同一事项的规定或约定不一致的，以编排顺序在后者为准；同一文件不同版本之间有不一致的，以形成时间在后者为准。按本款前述规定仍不能形成结论的，</w:t>
      </w:r>
      <w:r>
        <w:rPr>
          <w:rFonts w:hAnsi="宋体"/>
          <w:sz w:val="24"/>
        </w:rPr>
        <w:t>由采购代理机构和采购单位负责解释</w:t>
      </w:r>
      <w:r>
        <w:rPr>
          <w:rFonts w:hint="eastAsia" w:hAnsi="宋体"/>
          <w:sz w:val="24"/>
        </w:rPr>
        <w:t>。</w:t>
      </w:r>
    </w:p>
    <w:p w14:paraId="7A53AE48">
      <w:pPr>
        <w:pStyle w:val="2"/>
        <w:widowControl/>
        <w:numPr>
          <w:ilvl w:val="0"/>
          <w:numId w:val="1"/>
        </w:numPr>
        <w:shd w:val="clear" w:color="auto" w:fill="FFFFFF"/>
        <w:spacing w:before="0" w:beforeAutospacing="0" w:after="0" w:afterAutospacing="0" w:line="20" w:lineRule="atLeast"/>
        <w:jc w:val="center"/>
        <w:rPr>
          <w:rFonts w:cs="宋体"/>
          <w:sz w:val="44"/>
          <w:szCs w:val="44"/>
          <w:shd w:val="clear" w:color="auto" w:fill="FFFFFF"/>
        </w:rPr>
      </w:pPr>
      <w:bookmarkStart w:id="50" w:name="_Toc17666"/>
      <w:bookmarkStart w:id="51" w:name="_Toc16945"/>
      <w:r>
        <w:rPr>
          <w:rFonts w:cs="宋体"/>
          <w:sz w:val="44"/>
          <w:szCs w:val="44"/>
          <w:shd w:val="clear" w:color="auto" w:fill="FFFFFF"/>
        </w:rPr>
        <w:t>采购需求</w:t>
      </w:r>
      <w:bookmarkEnd w:id="50"/>
      <w:bookmarkEnd w:id="51"/>
    </w:p>
    <w:p w14:paraId="4202226F">
      <w:pPr>
        <w:numPr>
          <w:ilvl w:val="0"/>
          <w:numId w:val="0"/>
        </w:numPr>
        <w:rPr>
          <w:rFonts w:hint="default"/>
        </w:rPr>
      </w:pPr>
    </w:p>
    <w:p w14:paraId="2262E0DD">
      <w:pPr>
        <w:spacing w:line="500" w:lineRule="exact"/>
        <w:ind w:firstLine="556" w:firstLineChars="200"/>
        <w:outlineLvl w:val="1"/>
        <w:rPr>
          <w:rFonts w:ascii="黑体" w:hAnsi="黑体" w:eastAsia="黑体" w:cs="黑体"/>
          <w:color w:val="auto"/>
          <w:sz w:val="28"/>
          <w:szCs w:val="28"/>
          <w:lang w:eastAsia="zh-CN"/>
        </w:rPr>
      </w:pPr>
      <w:bookmarkStart w:id="52" w:name="_Toc23675"/>
      <w:r>
        <w:rPr>
          <w:rFonts w:hint="eastAsia" w:ascii="黑体" w:hAnsi="黑体" w:eastAsia="黑体" w:cs="黑体"/>
          <w:color w:val="auto"/>
          <w:spacing w:val="-1"/>
          <w:sz w:val="28"/>
          <w:szCs w:val="28"/>
          <w:lang w:eastAsia="zh-CN"/>
        </w:rPr>
        <w:t>一、项目概况</w:t>
      </w:r>
    </w:p>
    <w:p w14:paraId="4EEBFB69">
      <w:pPr>
        <w:spacing w:line="500" w:lineRule="exact"/>
        <w:ind w:firstLine="476" w:firstLineChars="200"/>
        <w:outlineLvl w:val="2"/>
        <w:rPr>
          <w:rFonts w:ascii="宋体" w:hAnsi="宋体" w:eastAsia="宋体" w:cs="宋体"/>
          <w:color w:val="auto"/>
          <w:spacing w:val="-1"/>
          <w:sz w:val="24"/>
          <w:szCs w:val="24"/>
          <w:lang w:eastAsia="zh-CN"/>
        </w:rPr>
      </w:pPr>
      <w:r>
        <w:rPr>
          <w:rFonts w:hint="eastAsia" w:ascii="宋体" w:hAnsi="宋体" w:eastAsia="宋体" w:cs="宋体"/>
          <w:color w:val="auto"/>
          <w:spacing w:val="-1"/>
          <w:sz w:val="24"/>
          <w:szCs w:val="24"/>
          <w:lang w:eastAsia="zh-CN"/>
        </w:rPr>
        <w:t>1.项目名称：低空经济航路建设研究及项目谋划</w:t>
      </w:r>
    </w:p>
    <w:p w14:paraId="122DFFB4">
      <w:pPr>
        <w:spacing w:line="500" w:lineRule="exact"/>
        <w:ind w:firstLine="476" w:firstLineChars="200"/>
        <w:outlineLvl w:val="2"/>
        <w:rPr>
          <w:rFonts w:ascii="宋体" w:hAnsi="宋体" w:eastAsia="宋体" w:cs="宋体"/>
          <w:color w:val="auto"/>
          <w:spacing w:val="-1"/>
          <w:sz w:val="24"/>
          <w:szCs w:val="24"/>
          <w:lang w:eastAsia="zh-CN"/>
        </w:rPr>
      </w:pPr>
      <w:r>
        <w:rPr>
          <w:rFonts w:hint="eastAsia" w:ascii="宋体" w:hAnsi="宋体" w:eastAsia="宋体" w:cs="宋体"/>
          <w:color w:val="auto"/>
          <w:spacing w:val="-1"/>
          <w:sz w:val="24"/>
          <w:szCs w:val="24"/>
          <w:lang w:eastAsia="zh-CN"/>
        </w:rPr>
        <w:t>2.采购预算：190</w:t>
      </w:r>
      <w:r>
        <w:rPr>
          <w:rFonts w:hint="eastAsia" w:ascii="宋体" w:hAnsi="宋体" w:eastAsia="宋体" w:cs="宋体"/>
          <w:color w:val="auto"/>
          <w:spacing w:val="-1"/>
          <w:sz w:val="24"/>
          <w:szCs w:val="24"/>
          <w:lang w:val="en-US" w:eastAsia="zh-CN"/>
        </w:rPr>
        <w:t>.00</w:t>
      </w:r>
      <w:r>
        <w:rPr>
          <w:rFonts w:hint="eastAsia" w:ascii="宋体" w:hAnsi="宋体" w:eastAsia="宋体" w:cs="宋体"/>
          <w:color w:val="auto"/>
          <w:spacing w:val="-1"/>
          <w:sz w:val="24"/>
          <w:szCs w:val="24"/>
          <w:lang w:eastAsia="zh-CN"/>
        </w:rPr>
        <w:t>万元</w:t>
      </w:r>
    </w:p>
    <w:p w14:paraId="74672590">
      <w:pPr>
        <w:spacing w:line="500" w:lineRule="exact"/>
        <w:ind w:firstLine="476" w:firstLineChars="200"/>
        <w:outlineLvl w:val="2"/>
        <w:rPr>
          <w:rFonts w:ascii="宋体" w:hAnsi="宋体" w:eastAsia="宋体" w:cs="宋体"/>
          <w:color w:val="auto"/>
          <w:spacing w:val="-1"/>
          <w:sz w:val="24"/>
          <w:szCs w:val="24"/>
          <w:lang w:eastAsia="zh-CN"/>
        </w:rPr>
      </w:pPr>
      <w:r>
        <w:rPr>
          <w:rFonts w:hint="eastAsia" w:ascii="宋体" w:hAnsi="宋体" w:eastAsia="宋体" w:cs="宋体"/>
          <w:color w:val="auto"/>
          <w:spacing w:val="-1"/>
          <w:sz w:val="24"/>
          <w:szCs w:val="24"/>
          <w:lang w:eastAsia="zh-CN"/>
        </w:rPr>
        <w:t>3.采购内容：根据国家关于发展低空经济有关要求以及《海南低空经济发展三年行动计划（2024-2026年）》《海南省2025年低空经济发展工作要点》文件要求，开展海南低空经济航路建设研究及项目谋划，编制海南低空航路建设方案，形成满足落地要求的低空航空建设项目谋划清单，并制定符合立法和制度文件深度要求的《海南省低空经济产业发展促进条例》和《海南省低空经济产业发展管理办法》成果文件。</w:t>
      </w:r>
    </w:p>
    <w:p w14:paraId="3BB42C12">
      <w:pPr>
        <w:spacing w:line="500" w:lineRule="exact"/>
        <w:ind w:firstLine="556" w:firstLineChars="200"/>
        <w:outlineLvl w:val="1"/>
        <w:rPr>
          <w:rFonts w:ascii="黑体" w:hAnsi="黑体" w:eastAsia="黑体" w:cs="黑体"/>
          <w:color w:val="auto"/>
          <w:spacing w:val="-1"/>
          <w:sz w:val="28"/>
          <w:szCs w:val="28"/>
          <w:lang w:eastAsia="zh-CN"/>
        </w:rPr>
      </w:pPr>
      <w:r>
        <w:rPr>
          <w:rFonts w:hint="eastAsia" w:ascii="黑体" w:hAnsi="黑体" w:eastAsia="黑体" w:cs="黑体"/>
          <w:color w:val="auto"/>
          <w:spacing w:val="-1"/>
          <w:sz w:val="28"/>
          <w:szCs w:val="28"/>
          <w:lang w:eastAsia="zh-CN"/>
        </w:rPr>
        <w:t>二、服务内容及要求</w:t>
      </w:r>
    </w:p>
    <w:p w14:paraId="4F4D5ACF">
      <w:pPr>
        <w:spacing w:line="500" w:lineRule="exact"/>
        <w:ind w:firstLine="476" w:firstLineChars="200"/>
        <w:jc w:val="both"/>
        <w:outlineLvl w:val="2"/>
        <w:rPr>
          <w:rFonts w:ascii="宋体" w:hAnsi="宋体" w:eastAsia="宋体" w:cs="宋体"/>
          <w:color w:val="auto"/>
          <w:spacing w:val="-1"/>
          <w:sz w:val="24"/>
          <w:szCs w:val="24"/>
          <w:highlight w:val="none"/>
          <w:lang w:eastAsia="zh-CN"/>
        </w:rPr>
      </w:pPr>
      <w:r>
        <w:rPr>
          <w:rFonts w:hint="eastAsia" w:ascii="宋体" w:hAnsi="宋体" w:eastAsia="宋体" w:cs="宋体"/>
          <w:color w:val="auto"/>
          <w:spacing w:val="-1"/>
          <w:sz w:val="24"/>
          <w:szCs w:val="24"/>
          <w:highlight w:val="none"/>
          <w:lang w:eastAsia="zh-CN"/>
        </w:rPr>
        <w:t>1. 谋划海南低空航路建设项目：根据国家对建设低空航路的相关指导要求，分析海南“环岛”“跨海”等低空航路建设需求，谋划一批先导示范项目，编制海南省低空航路基础设施建设方案，并形成海南低空航路建设项目谋划清单。</w:t>
      </w:r>
    </w:p>
    <w:p w14:paraId="5ADFDF57">
      <w:pPr>
        <w:spacing w:line="500" w:lineRule="exact"/>
        <w:ind w:firstLine="476" w:firstLineChars="200"/>
        <w:jc w:val="both"/>
        <w:outlineLvl w:val="2"/>
        <w:rPr>
          <w:rFonts w:ascii="宋体" w:hAnsi="宋体" w:eastAsia="宋体" w:cs="宋体"/>
          <w:color w:val="auto"/>
          <w:spacing w:val="-1"/>
          <w:sz w:val="24"/>
          <w:szCs w:val="24"/>
          <w:highlight w:val="none"/>
          <w:lang w:eastAsia="zh-CN"/>
        </w:rPr>
      </w:pPr>
      <w:r>
        <w:rPr>
          <w:rFonts w:hint="eastAsia" w:ascii="宋体" w:hAnsi="宋体" w:eastAsia="宋体" w:cs="宋体"/>
          <w:color w:val="auto"/>
          <w:spacing w:val="-1"/>
          <w:sz w:val="24"/>
          <w:szCs w:val="24"/>
          <w:highlight w:val="none"/>
          <w:lang w:eastAsia="zh-CN"/>
        </w:rPr>
        <w:t>2. 研究海南省低空经济产业发展促进条例：依据《中华人民共和国民用航空法》《中华人民共和国飞行基本规则》《无人驾驶航空器飞行管理暂行条例》《优化营商环境条例》《民用无人驾驶航空器运行安全管理规则》，围绕海南低空基础设施、飞行服务、产业应用、产业支持、技术创新、安全管理、法律责任等方面，开展促进海南省低空经济产业发展立法研究，起草符合立法要求的文件成果，并协助采购人完成立法工作。</w:t>
      </w:r>
    </w:p>
    <w:p w14:paraId="42CF7477">
      <w:pPr>
        <w:spacing w:line="500" w:lineRule="exact"/>
        <w:ind w:firstLine="476" w:firstLineChars="200"/>
        <w:jc w:val="both"/>
        <w:outlineLvl w:val="2"/>
        <w:rPr>
          <w:rFonts w:ascii="宋体" w:hAnsi="宋体" w:eastAsia="宋体" w:cs="宋体"/>
          <w:color w:val="auto"/>
          <w:spacing w:val="-1"/>
          <w:sz w:val="24"/>
          <w:szCs w:val="24"/>
          <w:highlight w:val="none"/>
          <w:lang w:eastAsia="zh-CN"/>
        </w:rPr>
      </w:pPr>
      <w:r>
        <w:rPr>
          <w:rFonts w:hint="eastAsia" w:ascii="宋体" w:hAnsi="宋体" w:eastAsia="宋体" w:cs="宋体"/>
          <w:color w:val="auto"/>
          <w:spacing w:val="-1"/>
          <w:sz w:val="24"/>
          <w:szCs w:val="24"/>
          <w:highlight w:val="none"/>
          <w:lang w:eastAsia="zh-CN"/>
        </w:rPr>
        <w:t>3. 研究海南省低空经济产业发展管理办法：依据国家关于推进低空经济高质量发展的意见以及促进低空安全规范发展的相关制度导则，结合低空经济发达地区管理经验，围绕规范低空基础设施建设管理、完善低空飞行服务管理、民用无人驾驶航空器安全管理、促进低空产业健康发展等方面，开展海南低空经济发展制度设计，明确各部门职责分工，提出相关管理程序和管理规定，并形成具有操作性、具体性和可执行性的成果文件。</w:t>
      </w:r>
    </w:p>
    <w:p w14:paraId="266C5B48">
      <w:pPr>
        <w:spacing w:line="500" w:lineRule="exact"/>
        <w:ind w:firstLine="556" w:firstLineChars="200"/>
        <w:outlineLvl w:val="1"/>
        <w:rPr>
          <w:rFonts w:ascii="黑体" w:hAnsi="黑体" w:eastAsia="黑体" w:cs="黑体"/>
          <w:color w:val="auto"/>
          <w:spacing w:val="-1"/>
          <w:sz w:val="28"/>
          <w:szCs w:val="28"/>
          <w:lang w:eastAsia="zh-CN"/>
        </w:rPr>
      </w:pPr>
      <w:r>
        <w:rPr>
          <w:rFonts w:hint="eastAsia" w:ascii="黑体" w:hAnsi="黑体" w:eastAsia="黑体" w:cs="黑体"/>
          <w:color w:val="auto"/>
          <w:spacing w:val="-1"/>
          <w:sz w:val="28"/>
          <w:szCs w:val="28"/>
          <w:lang w:eastAsia="zh-CN"/>
        </w:rPr>
        <w:t>三、商务要求</w:t>
      </w:r>
    </w:p>
    <w:p w14:paraId="0908D715">
      <w:pPr>
        <w:spacing w:line="500" w:lineRule="exact"/>
        <w:ind w:firstLine="476" w:firstLineChars="200"/>
        <w:rPr>
          <w:rFonts w:ascii="宋体" w:hAnsi="宋体" w:eastAsia="宋体" w:cs="宋体"/>
          <w:color w:val="auto"/>
          <w:spacing w:val="-1"/>
          <w:sz w:val="24"/>
          <w:szCs w:val="24"/>
          <w:highlight w:val="none"/>
          <w:lang w:eastAsia="zh-CN"/>
        </w:rPr>
      </w:pPr>
      <w:r>
        <w:rPr>
          <w:rFonts w:hint="eastAsia" w:ascii="宋体" w:hAnsi="宋体" w:eastAsia="宋体" w:cs="宋体"/>
          <w:color w:val="auto"/>
          <w:spacing w:val="-1"/>
          <w:sz w:val="24"/>
          <w:szCs w:val="24"/>
          <w:highlight w:val="none"/>
          <w:lang w:eastAsia="zh-CN"/>
        </w:rPr>
        <w:t>1.合同履行期限（服务期限）：合同签订生效后至海南低空航路建设方案成果获得国家发展改革委认可且协助采购人完成《海南省低空经济产业发展促进条例》立法以及出台《海南省低空经济产业发展管理办法》为止。</w:t>
      </w:r>
    </w:p>
    <w:p w14:paraId="46E5F5BC">
      <w:pPr>
        <w:spacing w:line="500" w:lineRule="exact"/>
        <w:ind w:firstLine="476" w:firstLineChars="200"/>
        <w:outlineLvl w:val="2"/>
        <w:rPr>
          <w:rFonts w:ascii="宋体" w:hAnsi="宋体" w:eastAsia="宋体" w:cs="宋体"/>
          <w:color w:val="auto"/>
          <w:spacing w:val="-1"/>
          <w:sz w:val="24"/>
          <w:szCs w:val="24"/>
          <w:lang w:eastAsia="zh-CN"/>
        </w:rPr>
      </w:pPr>
      <w:r>
        <w:rPr>
          <w:rFonts w:hint="eastAsia" w:ascii="宋体" w:hAnsi="宋体" w:eastAsia="宋体" w:cs="宋体"/>
          <w:color w:val="auto"/>
          <w:spacing w:val="-1"/>
          <w:sz w:val="24"/>
          <w:szCs w:val="24"/>
          <w:lang w:eastAsia="zh-CN"/>
        </w:rPr>
        <w:t>2.服务地点：采购人指定地点。</w:t>
      </w:r>
    </w:p>
    <w:p w14:paraId="16B0058A">
      <w:pPr>
        <w:spacing w:line="500" w:lineRule="exact"/>
        <w:ind w:firstLine="476" w:firstLineChars="200"/>
        <w:outlineLvl w:val="2"/>
        <w:rPr>
          <w:rFonts w:ascii="宋体" w:hAnsi="宋体" w:eastAsia="宋体" w:cs="宋体"/>
          <w:color w:val="auto"/>
          <w:spacing w:val="-1"/>
          <w:sz w:val="24"/>
          <w:szCs w:val="24"/>
          <w:lang w:eastAsia="zh-CN"/>
        </w:rPr>
      </w:pPr>
      <w:r>
        <w:rPr>
          <w:rFonts w:hint="eastAsia" w:ascii="宋体" w:hAnsi="宋体" w:eastAsia="宋体" w:cs="宋体"/>
          <w:color w:val="auto"/>
          <w:spacing w:val="-1"/>
          <w:sz w:val="24"/>
          <w:szCs w:val="24"/>
          <w:lang w:eastAsia="zh-CN"/>
        </w:rPr>
        <w:t>3.付款方式：</w:t>
      </w:r>
    </w:p>
    <w:p w14:paraId="7D94D654">
      <w:pPr>
        <w:spacing w:line="500" w:lineRule="exact"/>
        <w:ind w:firstLine="476" w:firstLineChars="200"/>
        <w:jc w:val="both"/>
        <w:outlineLvl w:val="2"/>
        <w:rPr>
          <w:rFonts w:ascii="宋体" w:hAnsi="宋体" w:eastAsia="宋体" w:cs="宋体"/>
          <w:color w:val="auto"/>
          <w:spacing w:val="-1"/>
          <w:sz w:val="24"/>
          <w:szCs w:val="24"/>
          <w:highlight w:val="none"/>
          <w:lang w:eastAsia="zh-CN"/>
        </w:rPr>
      </w:pPr>
      <w:r>
        <w:rPr>
          <w:rFonts w:hint="eastAsia" w:ascii="宋体" w:hAnsi="宋体" w:eastAsia="宋体" w:cs="宋体"/>
          <w:color w:val="auto"/>
          <w:spacing w:val="-1"/>
          <w:sz w:val="24"/>
          <w:szCs w:val="24"/>
          <w:highlight w:val="none"/>
          <w:lang w:eastAsia="zh-CN"/>
        </w:rPr>
        <w:t>（1）合同签订后10个工作日内，中标人开具有效发票给采购人，采购人收到发票后向中标人支付合同金额50%的项目款。</w:t>
      </w:r>
    </w:p>
    <w:p w14:paraId="69440E3F">
      <w:pPr>
        <w:spacing w:line="500" w:lineRule="exact"/>
        <w:ind w:firstLine="476" w:firstLineChars="200"/>
        <w:jc w:val="both"/>
        <w:outlineLvl w:val="2"/>
        <w:rPr>
          <w:rFonts w:ascii="宋体" w:hAnsi="宋体" w:eastAsia="宋体" w:cs="宋体"/>
          <w:color w:val="auto"/>
          <w:spacing w:val="-1"/>
          <w:sz w:val="24"/>
          <w:szCs w:val="24"/>
          <w:highlight w:val="none"/>
          <w:lang w:eastAsia="zh-CN"/>
        </w:rPr>
      </w:pPr>
      <w:r>
        <w:rPr>
          <w:rFonts w:hint="eastAsia" w:ascii="宋体" w:hAnsi="宋体" w:eastAsia="宋体" w:cs="宋体"/>
          <w:color w:val="auto"/>
          <w:spacing w:val="-1"/>
          <w:sz w:val="24"/>
          <w:szCs w:val="24"/>
          <w:highlight w:val="none"/>
          <w:lang w:eastAsia="zh-CN"/>
        </w:rPr>
        <w:t>（2）中标人提交相关研究报告成果，通过专家评审验收会并修改完善后10个工作日内，采购人收到发票后向中标人支付合同45%的项目款。</w:t>
      </w:r>
    </w:p>
    <w:p w14:paraId="6967EBBD">
      <w:pPr>
        <w:spacing w:line="500" w:lineRule="exact"/>
        <w:ind w:firstLine="476" w:firstLineChars="200"/>
        <w:jc w:val="both"/>
        <w:outlineLvl w:val="2"/>
        <w:rPr>
          <w:rFonts w:ascii="宋体" w:hAnsi="宋体" w:eastAsia="宋体" w:cs="宋体"/>
          <w:color w:val="auto"/>
          <w:spacing w:val="-1"/>
          <w:sz w:val="24"/>
          <w:szCs w:val="24"/>
          <w:highlight w:val="none"/>
          <w:lang w:eastAsia="zh-CN"/>
        </w:rPr>
      </w:pPr>
      <w:r>
        <w:rPr>
          <w:rFonts w:hint="eastAsia" w:ascii="宋体" w:hAnsi="宋体" w:eastAsia="宋体" w:cs="宋体"/>
          <w:color w:val="auto"/>
          <w:spacing w:val="-1"/>
          <w:sz w:val="24"/>
          <w:szCs w:val="24"/>
          <w:highlight w:val="none"/>
          <w:lang w:eastAsia="zh-CN"/>
        </w:rPr>
        <w:t>（3）海南低空航路建设方案成果获得国家发展改革委认可且协助采购人完成海南低空《海南省低空经济产业发展促进条例》立法以及出台《海南省低空经济产业发展管理办法》后10个工作日内，采购人向中标人支付合同5%的项目款。</w:t>
      </w:r>
    </w:p>
    <w:p w14:paraId="46980FDB">
      <w:pPr>
        <w:spacing w:line="500" w:lineRule="exact"/>
        <w:ind w:firstLine="476" w:firstLineChars="200"/>
        <w:outlineLvl w:val="2"/>
        <w:rPr>
          <w:rFonts w:ascii="宋体" w:hAnsi="宋体" w:eastAsia="宋体" w:cs="宋体"/>
          <w:color w:val="auto"/>
          <w:spacing w:val="-1"/>
          <w:sz w:val="24"/>
          <w:szCs w:val="24"/>
          <w:lang w:eastAsia="zh-CN"/>
        </w:rPr>
      </w:pPr>
      <w:r>
        <w:rPr>
          <w:rFonts w:hint="eastAsia" w:ascii="宋体" w:hAnsi="宋体" w:eastAsia="宋体" w:cs="宋体"/>
          <w:color w:val="auto"/>
          <w:spacing w:val="-1"/>
          <w:sz w:val="24"/>
          <w:szCs w:val="24"/>
          <w:lang w:eastAsia="zh-CN"/>
        </w:rPr>
        <w:t>4.质量标准：按照国家及相关的行业标准、规程、规范、技术条例。</w:t>
      </w:r>
    </w:p>
    <w:p w14:paraId="4F85B004">
      <w:pPr>
        <w:spacing w:line="500" w:lineRule="exact"/>
        <w:ind w:firstLine="476" w:firstLineChars="200"/>
        <w:outlineLvl w:val="2"/>
        <w:rPr>
          <w:rFonts w:ascii="宋体" w:hAnsi="宋体" w:eastAsia="宋体" w:cs="宋体"/>
          <w:color w:val="auto"/>
          <w:spacing w:val="-1"/>
          <w:sz w:val="24"/>
          <w:szCs w:val="24"/>
          <w:lang w:eastAsia="zh-CN"/>
        </w:rPr>
      </w:pPr>
      <w:r>
        <w:rPr>
          <w:rFonts w:hint="eastAsia" w:ascii="宋体" w:hAnsi="宋体" w:eastAsia="宋体" w:cs="宋体"/>
          <w:color w:val="auto"/>
          <w:spacing w:val="-1"/>
          <w:sz w:val="24"/>
          <w:szCs w:val="24"/>
          <w:lang w:eastAsia="zh-CN"/>
        </w:rPr>
        <w:t>5.验收标准：按照国家行业规划标准及合同要求进行验收。</w:t>
      </w:r>
    </w:p>
    <w:p w14:paraId="1D07D920">
      <w:pPr>
        <w:spacing w:line="500" w:lineRule="exact"/>
        <w:ind w:firstLine="476" w:firstLineChars="200"/>
        <w:outlineLvl w:val="2"/>
        <w:rPr>
          <w:rFonts w:ascii="宋体" w:hAnsi="宋体" w:eastAsia="宋体" w:cs="宋体"/>
          <w:color w:val="auto"/>
          <w:spacing w:val="-1"/>
          <w:sz w:val="24"/>
          <w:szCs w:val="24"/>
          <w:lang w:eastAsia="zh-CN"/>
        </w:rPr>
      </w:pPr>
      <w:r>
        <w:rPr>
          <w:rFonts w:hint="eastAsia" w:ascii="宋体" w:hAnsi="宋体" w:eastAsia="宋体" w:cs="宋体"/>
          <w:color w:val="auto"/>
          <w:spacing w:val="-1"/>
          <w:sz w:val="24"/>
          <w:szCs w:val="24"/>
          <w:lang w:eastAsia="zh-CN"/>
        </w:rPr>
        <w:t>6.报价说明：本项目投标人的报价为完成服务期限内所有可能发展难得费用的综合体现，包括人工、材料、损耗、管理、保险、利润、各种税费及一切有关的费用。</w:t>
      </w:r>
    </w:p>
    <w:p w14:paraId="64741A45">
      <w:pPr>
        <w:spacing w:line="500" w:lineRule="exact"/>
        <w:ind w:firstLine="556" w:firstLineChars="200"/>
        <w:outlineLvl w:val="2"/>
        <w:rPr>
          <w:rFonts w:ascii="黑体" w:hAnsi="黑体" w:eastAsia="黑体" w:cs="黑体"/>
          <w:color w:val="auto"/>
          <w:spacing w:val="-1"/>
          <w:sz w:val="28"/>
          <w:szCs w:val="28"/>
          <w:lang w:eastAsia="zh-CN"/>
        </w:rPr>
      </w:pPr>
      <w:r>
        <w:rPr>
          <w:rFonts w:hint="eastAsia" w:ascii="黑体" w:hAnsi="黑体" w:eastAsia="黑体" w:cs="黑体"/>
          <w:color w:val="auto"/>
          <w:spacing w:val="-1"/>
          <w:sz w:val="28"/>
          <w:szCs w:val="28"/>
          <w:lang w:eastAsia="zh-CN"/>
        </w:rPr>
        <w:t>四、其他要求</w:t>
      </w:r>
    </w:p>
    <w:p w14:paraId="6C214452">
      <w:pPr>
        <w:spacing w:line="500" w:lineRule="exact"/>
        <w:ind w:firstLine="476" w:firstLineChars="200"/>
        <w:outlineLvl w:val="2"/>
        <w:rPr>
          <w:rFonts w:ascii="宋体" w:hAnsi="宋体" w:eastAsia="宋体" w:cs="宋体"/>
          <w:color w:val="auto"/>
          <w:spacing w:val="-1"/>
          <w:sz w:val="24"/>
          <w:szCs w:val="24"/>
          <w:lang w:eastAsia="zh-CN"/>
        </w:rPr>
      </w:pPr>
      <w:r>
        <w:rPr>
          <w:rFonts w:hint="eastAsia" w:ascii="宋体" w:hAnsi="宋体" w:eastAsia="宋体" w:cs="宋体"/>
          <w:color w:val="auto"/>
          <w:spacing w:val="-1"/>
          <w:sz w:val="24"/>
          <w:szCs w:val="24"/>
          <w:lang w:eastAsia="zh-CN"/>
        </w:rPr>
        <w:t>1.中标供应商要保持同采购人的密切联系，遇有重大事项及时报告和反馈信息，尊重项目业主方的意见，接受项目业主方的提议、监督和指导。</w:t>
      </w:r>
    </w:p>
    <w:p w14:paraId="11D8A659">
      <w:pPr>
        <w:spacing w:line="500" w:lineRule="exact"/>
        <w:ind w:firstLine="476" w:firstLineChars="200"/>
        <w:outlineLvl w:val="2"/>
        <w:rPr>
          <w:rFonts w:ascii="宋体" w:hAnsi="宋体" w:eastAsia="宋体" w:cs="宋体"/>
          <w:color w:val="auto"/>
          <w:spacing w:val="-1"/>
          <w:sz w:val="24"/>
          <w:szCs w:val="24"/>
          <w:lang w:eastAsia="zh-CN"/>
        </w:rPr>
      </w:pPr>
      <w:r>
        <w:rPr>
          <w:rFonts w:hint="eastAsia" w:ascii="宋体" w:hAnsi="宋体" w:eastAsia="宋体" w:cs="宋体"/>
          <w:color w:val="auto"/>
          <w:spacing w:val="-1"/>
          <w:sz w:val="24"/>
          <w:szCs w:val="24"/>
          <w:lang w:eastAsia="zh-CN"/>
        </w:rPr>
        <w:t xml:space="preserve">2.在中标结果公示期间，采购人有权对中标候选人的资质证书等进行核查， 如发现与其响应文件中的描述不一，代理机构将报政府采购主管部门严肃处理。         </w:t>
      </w:r>
    </w:p>
    <w:p w14:paraId="6BD1B653">
      <w:pPr>
        <w:spacing w:line="500" w:lineRule="exact"/>
        <w:ind w:firstLine="476" w:firstLineChars="200"/>
        <w:outlineLvl w:val="2"/>
        <w:rPr>
          <w:rFonts w:ascii="宋体" w:hAnsi="宋体" w:eastAsia="宋体" w:cs="宋体"/>
          <w:color w:val="auto"/>
          <w:spacing w:val="-1"/>
          <w:sz w:val="24"/>
          <w:szCs w:val="24"/>
          <w:lang w:eastAsia="zh-CN"/>
        </w:rPr>
      </w:pPr>
      <w:r>
        <w:rPr>
          <w:rFonts w:hint="eastAsia" w:ascii="宋体" w:hAnsi="宋体" w:eastAsia="宋体" w:cs="宋体"/>
          <w:color w:val="auto"/>
          <w:spacing w:val="-1"/>
          <w:sz w:val="24"/>
          <w:szCs w:val="24"/>
          <w:lang w:eastAsia="zh-CN"/>
        </w:rPr>
        <w:t>3.保密要求。本项目实施过程中获得的相关数据信息未经采购人允许，一律不得对外发布，一律不得用于论文发表、著作发布、科研实验等。</w:t>
      </w:r>
    </w:p>
    <w:p w14:paraId="552AB374">
      <w:pPr>
        <w:spacing w:line="280" w:lineRule="auto"/>
        <w:rPr>
          <w:rFonts w:ascii="宋体" w:hAnsi="宋体" w:eastAsia="宋体" w:cs="宋体"/>
          <w:color w:val="auto"/>
          <w:sz w:val="24"/>
          <w:szCs w:val="24"/>
          <w:lang w:eastAsia="zh-CN"/>
        </w:rPr>
        <w:sectPr>
          <w:footerReference r:id="rId4" w:type="default"/>
          <w:pgSz w:w="11906" w:h="16839"/>
          <w:pgMar w:top="1431" w:right="1738" w:bottom="449" w:left="1785" w:header="0" w:footer="210" w:gutter="0"/>
          <w:cols w:space="720" w:num="1"/>
        </w:sectPr>
      </w:pPr>
    </w:p>
    <w:p w14:paraId="6A2BC66F">
      <w:pPr>
        <w:rPr>
          <w:rFonts w:cs="宋体"/>
          <w:sz w:val="44"/>
          <w:szCs w:val="44"/>
          <w:shd w:val="clear" w:color="auto" w:fill="FFFFFF"/>
        </w:rPr>
      </w:pPr>
      <w:bookmarkStart w:id="53" w:name="_Toc20"/>
    </w:p>
    <w:p w14:paraId="3D5EA94C">
      <w:pPr>
        <w:pStyle w:val="2"/>
        <w:widowControl/>
        <w:shd w:val="clear" w:color="auto" w:fill="FFFFFF"/>
        <w:spacing w:before="0" w:beforeAutospacing="0" w:after="0" w:afterAutospacing="0" w:line="20" w:lineRule="atLeast"/>
        <w:jc w:val="center"/>
        <w:rPr>
          <w:rFonts w:hint="default" w:cs="宋体"/>
          <w:sz w:val="44"/>
          <w:szCs w:val="44"/>
          <w:shd w:val="clear" w:color="auto" w:fill="FFFFFF"/>
        </w:rPr>
      </w:pPr>
      <w:r>
        <w:rPr>
          <w:rFonts w:cs="宋体"/>
          <w:sz w:val="44"/>
          <w:szCs w:val="44"/>
          <w:shd w:val="clear" w:color="auto" w:fill="FFFFFF"/>
        </w:rPr>
        <w:t>第四章 评标办法</w:t>
      </w:r>
      <w:bookmarkEnd w:id="52"/>
      <w:bookmarkEnd w:id="53"/>
    </w:p>
    <w:p w14:paraId="32A724AB">
      <w:pPr>
        <w:pStyle w:val="2"/>
        <w:widowControl/>
        <w:shd w:val="clear" w:color="auto" w:fill="FFFFFF"/>
        <w:spacing w:before="0" w:beforeAutospacing="0" w:after="0" w:afterAutospacing="0" w:line="20" w:lineRule="atLeast"/>
        <w:jc w:val="center"/>
        <w:rPr>
          <w:rFonts w:hint="default" w:ascii="Verdana" w:hAnsi="Verdana" w:eastAsia="Verdana" w:cs="Verdana"/>
          <w:sz w:val="44"/>
          <w:szCs w:val="44"/>
        </w:rPr>
      </w:pPr>
      <w:bookmarkStart w:id="54" w:name="_Toc9077"/>
      <w:bookmarkStart w:id="55" w:name="_Toc17218"/>
      <w:r>
        <w:rPr>
          <w:rFonts w:cs="宋体"/>
          <w:sz w:val="44"/>
          <w:szCs w:val="44"/>
          <w:shd w:val="clear" w:color="auto" w:fill="FFFFFF"/>
        </w:rPr>
        <w:t>前附表</w:t>
      </w:r>
      <w:bookmarkEnd w:id="54"/>
      <w:bookmarkEnd w:id="55"/>
    </w:p>
    <w:p w14:paraId="06C0A930">
      <w:pPr>
        <w:pStyle w:val="4"/>
        <w:widowControl/>
        <w:shd w:val="clear" w:color="auto" w:fill="FFFFFF"/>
        <w:spacing w:before="0" w:beforeAutospacing="0" w:after="0" w:afterAutospacing="0" w:line="20" w:lineRule="atLeast"/>
        <w:rPr>
          <w:rFonts w:hint="default" w:cs="宋体"/>
          <w:sz w:val="28"/>
          <w:szCs w:val="28"/>
          <w:shd w:val="clear" w:color="auto" w:fill="FFFFFF"/>
        </w:rPr>
      </w:pPr>
      <w:bookmarkStart w:id="56" w:name="_Toc4306"/>
      <w:r>
        <w:rPr>
          <w:rFonts w:cs="宋体"/>
          <w:sz w:val="28"/>
          <w:szCs w:val="28"/>
          <w:shd w:val="clear" w:color="auto" w:fill="FFFFFF"/>
        </w:rPr>
        <w:t>资格性审查标准</w:t>
      </w:r>
      <w:bookmarkEnd w:id="56"/>
    </w:p>
    <w:tbl>
      <w:tblPr>
        <w:tblStyle w:val="19"/>
        <w:tblW w:w="9956"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292"/>
        <w:gridCol w:w="5664"/>
      </w:tblGrid>
      <w:tr w14:paraId="4E92107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21" w:hRule="atLeast"/>
        </w:trPr>
        <w:tc>
          <w:tcPr>
            <w:tcW w:w="4292" w:type="dxa"/>
            <w:vAlign w:val="center"/>
          </w:tcPr>
          <w:p w14:paraId="2077D734">
            <w:pPr>
              <w:jc w:val="center"/>
            </w:pPr>
            <w:r>
              <w:rPr>
                <w:rFonts w:ascii="宋体" w:hAnsi="宋体" w:cs="宋体"/>
                <w:kern w:val="0"/>
                <w:sz w:val="24"/>
              </w:rPr>
              <w:t>评审因素</w:t>
            </w:r>
          </w:p>
        </w:tc>
        <w:tc>
          <w:tcPr>
            <w:tcW w:w="5664" w:type="dxa"/>
            <w:vAlign w:val="center"/>
          </w:tcPr>
          <w:p w14:paraId="2B4ECF49">
            <w:pPr>
              <w:jc w:val="center"/>
            </w:pPr>
            <w:r>
              <w:rPr>
                <w:rFonts w:ascii="宋体" w:hAnsi="宋体" w:cs="宋体"/>
                <w:kern w:val="0"/>
                <w:sz w:val="24"/>
              </w:rPr>
              <w:t>评审标准</w:t>
            </w:r>
          </w:p>
        </w:tc>
      </w:tr>
      <w:tr w14:paraId="75A19EE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21" w:hRule="atLeast"/>
        </w:trPr>
        <w:tc>
          <w:tcPr>
            <w:tcW w:w="4292" w:type="dxa"/>
            <w:vAlign w:val="center"/>
          </w:tcPr>
          <w:p w14:paraId="0B4A04E3">
            <w:pPr>
              <w:rPr>
                <w:rFonts w:hint="default" w:ascii="宋体" w:hAnsi="宋体" w:cs="宋体"/>
                <w:kern w:val="0"/>
                <w:sz w:val="24"/>
                <w:lang w:val="en-US" w:eastAsia="zh-CN"/>
              </w:rPr>
            </w:pPr>
            <w:r>
              <w:rPr>
                <w:rFonts w:hint="eastAsia" w:ascii="宋体" w:hAnsi="宋体" w:cs="宋体"/>
                <w:kern w:val="0"/>
                <w:sz w:val="24"/>
                <w:lang w:val="en-US" w:eastAsia="zh-CN"/>
              </w:rPr>
              <w:t>投标人资格要求</w:t>
            </w:r>
          </w:p>
        </w:tc>
        <w:tc>
          <w:tcPr>
            <w:tcW w:w="5664" w:type="dxa"/>
            <w:vAlign w:val="center"/>
          </w:tcPr>
          <w:p w14:paraId="528FD30B">
            <w:pPr>
              <w:rPr>
                <w:rFonts w:hint="default" w:ascii="宋体" w:hAnsi="宋体" w:cs="宋体"/>
                <w:kern w:val="0"/>
                <w:sz w:val="24"/>
                <w:lang w:val="en-US" w:eastAsia="zh-CN"/>
              </w:rPr>
            </w:pPr>
            <w:r>
              <w:rPr>
                <w:rFonts w:hint="eastAsia" w:ascii="宋体" w:hAnsi="宋体" w:cs="宋体"/>
                <w:kern w:val="0"/>
                <w:sz w:val="24"/>
                <w:lang w:val="en-US" w:eastAsia="zh-CN"/>
              </w:rPr>
              <w:t>是否符合招标文件要求</w:t>
            </w:r>
          </w:p>
        </w:tc>
      </w:tr>
      <w:tr w14:paraId="1B0A71F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21" w:hRule="atLeast"/>
        </w:trPr>
        <w:tc>
          <w:tcPr>
            <w:tcW w:w="4292" w:type="dxa"/>
            <w:vAlign w:val="center"/>
          </w:tcPr>
          <w:p w14:paraId="0C8CC80C">
            <w:pPr>
              <w:jc w:val="left"/>
              <w:rPr>
                <w:rFonts w:ascii="宋体" w:hAnsi="宋体" w:cs="宋体"/>
                <w:kern w:val="0"/>
                <w:sz w:val="24"/>
              </w:rPr>
            </w:pPr>
            <w:r>
              <w:rPr>
                <w:rFonts w:hint="eastAsia" w:ascii="宋体" w:hAnsi="宋体" w:cs="宋体"/>
                <w:kern w:val="0"/>
                <w:sz w:val="24"/>
              </w:rPr>
              <w:t>其他要求</w:t>
            </w:r>
          </w:p>
        </w:tc>
        <w:tc>
          <w:tcPr>
            <w:tcW w:w="5664" w:type="dxa"/>
            <w:vAlign w:val="center"/>
          </w:tcPr>
          <w:p w14:paraId="711FB2FE">
            <w:pPr>
              <w:rPr>
                <w:rFonts w:ascii="宋体" w:hAnsi="宋体" w:cs="宋体"/>
                <w:kern w:val="0"/>
                <w:sz w:val="24"/>
              </w:rPr>
            </w:pPr>
            <w:r>
              <w:rPr>
                <w:rFonts w:hint="eastAsia" w:ascii="宋体" w:hAnsi="宋体" w:cs="宋体"/>
                <w:kern w:val="0"/>
                <w:sz w:val="24"/>
              </w:rPr>
              <w:t>无其他不符合招标文件资格要求的条件</w:t>
            </w:r>
          </w:p>
        </w:tc>
      </w:tr>
    </w:tbl>
    <w:p w14:paraId="6860F246">
      <w:pPr>
        <w:pStyle w:val="4"/>
        <w:widowControl/>
        <w:shd w:val="clear" w:color="auto" w:fill="FFFFFF"/>
        <w:spacing w:before="0" w:beforeAutospacing="0" w:after="0" w:afterAutospacing="0" w:line="20" w:lineRule="atLeast"/>
        <w:rPr>
          <w:rFonts w:hint="default" w:cs="宋体"/>
          <w:sz w:val="28"/>
          <w:szCs w:val="28"/>
          <w:shd w:val="clear" w:color="auto" w:fill="FFFFFF"/>
        </w:rPr>
      </w:pPr>
      <w:bookmarkStart w:id="57" w:name="_Toc19497"/>
    </w:p>
    <w:p w14:paraId="1A261E59">
      <w:pPr>
        <w:spacing w:line="360" w:lineRule="auto"/>
        <w:ind w:right="-92" w:rightChars="-44"/>
        <w:rPr>
          <w:color w:val="auto"/>
        </w:rPr>
      </w:pPr>
      <w:r>
        <w:rPr>
          <w:rFonts w:hint="eastAsia"/>
          <w:color w:val="auto"/>
        </w:rPr>
        <w:t>注：</w:t>
      </w:r>
    </w:p>
    <w:p w14:paraId="241FB29A">
      <w:pPr>
        <w:spacing w:line="360" w:lineRule="auto"/>
        <w:ind w:right="-92" w:rightChars="-44"/>
        <w:rPr>
          <w:color w:val="auto"/>
        </w:rPr>
      </w:pPr>
      <w:r>
        <w:rPr>
          <w:rFonts w:hint="eastAsia"/>
          <w:color w:val="auto"/>
        </w:rPr>
        <w:t>1、表中只需填写“ √ ”通过或“×”不通过；</w:t>
      </w:r>
    </w:p>
    <w:p w14:paraId="0BD020D1">
      <w:pPr>
        <w:spacing w:line="360" w:lineRule="auto"/>
        <w:ind w:right="-92" w:rightChars="-44"/>
        <w:rPr>
          <w:color w:val="auto"/>
        </w:rPr>
      </w:pPr>
      <w:r>
        <w:rPr>
          <w:rFonts w:hint="eastAsia"/>
          <w:color w:val="auto"/>
        </w:rPr>
        <w:t>2、在结论中按“一项否决 ”的原则，只有全部是“ √ ”通过的，填写“合格 ”；只</w:t>
      </w:r>
    </w:p>
    <w:p w14:paraId="24BA4BC9">
      <w:pPr>
        <w:spacing w:line="360" w:lineRule="auto"/>
        <w:ind w:right="-92" w:rightChars="-44"/>
        <w:rPr>
          <w:color w:val="auto"/>
        </w:rPr>
      </w:pPr>
      <w:r>
        <w:rPr>
          <w:rFonts w:hint="eastAsia"/>
          <w:color w:val="auto"/>
        </w:rPr>
        <w:t>要其中有一项是“×”不通过的，填写“不合格”；</w:t>
      </w:r>
    </w:p>
    <w:p w14:paraId="54A7FA35">
      <w:pPr>
        <w:numPr>
          <w:ilvl w:val="0"/>
          <w:numId w:val="2"/>
        </w:numPr>
        <w:spacing w:line="360" w:lineRule="auto"/>
        <w:ind w:right="-92" w:rightChars="-44"/>
        <w:rPr>
          <w:color w:val="auto"/>
        </w:rPr>
      </w:pPr>
      <w:r>
        <w:rPr>
          <w:rFonts w:hint="eastAsia"/>
          <w:color w:val="auto"/>
        </w:rPr>
        <w:t>结论是合格的，才能进入下一轮，不合格的被淘汰。</w:t>
      </w:r>
    </w:p>
    <w:p w14:paraId="38F24619">
      <w:pPr>
        <w:rPr>
          <w:rFonts w:hint="eastAsia"/>
          <w:lang w:val="en-US" w:eastAsia="zh-CN"/>
        </w:rPr>
      </w:pPr>
    </w:p>
    <w:p w14:paraId="0FB8B880">
      <w:pPr>
        <w:rPr>
          <w:rFonts w:hint="default" w:eastAsia="宋体"/>
          <w:sz w:val="28"/>
          <w:szCs w:val="36"/>
          <w:lang w:val="en-US" w:eastAsia="zh-CN"/>
        </w:rPr>
      </w:pPr>
      <w:r>
        <w:rPr>
          <w:rFonts w:hint="eastAsia"/>
          <w:sz w:val="28"/>
          <w:szCs w:val="36"/>
          <w:lang w:val="en-US" w:eastAsia="zh-CN"/>
        </w:rPr>
        <w:t>采购人或采购代理机构：</w:t>
      </w:r>
    </w:p>
    <w:p w14:paraId="28CE39BB">
      <w:pPr>
        <w:pStyle w:val="4"/>
        <w:widowControl/>
        <w:shd w:val="clear" w:color="auto" w:fill="FFFFFF"/>
        <w:spacing w:before="0" w:beforeAutospacing="0" w:after="0" w:afterAutospacing="0" w:line="20" w:lineRule="atLeast"/>
        <w:rPr>
          <w:rFonts w:cs="宋体"/>
          <w:sz w:val="28"/>
          <w:szCs w:val="28"/>
          <w:shd w:val="clear" w:color="auto" w:fill="FFFFFF"/>
        </w:rPr>
      </w:pPr>
    </w:p>
    <w:p w14:paraId="57D52C47">
      <w:pPr>
        <w:rPr>
          <w:rFonts w:cs="宋体"/>
          <w:sz w:val="28"/>
          <w:szCs w:val="28"/>
          <w:shd w:val="clear" w:color="auto" w:fill="FFFFFF"/>
        </w:rPr>
      </w:pPr>
      <w:r>
        <w:rPr>
          <w:rFonts w:cs="宋体"/>
          <w:sz w:val="28"/>
          <w:szCs w:val="28"/>
          <w:shd w:val="clear" w:color="auto" w:fill="FFFFFF"/>
        </w:rPr>
        <w:br w:type="page"/>
      </w:r>
    </w:p>
    <w:p w14:paraId="160B4EE8">
      <w:pPr>
        <w:pStyle w:val="4"/>
        <w:widowControl/>
        <w:shd w:val="clear" w:color="auto" w:fill="FFFFFF"/>
        <w:spacing w:before="0" w:beforeAutospacing="0" w:after="0" w:afterAutospacing="0" w:line="20" w:lineRule="atLeast"/>
        <w:rPr>
          <w:rFonts w:hint="default" w:cs="宋体"/>
          <w:sz w:val="28"/>
          <w:szCs w:val="28"/>
          <w:shd w:val="clear" w:color="auto" w:fill="FFFFFF"/>
        </w:rPr>
      </w:pPr>
      <w:r>
        <w:rPr>
          <w:rFonts w:cs="宋体"/>
          <w:sz w:val="28"/>
          <w:szCs w:val="28"/>
          <w:shd w:val="clear" w:color="auto" w:fill="FFFFFF"/>
        </w:rPr>
        <w:t>符合性审查标准</w:t>
      </w:r>
      <w:bookmarkEnd w:id="57"/>
    </w:p>
    <w:tbl>
      <w:tblPr>
        <w:tblStyle w:val="19"/>
        <w:tblW w:w="994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94"/>
        <w:gridCol w:w="5655"/>
      </w:tblGrid>
      <w:tr w14:paraId="59C1A9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6" w:hRule="atLeast"/>
        </w:trPr>
        <w:tc>
          <w:tcPr>
            <w:tcW w:w="4294" w:type="dxa"/>
            <w:vAlign w:val="center"/>
          </w:tcPr>
          <w:p w14:paraId="0267F7EB">
            <w:pPr>
              <w:jc w:val="center"/>
            </w:pPr>
            <w:r>
              <w:rPr>
                <w:rFonts w:ascii="宋体" w:hAnsi="宋体" w:cs="宋体"/>
                <w:kern w:val="0"/>
                <w:sz w:val="24"/>
              </w:rPr>
              <w:t>评审因素</w:t>
            </w:r>
          </w:p>
        </w:tc>
        <w:tc>
          <w:tcPr>
            <w:tcW w:w="5655" w:type="dxa"/>
            <w:vAlign w:val="center"/>
          </w:tcPr>
          <w:p w14:paraId="77BA9D13">
            <w:pPr>
              <w:jc w:val="center"/>
            </w:pPr>
            <w:r>
              <w:rPr>
                <w:rFonts w:ascii="宋体" w:hAnsi="宋体" w:cs="宋体"/>
                <w:kern w:val="0"/>
                <w:sz w:val="24"/>
              </w:rPr>
              <w:t>评审标准</w:t>
            </w:r>
          </w:p>
        </w:tc>
      </w:tr>
      <w:tr w14:paraId="3A70DB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4294" w:type="dxa"/>
            <w:vAlign w:val="center"/>
          </w:tcPr>
          <w:p w14:paraId="4A975EA5">
            <w:pPr>
              <w:jc w:val="center"/>
            </w:pPr>
            <w:r>
              <w:rPr>
                <w:rFonts w:hint="eastAsia"/>
              </w:rPr>
              <w:t>投标</w:t>
            </w:r>
            <w:r>
              <w:rPr>
                <w:rFonts w:hint="eastAsia"/>
                <w:lang w:val="en-US" w:eastAsia="zh-CN"/>
              </w:rPr>
              <w:t>报</w:t>
            </w:r>
            <w:r>
              <w:rPr>
                <w:rFonts w:hint="eastAsia"/>
              </w:rPr>
              <w:t>价</w:t>
            </w:r>
          </w:p>
        </w:tc>
        <w:tc>
          <w:tcPr>
            <w:tcW w:w="5655" w:type="dxa"/>
            <w:vAlign w:val="center"/>
          </w:tcPr>
          <w:p w14:paraId="40046418">
            <w:r>
              <w:rPr>
                <w:rFonts w:hint="eastAsia"/>
              </w:rPr>
              <w:t>投标</w:t>
            </w:r>
            <w:r>
              <w:rPr>
                <w:rFonts w:hint="eastAsia"/>
                <w:lang w:val="en-US" w:eastAsia="zh-CN"/>
              </w:rPr>
              <w:t>报</w:t>
            </w:r>
            <w:r>
              <w:rPr>
                <w:rFonts w:hint="eastAsia"/>
              </w:rPr>
              <w:t>价是否唯一，且不超过最高限价。</w:t>
            </w:r>
          </w:p>
        </w:tc>
      </w:tr>
      <w:tr w14:paraId="07793D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4294" w:type="dxa"/>
            <w:shd w:val="clear" w:color="auto" w:fill="auto"/>
            <w:vAlign w:val="center"/>
          </w:tcPr>
          <w:p w14:paraId="713324D0">
            <w:pPr>
              <w:jc w:val="center"/>
              <w:rPr>
                <w:rFonts w:hint="eastAsia" w:ascii="Calibri" w:hAnsi="Calibri" w:eastAsia="宋体" w:cs="Times New Roman"/>
                <w:kern w:val="2"/>
                <w:sz w:val="21"/>
                <w:szCs w:val="24"/>
                <w:lang w:val="en-US" w:eastAsia="zh-CN" w:bidi="ar-SA"/>
              </w:rPr>
            </w:pPr>
            <w:r>
              <w:rPr>
                <w:rFonts w:hint="eastAsia" w:ascii="宋体" w:hAnsi="宋体" w:cs="宋体"/>
                <w:kern w:val="0"/>
                <w:sz w:val="24"/>
              </w:rPr>
              <w:t>投标有效期</w:t>
            </w:r>
          </w:p>
        </w:tc>
        <w:tc>
          <w:tcPr>
            <w:tcW w:w="5655" w:type="dxa"/>
            <w:shd w:val="clear" w:color="auto" w:fill="auto"/>
            <w:vAlign w:val="center"/>
          </w:tcPr>
          <w:p w14:paraId="045E40F9">
            <w:pPr>
              <w:rPr>
                <w:rFonts w:hint="eastAsia" w:ascii="Calibri" w:hAnsi="Calibri" w:eastAsia="宋体" w:cs="Times New Roman"/>
                <w:kern w:val="2"/>
                <w:sz w:val="21"/>
                <w:szCs w:val="24"/>
                <w:lang w:val="en-US" w:eastAsia="zh-CN" w:bidi="ar-SA"/>
              </w:rPr>
            </w:pPr>
            <w:r>
              <w:rPr>
                <w:rFonts w:hint="eastAsia" w:ascii="宋体" w:hAnsi="宋体" w:cs="宋体"/>
                <w:kern w:val="0"/>
                <w:sz w:val="24"/>
              </w:rPr>
              <w:t>投标有效期须满足招标文件要求。</w:t>
            </w:r>
          </w:p>
        </w:tc>
      </w:tr>
      <w:tr w14:paraId="416928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trPr>
        <w:tc>
          <w:tcPr>
            <w:tcW w:w="4294" w:type="dxa"/>
            <w:vAlign w:val="center"/>
          </w:tcPr>
          <w:p w14:paraId="276F471A">
            <w:pPr>
              <w:rPr>
                <w:rFonts w:ascii="宋体" w:hAnsi="宋体" w:cs="宋体"/>
                <w:kern w:val="0"/>
                <w:sz w:val="24"/>
              </w:rPr>
            </w:pPr>
            <w:r>
              <w:rPr>
                <w:rFonts w:hint="eastAsia" w:ascii="宋体" w:hAnsi="宋体" w:eastAsia="宋体" w:cs="宋体"/>
                <w:color w:val="auto"/>
                <w:spacing w:val="-1"/>
                <w:sz w:val="24"/>
                <w:szCs w:val="24"/>
                <w:highlight w:val="none"/>
                <w:lang w:eastAsia="zh-CN"/>
              </w:rPr>
              <w:t>合同履行期限（服务期限）</w:t>
            </w:r>
            <w:r>
              <w:rPr>
                <w:rFonts w:hint="eastAsia" w:ascii="宋体" w:hAnsi="宋体" w:cs="宋体"/>
                <w:color w:val="auto"/>
                <w:kern w:val="0"/>
                <w:sz w:val="24"/>
              </w:rPr>
              <w:t>、服务地点</w:t>
            </w:r>
          </w:p>
        </w:tc>
        <w:tc>
          <w:tcPr>
            <w:tcW w:w="5655" w:type="dxa"/>
            <w:vAlign w:val="center"/>
          </w:tcPr>
          <w:p w14:paraId="7E067BD8">
            <w:pPr>
              <w:rPr>
                <w:rFonts w:ascii="宋体" w:hAnsi="宋体" w:cs="宋体"/>
                <w:kern w:val="0"/>
                <w:sz w:val="24"/>
              </w:rPr>
            </w:pPr>
            <w:r>
              <w:rPr>
                <w:rFonts w:hint="eastAsia" w:ascii="宋体" w:hAnsi="宋体" w:cs="宋体"/>
                <w:kern w:val="0"/>
                <w:sz w:val="24"/>
                <w:lang w:val="en-US" w:eastAsia="zh-CN"/>
              </w:rPr>
              <w:t>是否</w:t>
            </w:r>
            <w:r>
              <w:rPr>
                <w:rFonts w:hint="eastAsia" w:ascii="宋体" w:hAnsi="宋体" w:cs="宋体"/>
                <w:kern w:val="0"/>
                <w:sz w:val="24"/>
              </w:rPr>
              <w:t>满足招标文件要求。</w:t>
            </w:r>
          </w:p>
        </w:tc>
      </w:tr>
      <w:tr w14:paraId="7A8EDD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4" w:hRule="atLeast"/>
        </w:trPr>
        <w:tc>
          <w:tcPr>
            <w:tcW w:w="4294" w:type="dxa"/>
            <w:vAlign w:val="center"/>
          </w:tcPr>
          <w:p w14:paraId="6366D771">
            <w:pPr>
              <w:rPr>
                <w:rFonts w:ascii="宋体" w:hAnsi="宋体" w:cs="宋体"/>
                <w:kern w:val="0"/>
                <w:sz w:val="24"/>
              </w:rPr>
            </w:pPr>
            <w:r>
              <w:rPr>
                <w:rFonts w:hint="eastAsia" w:ascii="宋体" w:hAnsi="宋体" w:cs="宋体"/>
                <w:kern w:val="0"/>
                <w:sz w:val="24"/>
              </w:rPr>
              <w:t>无认定为“投标无效”的其他情形</w:t>
            </w:r>
          </w:p>
        </w:tc>
        <w:tc>
          <w:tcPr>
            <w:tcW w:w="5655" w:type="dxa"/>
            <w:vAlign w:val="center"/>
          </w:tcPr>
          <w:p w14:paraId="0481361D">
            <w:pPr>
              <w:rPr>
                <w:rFonts w:ascii="宋体" w:hAnsi="宋体" w:cs="宋体"/>
                <w:kern w:val="0"/>
                <w:sz w:val="24"/>
              </w:rPr>
            </w:pPr>
            <w:r>
              <w:rPr>
                <w:rFonts w:hint="eastAsia" w:ascii="宋体" w:hAnsi="宋体" w:cs="宋体"/>
                <w:kern w:val="0"/>
                <w:sz w:val="24"/>
              </w:rPr>
              <w:t>无认定为“投标无效”的其他情形。</w:t>
            </w:r>
          </w:p>
        </w:tc>
      </w:tr>
    </w:tbl>
    <w:p w14:paraId="47086E50">
      <w:pPr>
        <w:widowControl/>
        <w:jc w:val="left"/>
      </w:pPr>
    </w:p>
    <w:p w14:paraId="7A067715">
      <w:pPr>
        <w:spacing w:line="360" w:lineRule="auto"/>
        <w:ind w:right="-92" w:rightChars="-44"/>
        <w:rPr>
          <w:color w:val="auto"/>
        </w:rPr>
      </w:pPr>
      <w:bookmarkStart w:id="58" w:name="_Toc27982"/>
      <w:r>
        <w:rPr>
          <w:rFonts w:hint="eastAsia"/>
          <w:color w:val="auto"/>
        </w:rPr>
        <w:t>注：</w:t>
      </w:r>
    </w:p>
    <w:p w14:paraId="58B9E615">
      <w:pPr>
        <w:spacing w:line="360" w:lineRule="auto"/>
        <w:ind w:right="-92" w:rightChars="-44"/>
        <w:rPr>
          <w:color w:val="auto"/>
        </w:rPr>
      </w:pPr>
      <w:r>
        <w:rPr>
          <w:rFonts w:hint="eastAsia"/>
          <w:color w:val="auto"/>
        </w:rPr>
        <w:t>1、表中只需填写“ √ ”通过或“×”不通过；</w:t>
      </w:r>
    </w:p>
    <w:p w14:paraId="59948C9B">
      <w:pPr>
        <w:spacing w:line="360" w:lineRule="auto"/>
        <w:ind w:right="-92" w:rightChars="-44"/>
        <w:rPr>
          <w:color w:val="auto"/>
        </w:rPr>
      </w:pPr>
      <w:r>
        <w:rPr>
          <w:rFonts w:hint="eastAsia"/>
          <w:color w:val="auto"/>
        </w:rPr>
        <w:t>2、在结论中按“一项否决 ”的原则，只有全部是“ √ ”通过的，填写“合格 ”；只</w:t>
      </w:r>
    </w:p>
    <w:p w14:paraId="3218B8EE">
      <w:pPr>
        <w:spacing w:line="360" w:lineRule="auto"/>
        <w:ind w:right="-92" w:rightChars="-44"/>
        <w:rPr>
          <w:color w:val="auto"/>
        </w:rPr>
      </w:pPr>
      <w:r>
        <w:rPr>
          <w:rFonts w:hint="eastAsia"/>
          <w:color w:val="auto"/>
        </w:rPr>
        <w:t>要其中有一项是“×”不通过的，填写“不合格”；</w:t>
      </w:r>
    </w:p>
    <w:p w14:paraId="5CDFF380">
      <w:pPr>
        <w:spacing w:line="360" w:lineRule="auto"/>
        <w:ind w:right="-92" w:rightChars="-44"/>
        <w:rPr>
          <w:color w:val="auto"/>
        </w:rPr>
      </w:pPr>
      <w:r>
        <w:rPr>
          <w:rFonts w:hint="eastAsia"/>
          <w:color w:val="auto"/>
        </w:rPr>
        <w:t>3、结论是合格的，才能进入下一轮，不合格的被淘汰。</w:t>
      </w:r>
    </w:p>
    <w:p w14:paraId="1C3FF8F9">
      <w:pPr>
        <w:rPr>
          <w:rFonts w:hint="eastAsia" w:cs="宋体"/>
          <w:sz w:val="32"/>
          <w:szCs w:val="32"/>
          <w:shd w:val="clear" w:color="auto" w:fill="FFFFFF"/>
          <w:lang w:val="en-US" w:eastAsia="zh-CN"/>
        </w:rPr>
      </w:pPr>
    </w:p>
    <w:p w14:paraId="2338F53E">
      <w:pPr>
        <w:rPr>
          <w:rFonts w:cs="宋体"/>
          <w:sz w:val="32"/>
          <w:szCs w:val="32"/>
          <w:shd w:val="clear" w:color="auto" w:fill="FFFFFF"/>
        </w:rPr>
      </w:pPr>
      <w:r>
        <w:rPr>
          <w:rFonts w:hint="eastAsia" w:cs="Times New Roman"/>
          <w:sz w:val="28"/>
          <w:szCs w:val="36"/>
          <w:lang w:val="en-US" w:eastAsia="zh-CN"/>
        </w:rPr>
        <w:t>评标委员会：</w:t>
      </w:r>
      <w:r>
        <w:rPr>
          <w:rFonts w:cs="宋体"/>
          <w:sz w:val="32"/>
          <w:szCs w:val="32"/>
          <w:shd w:val="clear" w:color="auto" w:fill="FFFFFF"/>
        </w:rPr>
        <w:br w:type="page"/>
      </w:r>
    </w:p>
    <w:p w14:paraId="3871F746">
      <w:pPr>
        <w:pStyle w:val="3"/>
        <w:widowControl/>
        <w:shd w:val="clear" w:color="auto" w:fill="FFFFFF"/>
        <w:spacing w:before="0" w:beforeAutospacing="0" w:after="0" w:afterAutospacing="0" w:line="20" w:lineRule="atLeast"/>
        <w:rPr>
          <w:rFonts w:cs="宋体"/>
          <w:sz w:val="32"/>
          <w:szCs w:val="32"/>
          <w:shd w:val="clear" w:color="auto" w:fill="FFFFFF"/>
        </w:rPr>
      </w:pPr>
      <w:r>
        <w:rPr>
          <w:rFonts w:cs="宋体"/>
          <w:sz w:val="32"/>
          <w:szCs w:val="32"/>
          <w:shd w:val="clear" w:color="auto" w:fill="FFFFFF"/>
        </w:rPr>
        <w:t>详细评审标准：</w:t>
      </w:r>
      <w:bookmarkEnd w:id="58"/>
    </w:p>
    <w:p w14:paraId="22C0F370">
      <w:pPr>
        <w:rPr>
          <w:rFonts w:cs="宋体"/>
          <w:sz w:val="32"/>
          <w:szCs w:val="32"/>
          <w:shd w:val="clear" w:color="auto" w:fill="FFFFFF"/>
        </w:rPr>
      </w:pPr>
    </w:p>
    <w:tbl>
      <w:tblPr>
        <w:tblStyle w:val="53"/>
        <w:tblW w:w="907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01"/>
        <w:gridCol w:w="992"/>
        <w:gridCol w:w="993"/>
        <w:gridCol w:w="5670"/>
        <w:gridCol w:w="710"/>
        <w:gridCol w:w="6"/>
      </w:tblGrid>
      <w:tr w14:paraId="5C70B07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472" w:hRule="atLeast"/>
          <w:jc w:val="center"/>
        </w:trPr>
        <w:tc>
          <w:tcPr>
            <w:tcW w:w="701" w:type="dxa"/>
            <w:vAlign w:val="center"/>
          </w:tcPr>
          <w:p w14:paraId="153980B0">
            <w:pPr>
              <w:pStyle w:val="52"/>
              <w:rPr>
                <w:b/>
                <w:bCs/>
                <w:sz w:val="22"/>
                <w:szCs w:val="22"/>
              </w:rPr>
            </w:pPr>
            <w:r>
              <w:rPr>
                <w:b/>
                <w:bCs/>
                <w:sz w:val="22"/>
                <w:szCs w:val="22"/>
              </w:rPr>
              <w:t>序号</w:t>
            </w:r>
          </w:p>
        </w:tc>
        <w:tc>
          <w:tcPr>
            <w:tcW w:w="1985" w:type="dxa"/>
            <w:gridSpan w:val="2"/>
            <w:vAlign w:val="center"/>
          </w:tcPr>
          <w:p w14:paraId="559816ED">
            <w:pPr>
              <w:pStyle w:val="52"/>
              <w:rPr>
                <w:b/>
                <w:bCs/>
                <w:sz w:val="22"/>
                <w:szCs w:val="22"/>
              </w:rPr>
            </w:pPr>
            <w:r>
              <w:rPr>
                <w:b/>
                <w:bCs/>
                <w:sz w:val="22"/>
                <w:szCs w:val="22"/>
              </w:rPr>
              <w:t>评审因素</w:t>
            </w:r>
          </w:p>
        </w:tc>
        <w:tc>
          <w:tcPr>
            <w:tcW w:w="5670" w:type="dxa"/>
            <w:vAlign w:val="center"/>
          </w:tcPr>
          <w:p w14:paraId="2465264C">
            <w:pPr>
              <w:pStyle w:val="52"/>
              <w:rPr>
                <w:b/>
                <w:bCs/>
                <w:sz w:val="22"/>
                <w:szCs w:val="22"/>
              </w:rPr>
            </w:pPr>
            <w:r>
              <w:rPr>
                <w:b/>
                <w:bCs/>
                <w:sz w:val="22"/>
                <w:szCs w:val="22"/>
              </w:rPr>
              <w:t>评审标准</w:t>
            </w:r>
          </w:p>
        </w:tc>
        <w:tc>
          <w:tcPr>
            <w:tcW w:w="716" w:type="dxa"/>
            <w:gridSpan w:val="2"/>
            <w:vAlign w:val="center"/>
          </w:tcPr>
          <w:p w14:paraId="601FB711">
            <w:pPr>
              <w:pStyle w:val="52"/>
              <w:rPr>
                <w:b/>
                <w:bCs/>
                <w:sz w:val="22"/>
                <w:szCs w:val="22"/>
              </w:rPr>
            </w:pPr>
            <w:r>
              <w:rPr>
                <w:b/>
                <w:bCs/>
                <w:sz w:val="22"/>
                <w:szCs w:val="22"/>
              </w:rPr>
              <w:t>分值</w:t>
            </w:r>
          </w:p>
        </w:tc>
      </w:tr>
      <w:tr w14:paraId="0B527E6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7" w:hRule="atLeast"/>
          <w:jc w:val="center"/>
        </w:trPr>
        <w:tc>
          <w:tcPr>
            <w:tcW w:w="701" w:type="dxa"/>
            <w:vAlign w:val="center"/>
          </w:tcPr>
          <w:p w14:paraId="2051DFB0">
            <w:pPr>
              <w:pStyle w:val="52"/>
              <w:rPr>
                <w:spacing w:val="2"/>
                <w:sz w:val="22"/>
                <w:szCs w:val="22"/>
                <w:lang w:eastAsia="zh-CN"/>
              </w:rPr>
            </w:pPr>
            <w:r>
              <w:rPr>
                <w:rFonts w:hint="eastAsia"/>
                <w:sz w:val="22"/>
                <w:szCs w:val="22"/>
                <w:lang w:eastAsia="zh-CN"/>
              </w:rPr>
              <w:t>1</w:t>
            </w:r>
          </w:p>
        </w:tc>
        <w:tc>
          <w:tcPr>
            <w:tcW w:w="1985" w:type="dxa"/>
            <w:gridSpan w:val="2"/>
            <w:vAlign w:val="center"/>
          </w:tcPr>
          <w:p w14:paraId="4998DA07">
            <w:pPr>
              <w:pStyle w:val="52"/>
              <w:rPr>
                <w:spacing w:val="8"/>
                <w:sz w:val="22"/>
                <w:szCs w:val="22"/>
                <w:lang w:eastAsia="zh-CN"/>
              </w:rPr>
            </w:pPr>
            <w:r>
              <w:rPr>
                <w:rFonts w:hint="eastAsia"/>
                <w:sz w:val="22"/>
                <w:szCs w:val="22"/>
                <w:lang w:eastAsia="zh-CN"/>
              </w:rPr>
              <w:t>企业资信</w:t>
            </w:r>
          </w:p>
        </w:tc>
        <w:tc>
          <w:tcPr>
            <w:tcW w:w="5670" w:type="dxa"/>
            <w:vAlign w:val="center"/>
          </w:tcPr>
          <w:p w14:paraId="6E08201A">
            <w:pPr>
              <w:pStyle w:val="52"/>
              <w:jc w:val="both"/>
              <w:rPr>
                <w:rFonts w:hint="default"/>
                <w:sz w:val="22"/>
                <w:szCs w:val="22"/>
                <w:lang w:val="en-US" w:eastAsia="zh-CN"/>
              </w:rPr>
            </w:pPr>
            <w:r>
              <w:rPr>
                <w:rFonts w:hint="eastAsia"/>
                <w:sz w:val="22"/>
                <w:szCs w:val="22"/>
                <w:lang w:eastAsia="zh-CN"/>
              </w:rPr>
              <w:t>投标人具有民航行业工程咨询单位甲级资信证书得5分，具有民航行业工程咨询单位乙级资信证书得</w:t>
            </w:r>
            <w:r>
              <w:rPr>
                <w:sz w:val="22"/>
                <w:szCs w:val="22"/>
                <w:lang w:eastAsia="zh-CN"/>
              </w:rPr>
              <w:t>2</w:t>
            </w:r>
            <w:r>
              <w:rPr>
                <w:rFonts w:hint="eastAsia"/>
                <w:sz w:val="22"/>
                <w:szCs w:val="22"/>
                <w:lang w:eastAsia="zh-CN"/>
              </w:rPr>
              <w:t>分。</w:t>
            </w:r>
            <w:r>
              <w:rPr>
                <w:rFonts w:hint="eastAsia"/>
                <w:sz w:val="22"/>
                <w:szCs w:val="22"/>
                <w:lang w:val="en-US" w:eastAsia="zh-CN"/>
              </w:rPr>
              <w:t>不提供不得分。</w:t>
            </w:r>
          </w:p>
          <w:p w14:paraId="015D9664">
            <w:pPr>
              <w:pStyle w:val="52"/>
              <w:jc w:val="both"/>
              <w:rPr>
                <w:spacing w:val="8"/>
                <w:sz w:val="22"/>
                <w:szCs w:val="22"/>
                <w:lang w:eastAsia="zh-CN"/>
              </w:rPr>
            </w:pPr>
            <w:r>
              <w:rPr>
                <w:rFonts w:hint="eastAsia"/>
                <w:sz w:val="22"/>
                <w:szCs w:val="22"/>
                <w:lang w:eastAsia="zh-CN"/>
              </w:rPr>
              <w:t>注：以上证明材料需提供截图或副本</w:t>
            </w:r>
            <w:r>
              <w:rPr>
                <w:rFonts w:hint="eastAsia"/>
                <w:sz w:val="22"/>
                <w:szCs w:val="22"/>
                <w:lang w:val="en-US" w:eastAsia="zh-CN"/>
              </w:rPr>
              <w:t>复印件</w:t>
            </w:r>
            <w:r>
              <w:rPr>
                <w:rFonts w:hint="eastAsia"/>
                <w:sz w:val="22"/>
                <w:szCs w:val="22"/>
                <w:lang w:val="zh-CN" w:eastAsia="zh-CN"/>
              </w:rPr>
              <w:t>加盖单位公章，</w:t>
            </w:r>
            <w:r>
              <w:rPr>
                <w:rFonts w:hint="eastAsia"/>
                <w:sz w:val="22"/>
                <w:szCs w:val="22"/>
                <w:lang w:eastAsia="zh-CN"/>
              </w:rPr>
              <w:t>如为联合体，其中一家提供以上资质证书即可。</w:t>
            </w:r>
          </w:p>
        </w:tc>
        <w:tc>
          <w:tcPr>
            <w:tcW w:w="716" w:type="dxa"/>
            <w:gridSpan w:val="2"/>
            <w:vAlign w:val="center"/>
          </w:tcPr>
          <w:p w14:paraId="3BE382B4">
            <w:pPr>
              <w:pStyle w:val="52"/>
              <w:rPr>
                <w:sz w:val="22"/>
                <w:szCs w:val="22"/>
                <w:lang w:eastAsia="zh-CN"/>
              </w:rPr>
            </w:pPr>
            <w:r>
              <w:rPr>
                <w:rFonts w:hint="eastAsia"/>
                <w:sz w:val="22"/>
                <w:szCs w:val="22"/>
                <w:lang w:eastAsia="zh-CN"/>
              </w:rPr>
              <w:t>5</w:t>
            </w:r>
          </w:p>
        </w:tc>
      </w:tr>
      <w:tr w14:paraId="6105968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7" w:hRule="atLeast"/>
          <w:jc w:val="center"/>
        </w:trPr>
        <w:tc>
          <w:tcPr>
            <w:tcW w:w="701" w:type="dxa"/>
            <w:vAlign w:val="center"/>
          </w:tcPr>
          <w:p w14:paraId="29C34BAB">
            <w:pPr>
              <w:pStyle w:val="52"/>
              <w:rPr>
                <w:sz w:val="22"/>
                <w:szCs w:val="22"/>
                <w:lang w:eastAsia="zh-CN"/>
              </w:rPr>
            </w:pPr>
            <w:r>
              <w:rPr>
                <w:sz w:val="22"/>
                <w:szCs w:val="22"/>
                <w:lang w:eastAsia="zh-CN"/>
              </w:rPr>
              <w:t>2</w:t>
            </w:r>
          </w:p>
        </w:tc>
        <w:tc>
          <w:tcPr>
            <w:tcW w:w="1985" w:type="dxa"/>
            <w:gridSpan w:val="2"/>
            <w:vAlign w:val="center"/>
          </w:tcPr>
          <w:p w14:paraId="038B9750">
            <w:pPr>
              <w:pStyle w:val="52"/>
              <w:rPr>
                <w:sz w:val="22"/>
                <w:szCs w:val="22"/>
                <w:lang w:eastAsia="zh-CN"/>
              </w:rPr>
            </w:pPr>
            <w:r>
              <w:rPr>
                <w:rFonts w:hint="eastAsia"/>
                <w:sz w:val="22"/>
                <w:szCs w:val="22"/>
                <w:lang w:eastAsia="zh-CN"/>
              </w:rPr>
              <w:t>同</w:t>
            </w:r>
            <w:r>
              <w:rPr>
                <w:rFonts w:hint="eastAsia"/>
                <w:sz w:val="22"/>
                <w:szCs w:val="22"/>
              </w:rPr>
              <w:t>类</w:t>
            </w:r>
            <w:r>
              <w:rPr>
                <w:rFonts w:hint="eastAsia"/>
                <w:sz w:val="22"/>
                <w:szCs w:val="22"/>
                <w:lang w:eastAsia="zh-CN"/>
              </w:rPr>
              <w:t>项目</w:t>
            </w:r>
            <w:r>
              <w:rPr>
                <w:rFonts w:hint="eastAsia"/>
                <w:sz w:val="22"/>
                <w:szCs w:val="22"/>
              </w:rPr>
              <w:t>业绩</w:t>
            </w:r>
          </w:p>
        </w:tc>
        <w:tc>
          <w:tcPr>
            <w:tcW w:w="5670" w:type="dxa"/>
            <w:vAlign w:val="center"/>
          </w:tcPr>
          <w:p w14:paraId="63435E6D">
            <w:pPr>
              <w:pStyle w:val="52"/>
              <w:jc w:val="both"/>
              <w:rPr>
                <w:sz w:val="22"/>
                <w:szCs w:val="22"/>
                <w:lang w:eastAsia="zh-CN"/>
              </w:rPr>
            </w:pPr>
            <w:r>
              <w:rPr>
                <w:rFonts w:hint="eastAsia"/>
                <w:sz w:val="22"/>
                <w:szCs w:val="22"/>
                <w:lang w:eastAsia="zh-CN"/>
              </w:rPr>
              <w:t>投标人</w:t>
            </w:r>
            <w:r>
              <w:rPr>
                <w:rFonts w:hint="eastAsia"/>
                <w:color w:val="auto"/>
                <w:sz w:val="22"/>
                <w:szCs w:val="22"/>
                <w:lang w:val="en-US" w:eastAsia="zh-CN"/>
              </w:rPr>
              <w:t>2022年1月1日</w:t>
            </w:r>
            <w:r>
              <w:rPr>
                <w:rFonts w:hint="eastAsia"/>
                <w:sz w:val="22"/>
                <w:szCs w:val="22"/>
                <w:lang w:val="en-US" w:eastAsia="zh-CN"/>
              </w:rPr>
              <w:t>至今</w:t>
            </w:r>
            <w:r>
              <w:rPr>
                <w:rFonts w:hint="eastAsia"/>
                <w:sz w:val="22"/>
                <w:szCs w:val="22"/>
                <w:lang w:eastAsia="zh-CN"/>
              </w:rPr>
              <w:t>承担过</w:t>
            </w:r>
            <w:r>
              <w:rPr>
                <w:rFonts w:hint="eastAsia"/>
                <w:sz w:val="22"/>
                <w:szCs w:val="22"/>
                <w:lang w:val="en-US" w:eastAsia="zh-CN"/>
              </w:rPr>
              <w:t>类似</w:t>
            </w:r>
            <w:r>
              <w:rPr>
                <w:rFonts w:hint="eastAsia"/>
                <w:sz w:val="22"/>
                <w:szCs w:val="22"/>
                <w:lang w:eastAsia="zh-CN"/>
              </w:rPr>
              <w:t>低空经济相关规划、谋划或咨询研究项目业绩，每个得</w:t>
            </w:r>
            <w:r>
              <w:rPr>
                <w:rFonts w:hint="eastAsia"/>
                <w:sz w:val="22"/>
                <w:szCs w:val="22"/>
                <w:lang w:val="en-US" w:eastAsia="zh-CN"/>
              </w:rPr>
              <w:t>3</w:t>
            </w:r>
            <w:r>
              <w:rPr>
                <w:rFonts w:hint="eastAsia"/>
                <w:sz w:val="22"/>
                <w:szCs w:val="22"/>
                <w:lang w:eastAsia="zh-CN"/>
              </w:rPr>
              <w:t>分，最高得</w:t>
            </w:r>
            <w:r>
              <w:rPr>
                <w:sz w:val="22"/>
                <w:szCs w:val="22"/>
                <w:lang w:eastAsia="zh-CN"/>
              </w:rPr>
              <w:t>15</w:t>
            </w:r>
            <w:r>
              <w:rPr>
                <w:rFonts w:hint="eastAsia"/>
                <w:sz w:val="22"/>
                <w:szCs w:val="22"/>
                <w:lang w:eastAsia="zh-CN"/>
              </w:rPr>
              <w:t>分。</w:t>
            </w:r>
          </w:p>
          <w:p w14:paraId="4B517C2F">
            <w:pPr>
              <w:pStyle w:val="52"/>
              <w:jc w:val="both"/>
              <w:rPr>
                <w:sz w:val="22"/>
                <w:szCs w:val="22"/>
                <w:lang w:eastAsia="zh-CN"/>
              </w:rPr>
            </w:pPr>
            <w:r>
              <w:rPr>
                <w:rFonts w:hint="eastAsia"/>
                <w:sz w:val="22"/>
                <w:szCs w:val="22"/>
                <w:lang w:eastAsia="zh-CN"/>
              </w:rPr>
              <w:t>注：业绩需要提供合同关键页扫描件加盖单位公章，时间以合同签订时间为准，不提供不得分。</w:t>
            </w:r>
          </w:p>
        </w:tc>
        <w:tc>
          <w:tcPr>
            <w:tcW w:w="716" w:type="dxa"/>
            <w:gridSpan w:val="2"/>
            <w:vAlign w:val="center"/>
          </w:tcPr>
          <w:p w14:paraId="100FF413">
            <w:pPr>
              <w:pStyle w:val="52"/>
              <w:rPr>
                <w:sz w:val="22"/>
                <w:szCs w:val="22"/>
                <w:lang w:eastAsia="zh-CN"/>
              </w:rPr>
            </w:pPr>
            <w:r>
              <w:rPr>
                <w:rFonts w:hint="eastAsia"/>
                <w:sz w:val="22"/>
                <w:szCs w:val="22"/>
                <w:lang w:eastAsia="zh-CN"/>
              </w:rPr>
              <w:t>15</w:t>
            </w:r>
          </w:p>
        </w:tc>
      </w:tr>
      <w:tr w14:paraId="1B0B9DB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2" w:hRule="atLeast"/>
          <w:jc w:val="center"/>
        </w:trPr>
        <w:tc>
          <w:tcPr>
            <w:tcW w:w="701" w:type="dxa"/>
            <w:vMerge w:val="restart"/>
            <w:vAlign w:val="center"/>
          </w:tcPr>
          <w:p w14:paraId="1224028D">
            <w:pPr>
              <w:pStyle w:val="52"/>
              <w:rPr>
                <w:spacing w:val="2"/>
                <w:sz w:val="22"/>
                <w:szCs w:val="22"/>
                <w:lang w:eastAsia="zh-CN"/>
              </w:rPr>
            </w:pPr>
            <w:r>
              <w:rPr>
                <w:sz w:val="22"/>
                <w:szCs w:val="22"/>
                <w:lang w:eastAsia="zh-CN"/>
              </w:rPr>
              <w:t>3</w:t>
            </w:r>
          </w:p>
        </w:tc>
        <w:tc>
          <w:tcPr>
            <w:tcW w:w="992" w:type="dxa"/>
            <w:vMerge w:val="restart"/>
            <w:tcBorders>
              <w:right w:val="single" w:color="auto" w:sz="4" w:space="0"/>
            </w:tcBorders>
            <w:vAlign w:val="center"/>
          </w:tcPr>
          <w:p w14:paraId="0F0F30E5">
            <w:pPr>
              <w:pStyle w:val="52"/>
              <w:rPr>
                <w:sz w:val="22"/>
                <w:szCs w:val="22"/>
                <w:lang w:eastAsia="zh-CN"/>
              </w:rPr>
            </w:pPr>
            <w:r>
              <w:rPr>
                <w:sz w:val="22"/>
                <w:szCs w:val="22"/>
                <w:lang w:eastAsia="zh-CN"/>
              </w:rPr>
              <w:t>拟投入本项目的人员资格和能力</w:t>
            </w:r>
          </w:p>
        </w:tc>
        <w:tc>
          <w:tcPr>
            <w:tcW w:w="993" w:type="dxa"/>
            <w:tcBorders>
              <w:left w:val="single" w:color="auto" w:sz="4" w:space="0"/>
            </w:tcBorders>
            <w:vAlign w:val="center"/>
          </w:tcPr>
          <w:p w14:paraId="37178708">
            <w:pPr>
              <w:pStyle w:val="52"/>
              <w:rPr>
                <w:sz w:val="22"/>
                <w:szCs w:val="22"/>
                <w:lang w:eastAsia="zh-CN"/>
              </w:rPr>
            </w:pPr>
            <w:r>
              <w:rPr>
                <w:rFonts w:hint="eastAsia"/>
                <w:sz w:val="22"/>
                <w:szCs w:val="22"/>
                <w:lang w:eastAsia="zh-CN"/>
              </w:rPr>
              <w:t>项目负责人</w:t>
            </w:r>
          </w:p>
        </w:tc>
        <w:tc>
          <w:tcPr>
            <w:tcW w:w="5670" w:type="dxa"/>
            <w:vAlign w:val="center"/>
          </w:tcPr>
          <w:p w14:paraId="183C834F">
            <w:pPr>
              <w:pStyle w:val="52"/>
              <w:jc w:val="both"/>
              <w:rPr>
                <w:sz w:val="22"/>
                <w:szCs w:val="22"/>
                <w:lang w:eastAsia="zh-CN"/>
              </w:rPr>
            </w:pPr>
            <w:r>
              <w:rPr>
                <w:rFonts w:hint="eastAsia"/>
                <w:sz w:val="22"/>
                <w:szCs w:val="22"/>
                <w:lang w:eastAsia="zh-CN"/>
              </w:rPr>
              <w:t>（</w:t>
            </w:r>
            <w:r>
              <w:rPr>
                <w:sz w:val="22"/>
                <w:szCs w:val="22"/>
                <w:lang w:eastAsia="zh-CN"/>
              </w:rPr>
              <w:t>1</w:t>
            </w:r>
            <w:r>
              <w:rPr>
                <w:rFonts w:hint="eastAsia"/>
                <w:sz w:val="22"/>
                <w:szCs w:val="22"/>
                <w:lang w:eastAsia="zh-CN"/>
              </w:rPr>
              <w:t>）拟任项目负责人具有民航类正高级工程师职称的，得</w:t>
            </w:r>
            <w:r>
              <w:rPr>
                <w:sz w:val="22"/>
                <w:szCs w:val="22"/>
                <w:lang w:eastAsia="zh-CN"/>
              </w:rPr>
              <w:t>3</w:t>
            </w:r>
            <w:r>
              <w:rPr>
                <w:rFonts w:hint="eastAsia"/>
                <w:sz w:val="22"/>
                <w:szCs w:val="22"/>
                <w:lang w:eastAsia="zh-CN"/>
              </w:rPr>
              <w:t>分；具有民航类高级工程师职称的，得1分；</w:t>
            </w:r>
          </w:p>
          <w:p w14:paraId="0A3638DB">
            <w:pPr>
              <w:pStyle w:val="52"/>
              <w:jc w:val="both"/>
              <w:rPr>
                <w:sz w:val="22"/>
                <w:szCs w:val="22"/>
                <w:lang w:eastAsia="zh-CN"/>
              </w:rPr>
            </w:pPr>
            <w:r>
              <w:rPr>
                <w:rFonts w:hint="eastAsia"/>
                <w:sz w:val="22"/>
                <w:szCs w:val="22"/>
                <w:lang w:eastAsia="zh-CN"/>
              </w:rPr>
              <w:t>（2）拟任项目负责人具有注册咨询工程师（投资）且注册为民航专业的得</w:t>
            </w:r>
            <w:r>
              <w:rPr>
                <w:sz w:val="22"/>
                <w:szCs w:val="22"/>
                <w:lang w:eastAsia="zh-CN"/>
              </w:rPr>
              <w:t>2</w:t>
            </w:r>
            <w:r>
              <w:rPr>
                <w:rFonts w:hint="eastAsia"/>
                <w:sz w:val="22"/>
                <w:szCs w:val="22"/>
                <w:lang w:eastAsia="zh-CN"/>
              </w:rPr>
              <w:t>分（须登记注册在投标人单位）。</w:t>
            </w:r>
          </w:p>
          <w:p w14:paraId="3AB30D84">
            <w:pPr>
              <w:pStyle w:val="52"/>
              <w:jc w:val="both"/>
              <w:rPr>
                <w:sz w:val="22"/>
                <w:szCs w:val="22"/>
                <w:lang w:eastAsia="zh-CN"/>
              </w:rPr>
            </w:pPr>
            <w:r>
              <w:rPr>
                <w:rFonts w:hint="eastAsia"/>
                <w:sz w:val="22"/>
                <w:szCs w:val="22"/>
                <w:lang w:eastAsia="zh-CN"/>
              </w:rPr>
              <w:t>注：需提供人员身份证、职称证书、注册咨询师登记证书复印件和2025年任意一个月在投标单位的社保缴纳证明复印件并加盖公章，不提供或提供资料不齐全不得分。</w:t>
            </w:r>
          </w:p>
        </w:tc>
        <w:tc>
          <w:tcPr>
            <w:tcW w:w="716" w:type="dxa"/>
            <w:gridSpan w:val="2"/>
            <w:vAlign w:val="center"/>
          </w:tcPr>
          <w:p w14:paraId="2A9A672A">
            <w:pPr>
              <w:pStyle w:val="52"/>
              <w:rPr>
                <w:sz w:val="22"/>
                <w:szCs w:val="22"/>
                <w:lang w:eastAsia="zh-CN"/>
              </w:rPr>
            </w:pPr>
            <w:r>
              <w:rPr>
                <w:rFonts w:hint="eastAsia"/>
                <w:sz w:val="22"/>
                <w:szCs w:val="22"/>
                <w:lang w:eastAsia="zh-CN"/>
              </w:rPr>
              <w:t>5</w:t>
            </w:r>
          </w:p>
        </w:tc>
      </w:tr>
      <w:tr w14:paraId="7230CE7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56" w:hRule="atLeast"/>
          <w:jc w:val="center"/>
        </w:trPr>
        <w:tc>
          <w:tcPr>
            <w:tcW w:w="701" w:type="dxa"/>
            <w:vMerge w:val="continue"/>
            <w:vAlign w:val="center"/>
          </w:tcPr>
          <w:p w14:paraId="25342611">
            <w:pPr>
              <w:pStyle w:val="52"/>
              <w:rPr>
                <w:sz w:val="22"/>
                <w:szCs w:val="22"/>
                <w:lang w:eastAsia="zh-CN"/>
              </w:rPr>
            </w:pPr>
          </w:p>
        </w:tc>
        <w:tc>
          <w:tcPr>
            <w:tcW w:w="992" w:type="dxa"/>
            <w:vMerge w:val="continue"/>
            <w:tcBorders>
              <w:right w:val="single" w:color="auto" w:sz="4" w:space="0"/>
            </w:tcBorders>
            <w:vAlign w:val="center"/>
          </w:tcPr>
          <w:p w14:paraId="0448E1F4">
            <w:pPr>
              <w:pStyle w:val="52"/>
              <w:rPr>
                <w:sz w:val="22"/>
                <w:szCs w:val="22"/>
                <w:lang w:eastAsia="zh-CN"/>
              </w:rPr>
            </w:pPr>
          </w:p>
        </w:tc>
        <w:tc>
          <w:tcPr>
            <w:tcW w:w="993" w:type="dxa"/>
            <w:tcBorders>
              <w:left w:val="single" w:color="auto" w:sz="4" w:space="0"/>
            </w:tcBorders>
            <w:vAlign w:val="center"/>
          </w:tcPr>
          <w:p w14:paraId="42EAD28F">
            <w:pPr>
              <w:pStyle w:val="52"/>
              <w:rPr>
                <w:sz w:val="22"/>
                <w:szCs w:val="22"/>
                <w:lang w:eastAsia="zh-CN"/>
              </w:rPr>
            </w:pPr>
            <w:r>
              <w:rPr>
                <w:rFonts w:hint="eastAsia"/>
                <w:sz w:val="22"/>
                <w:szCs w:val="22"/>
                <w:lang w:eastAsia="zh-CN"/>
              </w:rPr>
              <w:t>项目团队整体配置情况</w:t>
            </w:r>
          </w:p>
        </w:tc>
        <w:tc>
          <w:tcPr>
            <w:tcW w:w="5670" w:type="dxa"/>
            <w:vAlign w:val="center"/>
          </w:tcPr>
          <w:p w14:paraId="4E946363">
            <w:pPr>
              <w:pStyle w:val="52"/>
              <w:jc w:val="both"/>
              <w:rPr>
                <w:sz w:val="22"/>
                <w:szCs w:val="22"/>
                <w:lang w:eastAsia="zh-CN"/>
              </w:rPr>
            </w:pPr>
            <w:r>
              <w:rPr>
                <w:rFonts w:hint="eastAsia"/>
                <w:sz w:val="22"/>
                <w:szCs w:val="22"/>
                <w:lang w:eastAsia="zh-CN"/>
              </w:rPr>
              <w:t>（1）除项目负责人外，项目团队结构合理，项目团队配置技术人员大于10人（含10人），其中每包含1名民航类高级及以上职称人员得1分，最高得5分。</w:t>
            </w:r>
          </w:p>
          <w:p w14:paraId="44BF4897">
            <w:pPr>
              <w:pStyle w:val="52"/>
              <w:jc w:val="both"/>
              <w:rPr>
                <w:sz w:val="22"/>
                <w:szCs w:val="22"/>
                <w:lang w:eastAsia="zh-CN"/>
              </w:rPr>
            </w:pPr>
            <w:r>
              <w:rPr>
                <w:rFonts w:hint="eastAsia"/>
                <w:sz w:val="22"/>
                <w:szCs w:val="22"/>
                <w:lang w:eastAsia="zh-CN"/>
              </w:rPr>
              <w:t>（2）除项目负责人外，项目团队每包含1名注册咨询工程师（投资）且注册为民航专业的，得1分，最高得</w:t>
            </w:r>
            <w:r>
              <w:rPr>
                <w:sz w:val="22"/>
                <w:szCs w:val="22"/>
                <w:lang w:eastAsia="zh-CN"/>
              </w:rPr>
              <w:t>5</w:t>
            </w:r>
            <w:r>
              <w:rPr>
                <w:rFonts w:hint="eastAsia"/>
                <w:sz w:val="22"/>
                <w:szCs w:val="22"/>
                <w:lang w:eastAsia="zh-CN"/>
              </w:rPr>
              <w:t>分。</w:t>
            </w:r>
          </w:p>
          <w:p w14:paraId="26A84A85">
            <w:pPr>
              <w:pStyle w:val="52"/>
              <w:jc w:val="both"/>
              <w:rPr>
                <w:sz w:val="22"/>
                <w:szCs w:val="22"/>
                <w:lang w:eastAsia="zh-CN"/>
              </w:rPr>
            </w:pPr>
            <w:r>
              <w:rPr>
                <w:rFonts w:hint="eastAsia"/>
                <w:sz w:val="22"/>
                <w:szCs w:val="22"/>
                <w:lang w:eastAsia="zh-CN"/>
              </w:rPr>
              <w:t>注：需提供人员身份证、职称证书、注册咨询师登记证书复印件和2025年任意一个月在投标单位的社保缴纳证明复印件并加盖公章，不提供或提供资料不齐全不得分。</w:t>
            </w:r>
          </w:p>
        </w:tc>
        <w:tc>
          <w:tcPr>
            <w:tcW w:w="716" w:type="dxa"/>
            <w:gridSpan w:val="2"/>
            <w:vAlign w:val="center"/>
          </w:tcPr>
          <w:p w14:paraId="01CC30F6">
            <w:pPr>
              <w:pStyle w:val="52"/>
              <w:rPr>
                <w:sz w:val="22"/>
                <w:szCs w:val="22"/>
                <w:lang w:eastAsia="zh-CN"/>
              </w:rPr>
            </w:pPr>
            <w:r>
              <w:rPr>
                <w:sz w:val="22"/>
                <w:szCs w:val="22"/>
                <w:lang w:eastAsia="zh-CN"/>
              </w:rPr>
              <w:t>10</w:t>
            </w:r>
          </w:p>
        </w:tc>
      </w:tr>
      <w:tr w14:paraId="1E540A0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gridAfter w:val="1"/>
          <w:wAfter w:w="6" w:type="dxa"/>
          <w:trHeight w:val="1046" w:hRule="atLeast"/>
          <w:jc w:val="center"/>
        </w:trPr>
        <w:tc>
          <w:tcPr>
            <w:tcW w:w="701" w:type="dxa"/>
            <w:vMerge w:val="restart"/>
            <w:vAlign w:val="center"/>
          </w:tcPr>
          <w:p w14:paraId="758431EC">
            <w:pPr>
              <w:pStyle w:val="52"/>
              <w:rPr>
                <w:sz w:val="22"/>
                <w:szCs w:val="22"/>
                <w:lang w:eastAsia="zh-CN"/>
              </w:rPr>
            </w:pPr>
            <w:r>
              <w:rPr>
                <w:rFonts w:hint="eastAsia"/>
                <w:sz w:val="22"/>
                <w:szCs w:val="22"/>
                <w:lang w:eastAsia="zh-CN"/>
              </w:rPr>
              <w:t>4</w:t>
            </w:r>
          </w:p>
        </w:tc>
        <w:tc>
          <w:tcPr>
            <w:tcW w:w="992" w:type="dxa"/>
            <w:vMerge w:val="restart"/>
            <w:vAlign w:val="center"/>
          </w:tcPr>
          <w:p w14:paraId="3FA9A1AD">
            <w:pPr>
              <w:pStyle w:val="52"/>
              <w:rPr>
                <w:sz w:val="22"/>
                <w:szCs w:val="22"/>
                <w:highlight w:val="yellow"/>
              </w:rPr>
            </w:pPr>
            <w:r>
              <w:rPr>
                <w:rFonts w:hint="eastAsia"/>
                <w:sz w:val="22"/>
                <w:szCs w:val="22"/>
                <w:lang w:eastAsia="zh-CN"/>
              </w:rPr>
              <w:t>项目总体实施方案</w:t>
            </w:r>
          </w:p>
        </w:tc>
        <w:tc>
          <w:tcPr>
            <w:tcW w:w="993" w:type="dxa"/>
            <w:vAlign w:val="center"/>
          </w:tcPr>
          <w:p w14:paraId="68CD4128">
            <w:pPr>
              <w:pStyle w:val="52"/>
              <w:rPr>
                <w:sz w:val="22"/>
                <w:szCs w:val="22"/>
                <w:lang w:eastAsia="zh-CN"/>
              </w:rPr>
            </w:pPr>
            <w:r>
              <w:rPr>
                <w:rFonts w:hint="eastAsia"/>
                <w:sz w:val="22"/>
                <w:szCs w:val="22"/>
                <w:lang w:eastAsia="zh-CN"/>
              </w:rPr>
              <w:t>项目理解及重点、难点分析</w:t>
            </w:r>
          </w:p>
        </w:tc>
        <w:tc>
          <w:tcPr>
            <w:tcW w:w="5670" w:type="dxa"/>
            <w:vAlign w:val="center"/>
          </w:tcPr>
          <w:p w14:paraId="53BCAAF8">
            <w:pPr>
              <w:pStyle w:val="52"/>
              <w:jc w:val="both"/>
              <w:rPr>
                <w:sz w:val="22"/>
                <w:szCs w:val="22"/>
                <w:lang w:eastAsia="zh-CN"/>
              </w:rPr>
            </w:pPr>
            <w:r>
              <w:rPr>
                <w:rFonts w:hint="eastAsia"/>
                <w:sz w:val="22"/>
                <w:szCs w:val="22"/>
                <w:lang w:eastAsia="zh-CN"/>
              </w:rPr>
              <w:t>根据投标人针对本项目提供的咨询服务的理解及重点、难点分析进行综合评审，咨询服务的理解及专业性分析的内容涉及以下方面</w:t>
            </w:r>
            <w:r>
              <w:rPr>
                <w:sz w:val="22"/>
                <w:szCs w:val="22"/>
                <w:lang w:eastAsia="zh-CN"/>
              </w:rPr>
              <w:t>(</w:t>
            </w:r>
            <w:r>
              <w:rPr>
                <w:rFonts w:hint="eastAsia"/>
                <w:sz w:val="22"/>
                <w:szCs w:val="22"/>
                <w:lang w:eastAsia="zh-CN"/>
              </w:rPr>
              <w:t>包括但不限于</w:t>
            </w:r>
            <w:r>
              <w:rPr>
                <w:sz w:val="22"/>
                <w:szCs w:val="22"/>
                <w:lang w:eastAsia="zh-CN"/>
              </w:rPr>
              <w:t>):</w:t>
            </w:r>
            <w:r>
              <w:rPr>
                <w:rFonts w:hint="eastAsia"/>
                <w:sz w:val="22"/>
                <w:szCs w:val="22"/>
                <w:lang w:eastAsia="zh-CN"/>
              </w:rPr>
              <w:t>①解读本项目研究背景；②理解本项目的研究意义③确定项目研究范围及工作任务；④工作重点难点及其解决措施等。</w:t>
            </w:r>
          </w:p>
          <w:p w14:paraId="05EF0742">
            <w:pPr>
              <w:pStyle w:val="52"/>
              <w:jc w:val="both"/>
              <w:rPr>
                <w:sz w:val="22"/>
                <w:szCs w:val="22"/>
                <w:lang w:eastAsia="zh-CN"/>
              </w:rPr>
            </w:pPr>
            <w:r>
              <w:rPr>
                <w:rFonts w:hint="eastAsia"/>
                <w:sz w:val="22"/>
                <w:szCs w:val="22"/>
                <w:lang w:eastAsia="zh-CN"/>
              </w:rPr>
              <w:t>注</w:t>
            </w:r>
            <w:bookmarkStart w:id="59" w:name="OLE_LINK2"/>
            <w:r>
              <w:rPr>
                <w:rFonts w:hint="eastAsia"/>
                <w:sz w:val="22"/>
                <w:szCs w:val="22"/>
                <w:lang w:eastAsia="zh-CN"/>
              </w:rPr>
              <w:t>：每项基本内容有详细的阐述，项目背景和意义理解透彻，重难点分析条理清晰、有深度并符合项目实际的得</w:t>
            </w:r>
            <w:r>
              <w:rPr>
                <w:sz w:val="22"/>
                <w:szCs w:val="22"/>
                <w:lang w:eastAsia="zh-CN"/>
              </w:rPr>
              <w:t>8</w:t>
            </w:r>
            <w:r>
              <w:rPr>
                <w:rFonts w:hint="eastAsia"/>
                <w:sz w:val="22"/>
                <w:szCs w:val="22"/>
                <w:lang w:eastAsia="zh-CN"/>
              </w:rPr>
              <w:t>分，每缺少一项扣</w:t>
            </w:r>
            <w:r>
              <w:rPr>
                <w:sz w:val="22"/>
                <w:szCs w:val="22"/>
                <w:lang w:eastAsia="zh-CN"/>
              </w:rPr>
              <w:t>2</w:t>
            </w:r>
            <w:r>
              <w:rPr>
                <w:rFonts w:hint="eastAsia"/>
                <w:sz w:val="22"/>
                <w:szCs w:val="22"/>
                <w:lang w:eastAsia="zh-CN"/>
              </w:rPr>
              <w:t>分，项中内容有</w:t>
            </w:r>
            <w:r>
              <w:rPr>
                <w:sz w:val="22"/>
                <w:szCs w:val="22"/>
                <w:lang w:eastAsia="zh-CN"/>
              </w:rPr>
              <w:t>1</w:t>
            </w:r>
            <w:r>
              <w:rPr>
                <w:rFonts w:hint="eastAsia"/>
                <w:sz w:val="22"/>
                <w:szCs w:val="22"/>
                <w:lang w:eastAsia="zh-CN"/>
              </w:rPr>
              <w:t>处缺陷扣</w:t>
            </w:r>
            <w:r>
              <w:rPr>
                <w:sz w:val="22"/>
                <w:szCs w:val="22"/>
                <w:lang w:eastAsia="zh-CN"/>
              </w:rPr>
              <w:t>1</w:t>
            </w:r>
            <w:r>
              <w:rPr>
                <w:rFonts w:hint="eastAsia"/>
                <w:sz w:val="22"/>
                <w:szCs w:val="22"/>
                <w:lang w:eastAsia="zh-CN"/>
              </w:rPr>
              <w:t>分，扣完为止。</w:t>
            </w:r>
          </w:p>
          <w:bookmarkEnd w:id="59"/>
          <w:p w14:paraId="2520DB27">
            <w:pPr>
              <w:pStyle w:val="52"/>
              <w:jc w:val="both"/>
              <w:rPr>
                <w:sz w:val="22"/>
                <w:szCs w:val="22"/>
                <w:lang w:eastAsia="zh-CN"/>
              </w:rPr>
            </w:pPr>
            <w:r>
              <w:rPr>
                <w:rFonts w:hint="eastAsia"/>
                <w:sz w:val="22"/>
                <w:szCs w:val="22"/>
                <w:lang w:eastAsia="zh-CN"/>
              </w:rPr>
              <w:t>缺陷是指：内容非专门针对本项目或不适用项目特性的情形、缺少关键节点、套用其他项目方案、内容前后矛盾、涉及的规范及标准错误、不利于项目实施、不可能实现的情形等任意一种情形。</w:t>
            </w:r>
          </w:p>
        </w:tc>
        <w:tc>
          <w:tcPr>
            <w:tcW w:w="710" w:type="dxa"/>
            <w:vAlign w:val="center"/>
          </w:tcPr>
          <w:p w14:paraId="29B5D4D4">
            <w:pPr>
              <w:pStyle w:val="52"/>
              <w:rPr>
                <w:sz w:val="22"/>
                <w:szCs w:val="22"/>
                <w:lang w:eastAsia="zh-CN"/>
              </w:rPr>
            </w:pPr>
            <w:r>
              <w:rPr>
                <w:rFonts w:hint="eastAsia"/>
                <w:sz w:val="22"/>
                <w:szCs w:val="22"/>
                <w:lang w:eastAsia="zh-CN"/>
              </w:rPr>
              <w:t>8</w:t>
            </w:r>
          </w:p>
        </w:tc>
      </w:tr>
      <w:tr w14:paraId="2DA391A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gridAfter w:val="1"/>
          <w:wAfter w:w="6" w:type="dxa"/>
          <w:trHeight w:val="1046" w:hRule="atLeast"/>
          <w:jc w:val="center"/>
        </w:trPr>
        <w:tc>
          <w:tcPr>
            <w:tcW w:w="701" w:type="dxa"/>
            <w:vMerge w:val="continue"/>
            <w:vAlign w:val="center"/>
          </w:tcPr>
          <w:p w14:paraId="2CBA01B9">
            <w:pPr>
              <w:pStyle w:val="52"/>
              <w:rPr>
                <w:sz w:val="22"/>
                <w:szCs w:val="22"/>
                <w:lang w:eastAsia="zh-CN"/>
              </w:rPr>
            </w:pPr>
          </w:p>
        </w:tc>
        <w:tc>
          <w:tcPr>
            <w:tcW w:w="992" w:type="dxa"/>
            <w:vMerge w:val="continue"/>
            <w:vAlign w:val="center"/>
          </w:tcPr>
          <w:p w14:paraId="6C9A7A24">
            <w:pPr>
              <w:pStyle w:val="52"/>
              <w:rPr>
                <w:sz w:val="22"/>
                <w:szCs w:val="22"/>
                <w:highlight w:val="green"/>
                <w:lang w:eastAsia="zh-CN"/>
              </w:rPr>
            </w:pPr>
          </w:p>
        </w:tc>
        <w:tc>
          <w:tcPr>
            <w:tcW w:w="993" w:type="dxa"/>
            <w:vAlign w:val="center"/>
          </w:tcPr>
          <w:p w14:paraId="7F5E0DAC">
            <w:pPr>
              <w:pStyle w:val="52"/>
              <w:rPr>
                <w:sz w:val="22"/>
                <w:szCs w:val="22"/>
                <w:lang w:eastAsia="zh-CN"/>
              </w:rPr>
            </w:pPr>
            <w:r>
              <w:rPr>
                <w:rFonts w:hint="eastAsia"/>
                <w:sz w:val="22"/>
                <w:szCs w:val="22"/>
                <w:lang w:eastAsia="zh-CN"/>
              </w:rPr>
              <w:t>项目研究方案</w:t>
            </w:r>
          </w:p>
        </w:tc>
        <w:tc>
          <w:tcPr>
            <w:tcW w:w="5670" w:type="dxa"/>
            <w:vAlign w:val="center"/>
          </w:tcPr>
          <w:p w14:paraId="48E3B2DE">
            <w:pPr>
              <w:pStyle w:val="52"/>
              <w:jc w:val="both"/>
              <w:rPr>
                <w:sz w:val="22"/>
                <w:szCs w:val="22"/>
                <w:lang w:eastAsia="zh-CN"/>
              </w:rPr>
            </w:pPr>
            <w:r>
              <w:rPr>
                <w:rFonts w:hint="eastAsia"/>
                <w:sz w:val="22"/>
                <w:szCs w:val="22"/>
                <w:lang w:eastAsia="zh-CN"/>
              </w:rPr>
              <w:t>根据投标人针对本项目提供的项目的研究方案进行综合评审，项目的整体实施方案的内容涉及以下方面</w:t>
            </w:r>
            <w:r>
              <w:rPr>
                <w:sz w:val="22"/>
                <w:szCs w:val="22"/>
                <w:lang w:eastAsia="zh-CN"/>
              </w:rPr>
              <w:t>(</w:t>
            </w:r>
            <w:r>
              <w:rPr>
                <w:rFonts w:hint="eastAsia"/>
                <w:sz w:val="22"/>
                <w:szCs w:val="22"/>
                <w:lang w:eastAsia="zh-CN"/>
              </w:rPr>
              <w:t>包括但不限于</w:t>
            </w:r>
            <w:r>
              <w:rPr>
                <w:sz w:val="22"/>
                <w:szCs w:val="22"/>
                <w:lang w:eastAsia="zh-CN"/>
              </w:rPr>
              <w:t xml:space="preserve">): </w:t>
            </w:r>
            <w:r>
              <w:rPr>
                <w:rFonts w:hint="eastAsia"/>
                <w:sz w:val="22"/>
                <w:szCs w:val="22"/>
                <w:lang w:eastAsia="zh-CN"/>
              </w:rPr>
              <w:t>①发展基础、②研究依据、③工作思路和技术路线、④研究大纲、⑤主要研究内容等。其中：主要研究内容要求如下：</w:t>
            </w:r>
          </w:p>
          <w:p w14:paraId="2AED4096">
            <w:pPr>
              <w:pStyle w:val="52"/>
              <w:spacing w:before="100"/>
              <w:jc w:val="both"/>
              <w:rPr>
                <w:sz w:val="22"/>
                <w:szCs w:val="22"/>
                <w:lang w:eastAsia="zh-CN"/>
              </w:rPr>
            </w:pPr>
            <w:r>
              <w:rPr>
                <w:sz w:val="22"/>
                <w:szCs w:val="22"/>
                <w:lang w:eastAsia="zh-CN"/>
              </w:rPr>
              <w:t>a</w:t>
            </w:r>
            <w:r>
              <w:rPr>
                <w:rFonts w:hint="eastAsia"/>
                <w:sz w:val="22"/>
                <w:szCs w:val="22"/>
                <w:lang w:eastAsia="zh-CN"/>
              </w:rPr>
              <w:t>、《谋划海南低空航路建设项目》内容应当包含海南“环岛”“跨海”等低空航路建设需求，谋划一批先导示范项目；海南省低空航路基础设施建设方案，形成海南低空航路建设项目谋划清单。</w:t>
            </w:r>
          </w:p>
          <w:p w14:paraId="6597B5DA">
            <w:pPr>
              <w:pStyle w:val="52"/>
              <w:spacing w:before="100"/>
              <w:jc w:val="both"/>
              <w:rPr>
                <w:sz w:val="22"/>
                <w:szCs w:val="22"/>
                <w:lang w:eastAsia="zh-CN"/>
              </w:rPr>
            </w:pPr>
            <w:r>
              <w:rPr>
                <w:rFonts w:hint="eastAsia"/>
                <w:sz w:val="22"/>
                <w:szCs w:val="22"/>
                <w:lang w:eastAsia="zh-CN"/>
              </w:rPr>
              <w:t>b、《海南省低空经济产业发展促进条例》应当围绕海南低空基础设施、飞行服务、产业应用、产业支持、技术创新、安全管理、法律责任等方面，开展促进海南省低空经济产业发展立法研究。</w:t>
            </w:r>
          </w:p>
          <w:p w14:paraId="797648BB">
            <w:pPr>
              <w:pStyle w:val="52"/>
              <w:spacing w:before="100"/>
              <w:jc w:val="both"/>
              <w:rPr>
                <w:sz w:val="22"/>
                <w:szCs w:val="22"/>
                <w:highlight w:val="green"/>
                <w:lang w:eastAsia="zh-CN"/>
              </w:rPr>
            </w:pPr>
            <w:r>
              <w:rPr>
                <w:rFonts w:hint="eastAsia"/>
                <w:sz w:val="22"/>
                <w:szCs w:val="22"/>
                <w:lang w:eastAsia="zh-CN"/>
              </w:rPr>
              <w:t>c、《海南省低空经济产业发展管理办法》内容应当包含国家和海南省低空经济相关政策分析，典型省份低空经济管理经验，围绕规范低空基础设施建设管理、完善低空飞行服务管理、民用无人驾驶航空器安全管理、促进低空产业健康发展等方面，开展海南低空经济发展制度设计，明确各部门职责分工，提出相关管理程序和管理规定，并形成具有操作性、具体性和可执行性的成果文件。</w:t>
            </w:r>
          </w:p>
          <w:p w14:paraId="28B96252">
            <w:pPr>
              <w:pStyle w:val="52"/>
              <w:jc w:val="both"/>
              <w:rPr>
                <w:sz w:val="22"/>
                <w:szCs w:val="22"/>
                <w:lang w:eastAsia="zh-CN"/>
              </w:rPr>
            </w:pPr>
            <w:r>
              <w:rPr>
                <w:rFonts w:hint="eastAsia"/>
                <w:sz w:val="22"/>
                <w:szCs w:val="22"/>
                <w:lang w:eastAsia="zh-CN"/>
              </w:rPr>
              <w:t>注：①~④：每项基本内容有详细的阐述，分析条理清晰、有深度并符合项目实际的得</w:t>
            </w:r>
            <w:r>
              <w:rPr>
                <w:sz w:val="22"/>
                <w:szCs w:val="22"/>
                <w:lang w:eastAsia="zh-CN"/>
              </w:rPr>
              <w:t>18</w:t>
            </w:r>
            <w:r>
              <w:rPr>
                <w:rFonts w:hint="eastAsia"/>
                <w:sz w:val="22"/>
                <w:szCs w:val="22"/>
                <w:lang w:eastAsia="zh-CN"/>
              </w:rPr>
              <w:t>分，每缺少一项扣</w:t>
            </w:r>
            <w:r>
              <w:rPr>
                <w:sz w:val="22"/>
                <w:szCs w:val="22"/>
                <w:lang w:eastAsia="zh-CN"/>
              </w:rPr>
              <w:t>4.5</w:t>
            </w:r>
            <w:r>
              <w:rPr>
                <w:rFonts w:hint="eastAsia"/>
                <w:sz w:val="22"/>
                <w:szCs w:val="22"/>
                <w:lang w:eastAsia="zh-CN"/>
              </w:rPr>
              <w:t>分，项中内容有</w:t>
            </w:r>
            <w:r>
              <w:rPr>
                <w:sz w:val="22"/>
                <w:szCs w:val="22"/>
                <w:lang w:eastAsia="zh-CN"/>
              </w:rPr>
              <w:t>1</w:t>
            </w:r>
            <w:r>
              <w:rPr>
                <w:rFonts w:hint="eastAsia"/>
                <w:sz w:val="22"/>
                <w:szCs w:val="22"/>
                <w:lang w:eastAsia="zh-CN"/>
              </w:rPr>
              <w:t>处缺陷扣</w:t>
            </w:r>
            <w:r>
              <w:rPr>
                <w:sz w:val="22"/>
                <w:szCs w:val="22"/>
                <w:lang w:eastAsia="zh-CN"/>
              </w:rPr>
              <w:t>2.5</w:t>
            </w:r>
            <w:r>
              <w:rPr>
                <w:rFonts w:hint="eastAsia"/>
                <w:sz w:val="22"/>
                <w:szCs w:val="22"/>
                <w:lang w:eastAsia="zh-CN"/>
              </w:rPr>
              <w:t>分，扣完为止。</w:t>
            </w:r>
          </w:p>
          <w:p w14:paraId="6F5CAD1B">
            <w:pPr>
              <w:pStyle w:val="52"/>
              <w:jc w:val="both"/>
              <w:rPr>
                <w:sz w:val="22"/>
                <w:szCs w:val="22"/>
                <w:lang w:eastAsia="zh-CN"/>
              </w:rPr>
            </w:pPr>
            <w:r>
              <w:rPr>
                <w:rFonts w:hint="eastAsia"/>
                <w:sz w:val="22"/>
                <w:szCs w:val="22"/>
                <w:lang w:eastAsia="zh-CN"/>
              </w:rPr>
              <w:t>第⑤项根据投标人提供主要研究内容的完整性、逻辑性、针对性及符合性等方面进行综合评定，a、b、c三条要求全部满足，针对每条要求进行详细阐述并符合项目实际的得1</w:t>
            </w:r>
            <w:r>
              <w:rPr>
                <w:sz w:val="22"/>
                <w:szCs w:val="22"/>
                <w:lang w:eastAsia="zh-CN"/>
              </w:rPr>
              <w:t>2</w:t>
            </w:r>
            <w:r>
              <w:rPr>
                <w:rFonts w:hint="eastAsia"/>
                <w:sz w:val="22"/>
                <w:szCs w:val="22"/>
                <w:lang w:eastAsia="zh-CN"/>
              </w:rPr>
              <w:t>分，不满足一项要求扣</w:t>
            </w:r>
            <w:r>
              <w:rPr>
                <w:sz w:val="22"/>
                <w:szCs w:val="22"/>
                <w:lang w:eastAsia="zh-CN"/>
              </w:rPr>
              <w:t>4</w:t>
            </w:r>
            <w:r>
              <w:rPr>
                <w:rFonts w:hint="eastAsia"/>
                <w:sz w:val="22"/>
                <w:szCs w:val="22"/>
                <w:lang w:eastAsia="zh-CN"/>
              </w:rPr>
              <w:t>分，项中内容有</w:t>
            </w:r>
            <w:r>
              <w:rPr>
                <w:sz w:val="22"/>
                <w:szCs w:val="22"/>
                <w:lang w:eastAsia="zh-CN"/>
              </w:rPr>
              <w:t>1</w:t>
            </w:r>
            <w:r>
              <w:rPr>
                <w:rFonts w:hint="eastAsia"/>
                <w:sz w:val="22"/>
                <w:szCs w:val="22"/>
                <w:lang w:eastAsia="zh-CN"/>
              </w:rPr>
              <w:t>处缺陷扣</w:t>
            </w:r>
            <w:r>
              <w:rPr>
                <w:sz w:val="22"/>
                <w:szCs w:val="22"/>
                <w:lang w:eastAsia="zh-CN"/>
              </w:rPr>
              <w:t>2</w:t>
            </w:r>
            <w:r>
              <w:rPr>
                <w:rFonts w:hint="eastAsia"/>
                <w:sz w:val="22"/>
                <w:szCs w:val="22"/>
                <w:lang w:eastAsia="zh-CN"/>
              </w:rPr>
              <w:t>分，扣完为止。</w:t>
            </w:r>
          </w:p>
          <w:p w14:paraId="75C711BF">
            <w:pPr>
              <w:pStyle w:val="52"/>
              <w:jc w:val="both"/>
              <w:rPr>
                <w:sz w:val="22"/>
                <w:szCs w:val="22"/>
                <w:lang w:eastAsia="zh-CN"/>
              </w:rPr>
            </w:pPr>
            <w:r>
              <w:rPr>
                <w:rFonts w:hint="eastAsia"/>
                <w:sz w:val="22"/>
                <w:szCs w:val="22"/>
                <w:lang w:eastAsia="zh-CN"/>
              </w:rPr>
              <w:t>缺陷是指：内容非专门针对本项目或不适用项目特性的情形、缺少关键节点、套用其他项目方案、内容前后矛盾、涉及的规范及标准错误、不利于项目实施、不可能实现的情形等任意一种情形。</w:t>
            </w:r>
          </w:p>
        </w:tc>
        <w:tc>
          <w:tcPr>
            <w:tcW w:w="710" w:type="dxa"/>
            <w:vAlign w:val="center"/>
          </w:tcPr>
          <w:p w14:paraId="5F2BE08B">
            <w:pPr>
              <w:pStyle w:val="52"/>
              <w:rPr>
                <w:sz w:val="22"/>
                <w:szCs w:val="22"/>
                <w:lang w:eastAsia="zh-CN"/>
              </w:rPr>
            </w:pPr>
            <w:r>
              <w:rPr>
                <w:rFonts w:hint="eastAsia"/>
                <w:sz w:val="22"/>
                <w:szCs w:val="22"/>
                <w:lang w:eastAsia="zh-CN"/>
              </w:rPr>
              <w:t>30</w:t>
            </w:r>
          </w:p>
        </w:tc>
      </w:tr>
      <w:tr w14:paraId="4F22858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gridAfter w:val="1"/>
          <w:wAfter w:w="6" w:type="dxa"/>
          <w:trHeight w:val="1046" w:hRule="atLeast"/>
          <w:jc w:val="center"/>
        </w:trPr>
        <w:tc>
          <w:tcPr>
            <w:tcW w:w="701" w:type="dxa"/>
            <w:vMerge w:val="continue"/>
            <w:vAlign w:val="center"/>
          </w:tcPr>
          <w:p w14:paraId="4F3DF75B">
            <w:pPr>
              <w:pStyle w:val="52"/>
              <w:rPr>
                <w:sz w:val="22"/>
                <w:szCs w:val="22"/>
                <w:lang w:eastAsia="zh-CN"/>
              </w:rPr>
            </w:pPr>
          </w:p>
        </w:tc>
        <w:tc>
          <w:tcPr>
            <w:tcW w:w="992" w:type="dxa"/>
            <w:vMerge w:val="continue"/>
            <w:vAlign w:val="center"/>
          </w:tcPr>
          <w:p w14:paraId="0D2C528E">
            <w:pPr>
              <w:pStyle w:val="52"/>
              <w:rPr>
                <w:sz w:val="22"/>
                <w:szCs w:val="22"/>
                <w:highlight w:val="green"/>
                <w:lang w:eastAsia="zh-CN"/>
              </w:rPr>
            </w:pPr>
          </w:p>
        </w:tc>
        <w:tc>
          <w:tcPr>
            <w:tcW w:w="993" w:type="dxa"/>
            <w:vAlign w:val="center"/>
          </w:tcPr>
          <w:p w14:paraId="67AB3ABC">
            <w:pPr>
              <w:pStyle w:val="52"/>
              <w:rPr>
                <w:sz w:val="22"/>
                <w:szCs w:val="22"/>
                <w:highlight w:val="green"/>
                <w:lang w:eastAsia="zh-CN"/>
              </w:rPr>
            </w:pPr>
            <w:r>
              <w:rPr>
                <w:rFonts w:hint="eastAsia"/>
                <w:sz w:val="22"/>
                <w:szCs w:val="22"/>
                <w:lang w:eastAsia="zh-CN"/>
              </w:rPr>
              <w:t>进度安排及保障措施</w:t>
            </w:r>
          </w:p>
        </w:tc>
        <w:tc>
          <w:tcPr>
            <w:tcW w:w="5670" w:type="dxa"/>
            <w:vAlign w:val="center"/>
          </w:tcPr>
          <w:p w14:paraId="5748F482">
            <w:pPr>
              <w:pStyle w:val="52"/>
              <w:jc w:val="both"/>
              <w:rPr>
                <w:sz w:val="22"/>
                <w:szCs w:val="22"/>
                <w:lang w:eastAsia="zh-CN"/>
              </w:rPr>
            </w:pPr>
            <w:r>
              <w:rPr>
                <w:rFonts w:hint="eastAsia"/>
                <w:sz w:val="22"/>
                <w:szCs w:val="22"/>
                <w:lang w:eastAsia="zh-CN"/>
              </w:rPr>
              <w:t>根据投标人针对本项目提供的项目进度安排及保障措施进行综合评审，项目质量计划、进度安排及保障措施涉及以下方面(包括但不限于):①工作实施进度计划；②进度保障措施；③人员组织及管理措施等。</w:t>
            </w:r>
          </w:p>
          <w:p w14:paraId="593D63CB">
            <w:pPr>
              <w:pStyle w:val="52"/>
              <w:jc w:val="both"/>
              <w:rPr>
                <w:sz w:val="22"/>
                <w:szCs w:val="22"/>
                <w:lang w:eastAsia="zh-CN"/>
              </w:rPr>
            </w:pPr>
            <w:r>
              <w:rPr>
                <w:rFonts w:hint="eastAsia"/>
                <w:sz w:val="22"/>
                <w:szCs w:val="22"/>
                <w:lang w:eastAsia="zh-CN"/>
              </w:rPr>
              <w:t>注：每项基本内容有详细的阐述并符合项目实际的得</w:t>
            </w:r>
            <w:r>
              <w:rPr>
                <w:sz w:val="22"/>
                <w:szCs w:val="22"/>
                <w:lang w:eastAsia="zh-CN"/>
              </w:rPr>
              <w:t>12</w:t>
            </w:r>
            <w:r>
              <w:rPr>
                <w:rFonts w:hint="eastAsia"/>
                <w:sz w:val="22"/>
                <w:szCs w:val="22"/>
                <w:lang w:eastAsia="zh-CN"/>
              </w:rPr>
              <w:t>分，每缺少一项扣</w:t>
            </w:r>
            <w:r>
              <w:rPr>
                <w:sz w:val="22"/>
                <w:szCs w:val="22"/>
                <w:lang w:eastAsia="zh-CN"/>
              </w:rPr>
              <w:t>4</w:t>
            </w:r>
            <w:r>
              <w:rPr>
                <w:rFonts w:hint="eastAsia"/>
                <w:sz w:val="22"/>
                <w:szCs w:val="22"/>
                <w:lang w:eastAsia="zh-CN"/>
              </w:rPr>
              <w:t>分，项中内容有1处缺陷扣</w:t>
            </w:r>
            <w:r>
              <w:rPr>
                <w:sz w:val="22"/>
                <w:szCs w:val="22"/>
                <w:lang w:eastAsia="zh-CN"/>
              </w:rPr>
              <w:t>2</w:t>
            </w:r>
            <w:r>
              <w:rPr>
                <w:rFonts w:hint="eastAsia"/>
                <w:sz w:val="22"/>
                <w:szCs w:val="22"/>
                <w:lang w:eastAsia="zh-CN"/>
              </w:rPr>
              <w:t>分，扣完为止。</w:t>
            </w:r>
          </w:p>
          <w:p w14:paraId="2490CC8E">
            <w:pPr>
              <w:pStyle w:val="52"/>
              <w:jc w:val="both"/>
              <w:rPr>
                <w:sz w:val="22"/>
                <w:szCs w:val="22"/>
                <w:lang w:eastAsia="zh-CN"/>
              </w:rPr>
            </w:pPr>
            <w:r>
              <w:rPr>
                <w:rFonts w:hint="eastAsia"/>
                <w:sz w:val="22"/>
                <w:szCs w:val="22"/>
                <w:lang w:eastAsia="zh-CN"/>
              </w:rPr>
              <w:t>缺陷是指：内容非专门针对本项目或不适用项目特性的情形、缺少关键节点、套用其他项目方案、内容前后矛盾、涉及的规范及标准错误、不利于项目实施、不可能实现的情形等任意一种情形。</w:t>
            </w:r>
          </w:p>
        </w:tc>
        <w:tc>
          <w:tcPr>
            <w:tcW w:w="710" w:type="dxa"/>
            <w:vAlign w:val="center"/>
          </w:tcPr>
          <w:p w14:paraId="0AE4F86B">
            <w:pPr>
              <w:pStyle w:val="52"/>
              <w:rPr>
                <w:sz w:val="22"/>
                <w:szCs w:val="22"/>
                <w:lang w:eastAsia="zh-CN"/>
              </w:rPr>
            </w:pPr>
            <w:r>
              <w:rPr>
                <w:rFonts w:hint="eastAsia"/>
                <w:sz w:val="22"/>
                <w:szCs w:val="22"/>
                <w:lang w:eastAsia="zh-CN"/>
              </w:rPr>
              <w:t>12</w:t>
            </w:r>
          </w:p>
        </w:tc>
      </w:tr>
      <w:tr w14:paraId="5B89354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gridAfter w:val="1"/>
          <w:wAfter w:w="6" w:type="dxa"/>
          <w:trHeight w:val="516" w:hRule="atLeast"/>
          <w:jc w:val="center"/>
        </w:trPr>
        <w:tc>
          <w:tcPr>
            <w:tcW w:w="701" w:type="dxa"/>
            <w:vAlign w:val="center"/>
          </w:tcPr>
          <w:p w14:paraId="74AF0E75">
            <w:pPr>
              <w:pStyle w:val="52"/>
              <w:rPr>
                <w:sz w:val="22"/>
                <w:szCs w:val="22"/>
                <w:lang w:eastAsia="zh-CN"/>
              </w:rPr>
            </w:pPr>
            <w:r>
              <w:rPr>
                <w:rFonts w:hint="eastAsia"/>
                <w:sz w:val="22"/>
                <w:szCs w:val="22"/>
                <w:lang w:eastAsia="zh-CN"/>
              </w:rPr>
              <w:t>5</w:t>
            </w:r>
          </w:p>
        </w:tc>
        <w:tc>
          <w:tcPr>
            <w:tcW w:w="1985" w:type="dxa"/>
            <w:gridSpan w:val="2"/>
            <w:vAlign w:val="center"/>
          </w:tcPr>
          <w:p w14:paraId="610D5CC1">
            <w:pPr>
              <w:pStyle w:val="52"/>
              <w:rPr>
                <w:sz w:val="22"/>
                <w:szCs w:val="22"/>
                <w:lang w:eastAsia="zh-CN"/>
              </w:rPr>
            </w:pPr>
            <w:r>
              <w:rPr>
                <w:rFonts w:hint="eastAsia"/>
                <w:sz w:val="22"/>
                <w:szCs w:val="22"/>
                <w:lang w:eastAsia="zh-CN"/>
              </w:rPr>
              <w:t>服务质量承诺及保证措施</w:t>
            </w:r>
          </w:p>
        </w:tc>
        <w:tc>
          <w:tcPr>
            <w:tcW w:w="5670" w:type="dxa"/>
            <w:vAlign w:val="center"/>
          </w:tcPr>
          <w:p w14:paraId="050DF8B6">
            <w:pPr>
              <w:widowControl w:val="0"/>
              <w:tabs>
                <w:tab w:val="left" w:pos="567"/>
              </w:tabs>
              <w:kinsoku/>
              <w:autoSpaceDE/>
              <w:autoSpaceDN/>
              <w:adjustRightInd/>
              <w:snapToGrid/>
              <w:spacing w:before="89"/>
              <w:textAlignment w:val="auto"/>
              <w:rPr>
                <w:rFonts w:ascii="微软雅黑" w:hAnsi="微软雅黑" w:eastAsia="微软雅黑" w:cs="微软雅黑"/>
                <w:sz w:val="22"/>
                <w:szCs w:val="22"/>
                <w:lang w:eastAsia="zh-CN"/>
              </w:rPr>
            </w:pPr>
            <w:r>
              <w:rPr>
                <w:rFonts w:hint="eastAsia" w:ascii="微软雅黑" w:hAnsi="微软雅黑" w:eastAsia="微软雅黑" w:cs="微软雅黑"/>
                <w:sz w:val="22"/>
                <w:szCs w:val="22"/>
                <w:lang w:eastAsia="zh-CN"/>
              </w:rPr>
              <w:t>根据投标人针对本项目提供的服务质量承诺及保证措施进行综合评审，服务质量承诺及保证措施内容包括但不限于：①工作质量承诺和工作质量控制保障措施；②后期服务措施。</w:t>
            </w:r>
          </w:p>
          <w:p w14:paraId="6C91E9C2">
            <w:pPr>
              <w:pStyle w:val="5"/>
              <w:tabs>
                <w:tab w:val="left" w:pos="567"/>
              </w:tabs>
              <w:kinsoku/>
              <w:adjustRightInd/>
              <w:snapToGrid/>
              <w:spacing w:line="440" w:lineRule="exact"/>
              <w:ind w:firstLine="0" w:firstLineChars="0"/>
              <w:textAlignment w:val="auto"/>
              <w:rPr>
                <w:rFonts w:ascii="微软雅黑" w:hAnsi="微软雅黑" w:eastAsia="微软雅黑" w:cs="微软雅黑"/>
                <w:sz w:val="22"/>
                <w:szCs w:val="22"/>
                <w:lang w:eastAsia="zh-CN"/>
              </w:rPr>
            </w:pPr>
            <w:r>
              <w:rPr>
                <w:rFonts w:hint="eastAsia" w:ascii="微软雅黑" w:hAnsi="微软雅黑" w:eastAsia="微软雅黑" w:cs="微软雅黑"/>
                <w:sz w:val="22"/>
                <w:szCs w:val="22"/>
                <w:lang w:eastAsia="zh-CN"/>
              </w:rPr>
              <w:t>注：每项基本内容有详细的阐述并符合项目实际的得</w:t>
            </w:r>
            <w:r>
              <w:rPr>
                <w:rFonts w:ascii="微软雅黑" w:hAnsi="微软雅黑" w:eastAsia="微软雅黑" w:cs="微软雅黑"/>
                <w:sz w:val="22"/>
                <w:szCs w:val="22"/>
                <w:lang w:eastAsia="zh-CN"/>
              </w:rPr>
              <w:t>5</w:t>
            </w:r>
            <w:r>
              <w:rPr>
                <w:rFonts w:hint="eastAsia" w:ascii="微软雅黑" w:hAnsi="微软雅黑" w:eastAsia="微软雅黑" w:cs="微软雅黑"/>
                <w:sz w:val="22"/>
                <w:szCs w:val="22"/>
                <w:lang w:eastAsia="zh-CN"/>
              </w:rPr>
              <w:t>分，每缺少一项扣</w:t>
            </w:r>
            <w:r>
              <w:rPr>
                <w:rFonts w:ascii="微软雅黑" w:hAnsi="微软雅黑" w:eastAsia="微软雅黑" w:cs="微软雅黑"/>
                <w:sz w:val="22"/>
                <w:szCs w:val="22"/>
                <w:lang w:eastAsia="zh-CN"/>
              </w:rPr>
              <w:t>2.5</w:t>
            </w:r>
            <w:r>
              <w:rPr>
                <w:rFonts w:hint="eastAsia" w:ascii="微软雅黑" w:hAnsi="微软雅黑" w:eastAsia="微软雅黑" w:cs="微软雅黑"/>
                <w:sz w:val="22"/>
                <w:szCs w:val="22"/>
                <w:lang w:eastAsia="zh-CN"/>
              </w:rPr>
              <w:t>分，项中内容有1处缺陷扣1.5分，扣完为止。</w:t>
            </w:r>
          </w:p>
          <w:p w14:paraId="1C4D71D4">
            <w:pPr>
              <w:rPr>
                <w:rFonts w:ascii="宋体" w:hAnsi="宋体" w:eastAsia="宋体" w:cs="宋体"/>
                <w:color w:val="auto"/>
                <w:sz w:val="22"/>
                <w:szCs w:val="22"/>
                <w:lang w:eastAsia="zh-CN"/>
              </w:rPr>
            </w:pPr>
            <w:r>
              <w:rPr>
                <w:rFonts w:hint="eastAsia" w:ascii="微软雅黑" w:hAnsi="微软雅黑" w:eastAsia="微软雅黑" w:cs="微软雅黑"/>
                <w:sz w:val="22"/>
                <w:szCs w:val="22"/>
                <w:lang w:eastAsia="zh-CN"/>
              </w:rPr>
              <w:t>缺陷是指：内容非专门针对本项目或不适用项目特性的情形、缺少关键节点、套用其他项目方案、内容前后矛盾、涉及的规范及标准错误、不利于项目实施、不可能实现的情形等任意一种情形。</w:t>
            </w:r>
          </w:p>
        </w:tc>
        <w:tc>
          <w:tcPr>
            <w:tcW w:w="710" w:type="dxa"/>
            <w:vAlign w:val="center"/>
          </w:tcPr>
          <w:p w14:paraId="1C7075C8">
            <w:pPr>
              <w:pStyle w:val="52"/>
              <w:rPr>
                <w:sz w:val="22"/>
                <w:szCs w:val="22"/>
                <w:lang w:eastAsia="zh-CN"/>
              </w:rPr>
            </w:pPr>
            <w:r>
              <w:rPr>
                <w:rFonts w:hint="eastAsia"/>
                <w:sz w:val="22"/>
                <w:szCs w:val="22"/>
                <w:lang w:eastAsia="zh-CN"/>
              </w:rPr>
              <w:t>5</w:t>
            </w:r>
          </w:p>
        </w:tc>
      </w:tr>
      <w:tr w14:paraId="429ADF9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gridAfter w:val="1"/>
          <w:wAfter w:w="6" w:type="dxa"/>
          <w:trHeight w:val="516" w:hRule="atLeast"/>
          <w:jc w:val="center"/>
        </w:trPr>
        <w:tc>
          <w:tcPr>
            <w:tcW w:w="701" w:type="dxa"/>
            <w:vAlign w:val="center"/>
          </w:tcPr>
          <w:p w14:paraId="1D0FE4AA">
            <w:pPr>
              <w:pStyle w:val="52"/>
              <w:rPr>
                <w:rFonts w:hint="default"/>
                <w:sz w:val="22"/>
                <w:szCs w:val="22"/>
                <w:lang w:val="en-US" w:eastAsia="zh-CN"/>
              </w:rPr>
            </w:pPr>
            <w:r>
              <w:rPr>
                <w:rFonts w:hint="eastAsia"/>
                <w:sz w:val="22"/>
                <w:szCs w:val="22"/>
                <w:lang w:val="en-US" w:eastAsia="zh-CN"/>
              </w:rPr>
              <w:t>6</w:t>
            </w:r>
          </w:p>
        </w:tc>
        <w:tc>
          <w:tcPr>
            <w:tcW w:w="1985" w:type="dxa"/>
            <w:gridSpan w:val="2"/>
            <w:vAlign w:val="center"/>
          </w:tcPr>
          <w:p w14:paraId="1BC877C8">
            <w:pPr>
              <w:pStyle w:val="52"/>
              <w:rPr>
                <w:rFonts w:hint="eastAsia"/>
                <w:sz w:val="22"/>
                <w:szCs w:val="22"/>
                <w:lang w:eastAsia="zh-CN"/>
              </w:rPr>
            </w:pPr>
            <w:r>
              <w:rPr>
                <w:rFonts w:hint="eastAsia"/>
                <w:sz w:val="22"/>
                <w:szCs w:val="22"/>
                <w:lang w:eastAsia="zh-CN"/>
              </w:rPr>
              <w:t>报价得分</w:t>
            </w:r>
          </w:p>
        </w:tc>
        <w:tc>
          <w:tcPr>
            <w:tcW w:w="5670" w:type="dxa"/>
            <w:vAlign w:val="center"/>
          </w:tcPr>
          <w:p w14:paraId="6D5A1121">
            <w:pPr>
              <w:rPr>
                <w:rFonts w:hint="eastAsia" w:ascii="微软雅黑" w:hAnsi="微软雅黑" w:eastAsia="微软雅黑" w:cs="微软雅黑"/>
                <w:sz w:val="22"/>
                <w:szCs w:val="22"/>
                <w:lang w:eastAsia="zh-CN"/>
              </w:rPr>
            </w:pPr>
            <w:r>
              <w:rPr>
                <w:rFonts w:hint="eastAsia" w:ascii="微软雅黑" w:hAnsi="微软雅黑" w:eastAsia="微软雅黑" w:cs="微软雅黑"/>
                <w:sz w:val="22"/>
                <w:szCs w:val="22"/>
                <w:lang w:eastAsia="zh-CN"/>
              </w:rPr>
              <w:t>报价得分=(评标基准价/价格扣除后的投标报价)*100*报价分值权重；评标基准价等于有效投标单位中价格扣除后报价的最小值。</w:t>
            </w:r>
          </w:p>
        </w:tc>
        <w:tc>
          <w:tcPr>
            <w:tcW w:w="710" w:type="dxa"/>
            <w:vAlign w:val="center"/>
          </w:tcPr>
          <w:p w14:paraId="23F983E5">
            <w:pPr>
              <w:pStyle w:val="52"/>
              <w:rPr>
                <w:rFonts w:hint="default"/>
                <w:sz w:val="22"/>
                <w:szCs w:val="22"/>
                <w:lang w:val="en-US" w:eastAsia="zh-CN"/>
              </w:rPr>
            </w:pPr>
            <w:r>
              <w:rPr>
                <w:rFonts w:hint="eastAsia"/>
                <w:sz w:val="22"/>
                <w:szCs w:val="22"/>
                <w:lang w:val="en-US" w:eastAsia="zh-CN"/>
              </w:rPr>
              <w:t>10</w:t>
            </w:r>
          </w:p>
        </w:tc>
      </w:tr>
    </w:tbl>
    <w:p w14:paraId="6823D914">
      <w:pPr>
        <w:rPr>
          <w:rFonts w:cs="宋体"/>
          <w:sz w:val="32"/>
          <w:szCs w:val="32"/>
          <w:shd w:val="clear" w:color="auto" w:fill="FFFFFF"/>
        </w:rPr>
      </w:pPr>
    </w:p>
    <w:p w14:paraId="14CF9C66">
      <w:pPr>
        <w:rPr>
          <w:rFonts w:hint="default"/>
        </w:rPr>
      </w:pPr>
    </w:p>
    <w:p w14:paraId="0ADE5B13">
      <w:pPr>
        <w:rPr>
          <w:vanish/>
          <w:sz w:val="24"/>
        </w:rPr>
      </w:pPr>
    </w:p>
    <w:p w14:paraId="725E0678">
      <w:pPr>
        <w:spacing w:before="100" w:beforeAutospacing="1" w:line="360" w:lineRule="auto"/>
        <w:rPr>
          <w:rFonts w:ascii="宋体" w:hAnsi="宋体"/>
          <w:b/>
          <w:sz w:val="32"/>
          <w:szCs w:val="32"/>
        </w:rPr>
        <w:sectPr>
          <w:pgSz w:w="11906" w:h="16838"/>
          <w:pgMar w:top="1440" w:right="1080" w:bottom="1440" w:left="1080" w:header="851" w:footer="992" w:gutter="0"/>
          <w:cols w:space="720" w:num="1"/>
          <w:docGrid w:type="lines" w:linePitch="312" w:charSpace="0"/>
        </w:sectPr>
      </w:pPr>
    </w:p>
    <w:p w14:paraId="455737E1">
      <w:pPr>
        <w:spacing w:before="100" w:beforeAutospacing="1" w:line="360" w:lineRule="auto"/>
        <w:jc w:val="center"/>
        <w:outlineLvl w:val="1"/>
        <w:rPr>
          <w:rFonts w:ascii="宋体" w:hAnsi="宋体"/>
          <w:b/>
          <w:sz w:val="44"/>
          <w:szCs w:val="44"/>
        </w:rPr>
      </w:pPr>
      <w:bookmarkStart w:id="60" w:name="_Toc16407"/>
      <w:r>
        <w:rPr>
          <w:rFonts w:hint="eastAsia" w:ascii="宋体" w:hAnsi="宋体"/>
          <w:b/>
          <w:sz w:val="44"/>
          <w:szCs w:val="44"/>
        </w:rPr>
        <w:t>正文部分</w:t>
      </w:r>
      <w:bookmarkEnd w:id="60"/>
    </w:p>
    <w:p w14:paraId="78BA02DB">
      <w:pPr>
        <w:spacing w:before="100" w:beforeAutospacing="1" w:line="460" w:lineRule="exact"/>
        <w:outlineLvl w:val="1"/>
        <w:rPr>
          <w:rFonts w:ascii="宋体" w:hAnsi="宋体"/>
          <w:b/>
          <w:sz w:val="32"/>
          <w:szCs w:val="32"/>
        </w:rPr>
      </w:pPr>
      <w:bookmarkStart w:id="61" w:name="_Toc22021"/>
      <w:r>
        <w:rPr>
          <w:rFonts w:hint="eastAsia" w:ascii="宋体" w:hAnsi="宋体"/>
          <w:b/>
          <w:sz w:val="32"/>
          <w:szCs w:val="32"/>
        </w:rPr>
        <w:t>1. 评标方法</w:t>
      </w:r>
      <w:bookmarkEnd w:id="61"/>
    </w:p>
    <w:p w14:paraId="6B67C70D">
      <w:pPr>
        <w:pStyle w:val="5"/>
        <w:spacing w:line="460" w:lineRule="exact"/>
        <w:ind w:firstLineChars="175"/>
        <w:rPr>
          <w:rFonts w:hAnsi="宋体" w:cs="宋体"/>
          <w:sz w:val="24"/>
          <w:szCs w:val="24"/>
        </w:rPr>
      </w:pPr>
      <w:r>
        <w:rPr>
          <w:rFonts w:hint="eastAsia" w:hAnsi="宋体"/>
          <w:kern w:val="2"/>
          <w:sz w:val="24"/>
          <w:szCs w:val="24"/>
        </w:rPr>
        <w:t>1.1本项</w:t>
      </w:r>
      <w:r>
        <w:rPr>
          <w:rFonts w:hint="eastAsia" w:hAnsi="宋体" w:cs="宋体"/>
          <w:sz w:val="24"/>
          <w:szCs w:val="24"/>
        </w:rPr>
        <w:t>目采用</w:t>
      </w:r>
      <w:r>
        <w:rPr>
          <w:rFonts w:hint="eastAsia" w:hAnsi="宋体" w:cs="宋体"/>
          <w:b/>
          <w:bCs/>
          <w:sz w:val="24"/>
          <w:szCs w:val="24"/>
        </w:rPr>
        <w:t>综合评分法</w:t>
      </w:r>
      <w:r>
        <w:rPr>
          <w:rFonts w:hAnsi="宋体" w:cs="宋体"/>
          <w:sz w:val="24"/>
          <w:szCs w:val="24"/>
        </w:rPr>
        <w:fldChar w:fldCharType="begin"/>
      </w:r>
      <w:r>
        <w:rPr>
          <w:rFonts w:hAnsi="宋体" w:cs="宋体"/>
          <w:sz w:val="24"/>
          <w:szCs w:val="24"/>
        </w:rPr>
        <w:instrText xml:space="preserve">&lt;MK&gt;</w:instrText>
      </w:r>
      <w:r>
        <w:rPr>
          <w:rFonts w:hint="eastAsia" w:hAnsi="宋体" w:cs="宋体"/>
          <w:sz w:val="24"/>
          <w:szCs w:val="24"/>
        </w:rPr>
        <w:instrText xml:space="preserve">evalinfo.modelname</w:instrText>
      </w:r>
      <w:r>
        <w:rPr>
          <w:rFonts w:hAnsi="宋体" w:cs="宋体"/>
          <w:sz w:val="24"/>
          <w:szCs w:val="24"/>
        </w:rPr>
        <w:instrText xml:space="preserve">&lt;/MK&gt;</w:instrText>
      </w:r>
      <w:r>
        <w:rPr>
          <w:rFonts w:hAnsi="宋体" w:cs="宋体"/>
          <w:sz w:val="24"/>
          <w:szCs w:val="24"/>
        </w:rPr>
        <w:fldChar w:fldCharType="separate"/>
      </w:r>
      <w:r>
        <w:rPr>
          <w:rFonts w:hAnsi="宋体" w:cs="宋体"/>
          <w:sz w:val="24"/>
          <w:szCs w:val="24"/>
        </w:rPr>
        <w:t>!异常的公式结尾</w:t>
      </w:r>
      <w:r>
        <w:rPr>
          <w:rFonts w:hAnsi="宋体" w:cs="宋体"/>
          <w:sz w:val="24"/>
          <w:szCs w:val="24"/>
        </w:rPr>
        <w:fldChar w:fldCharType="end"/>
      </w:r>
      <w:r>
        <w:rPr>
          <w:rFonts w:hint="eastAsia" w:hAnsi="宋体" w:cs="宋体"/>
          <w:sz w:val="24"/>
          <w:szCs w:val="24"/>
        </w:rPr>
        <w:t>进行评标。</w:t>
      </w:r>
    </w:p>
    <w:p w14:paraId="6D4207D2">
      <w:pPr>
        <w:pStyle w:val="5"/>
        <w:spacing w:line="460" w:lineRule="exact"/>
        <w:ind w:firstLineChars="175"/>
        <w:rPr>
          <w:rFonts w:hAnsi="宋体"/>
          <w:kern w:val="2"/>
          <w:sz w:val="24"/>
          <w:szCs w:val="24"/>
        </w:rPr>
      </w:pPr>
      <w:r>
        <w:rPr>
          <w:rFonts w:hint="eastAsia" w:hAnsi="宋体"/>
          <w:kern w:val="2"/>
          <w:sz w:val="24"/>
          <w:szCs w:val="24"/>
        </w:rPr>
        <w:t>1.2评审方式：纸质评审。</w:t>
      </w:r>
    </w:p>
    <w:p w14:paraId="15FEEE5E">
      <w:pPr>
        <w:spacing w:before="100" w:beforeAutospacing="1" w:line="460" w:lineRule="exact"/>
        <w:outlineLvl w:val="1"/>
        <w:rPr>
          <w:rFonts w:ascii="宋体" w:hAnsi="宋体"/>
          <w:b/>
          <w:sz w:val="32"/>
          <w:szCs w:val="32"/>
        </w:rPr>
      </w:pPr>
      <w:bookmarkStart w:id="62" w:name="_Toc5773"/>
      <w:r>
        <w:rPr>
          <w:rFonts w:hint="eastAsia" w:ascii="宋体" w:hAnsi="宋体"/>
          <w:b/>
          <w:sz w:val="32"/>
          <w:szCs w:val="32"/>
        </w:rPr>
        <w:t>2. 评标方法介绍</w:t>
      </w:r>
      <w:bookmarkEnd w:id="62"/>
    </w:p>
    <w:p w14:paraId="2242BBEF">
      <w:pPr>
        <w:spacing w:line="460" w:lineRule="exact"/>
        <w:ind w:firstLine="480" w:firstLineChars="200"/>
        <w:rPr>
          <w:rFonts w:ascii="宋体" w:hAnsi="宋体"/>
          <w:sz w:val="24"/>
        </w:rPr>
      </w:pPr>
      <w:r>
        <w:rPr>
          <w:rFonts w:hint="eastAsia" w:ascii="宋体" w:hAnsi="宋体"/>
          <w:sz w:val="24"/>
        </w:rPr>
        <w:t>2.1综合评分法，是指投标文件满足招标文件全部实质性要求，且按照评审因素的量化指标评审得分最高的投标人为中标候选人的评标方法。</w:t>
      </w:r>
    </w:p>
    <w:p w14:paraId="267AB797">
      <w:pPr>
        <w:spacing w:line="460" w:lineRule="exact"/>
        <w:ind w:firstLine="480" w:firstLineChars="200"/>
        <w:rPr>
          <w:rFonts w:ascii="宋体" w:hAnsi="宋体"/>
          <w:sz w:val="24"/>
        </w:rPr>
      </w:pPr>
      <w:r>
        <w:rPr>
          <w:rFonts w:hint="eastAsia" w:ascii="宋体" w:hAnsi="宋体"/>
          <w:sz w:val="24"/>
        </w:rPr>
        <w:t>2.2综合评分法评标步骤：先进行资格性审查（详见“投标人须知 第六条”）和符合性审查（详见“投标人须知 第7.3条”），再对技术、商务等评审因素进行综合评审。只有通过资格性检查和符合性审查的投标文件才能进入综合评审。</w:t>
      </w:r>
    </w:p>
    <w:p w14:paraId="0BCD3303">
      <w:pPr>
        <w:spacing w:line="460" w:lineRule="exact"/>
        <w:ind w:firstLine="480" w:firstLineChars="200"/>
        <w:rPr>
          <w:rFonts w:ascii="宋体" w:hAnsi="宋体"/>
          <w:sz w:val="24"/>
        </w:rPr>
      </w:pPr>
      <w:r>
        <w:rPr>
          <w:rFonts w:hint="eastAsia" w:ascii="宋体" w:hAnsi="宋体"/>
          <w:sz w:val="24"/>
        </w:rPr>
        <w:t>2.2综合评分及其统计：按照评标程序、评分标准以及权重分配的规定，评标委员会成员分别对各投标文件的各项评审因素进行评价打分，经汇总各评审因素得分后取平均值即得综合得分。综合得分按由高到低顺序排列。投标文件满足招标文件全部实质性要求，且按照评审因素的量化指标评审得分最高的投标人为排名第一的中标候选人。综合得分次高的投标人为第二中标候选人，以此类推。</w:t>
      </w:r>
    </w:p>
    <w:p w14:paraId="1AAF027B">
      <w:pPr>
        <w:autoSpaceDE w:val="0"/>
        <w:autoSpaceDN w:val="0"/>
        <w:adjustRightInd w:val="0"/>
        <w:spacing w:line="460" w:lineRule="exact"/>
        <w:ind w:firstLine="422" w:firstLineChars="150"/>
        <w:jc w:val="left"/>
        <w:rPr>
          <w:rFonts w:ascii="宋体" w:hAnsi="宋体"/>
          <w:sz w:val="24"/>
        </w:rPr>
      </w:pPr>
      <w:r>
        <w:rPr>
          <w:rFonts w:hint="eastAsia" w:ascii="宋体" w:hAnsi="宋体"/>
          <w:b/>
          <w:sz w:val="28"/>
        </w:rPr>
        <w:t>评标参数及值表：</w:t>
      </w:r>
    </w:p>
    <w:tbl>
      <w:tblPr>
        <w:tblStyle w:val="19"/>
        <w:tblpPr w:leftFromText="180" w:rightFromText="180" w:vertAnchor="text" w:horzAnchor="page" w:tblpX="1349" w:tblpY="388"/>
        <w:tblOverlap w:val="never"/>
        <w:tblW w:w="8779" w:type="dxa"/>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756"/>
        <w:gridCol w:w="2187"/>
        <w:gridCol w:w="4836"/>
      </w:tblGrid>
      <w:tr w14:paraId="0BE927B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35" w:hRule="atLeast"/>
        </w:trPr>
        <w:tc>
          <w:tcPr>
            <w:tcW w:w="1756" w:type="dxa"/>
            <w:tcBorders>
              <w:top w:val="single" w:color="auto" w:sz="6" w:space="0"/>
              <w:left w:val="single" w:color="auto" w:sz="6" w:space="0"/>
              <w:bottom w:val="single" w:color="auto" w:sz="6" w:space="0"/>
              <w:right w:val="single" w:color="auto" w:sz="6" w:space="0"/>
            </w:tcBorders>
            <w:shd w:val="clear" w:color="auto" w:fill="D9D9D9"/>
            <w:vAlign w:val="center"/>
          </w:tcPr>
          <w:p w14:paraId="2658F4F5">
            <w:pPr>
              <w:spacing w:line="460" w:lineRule="exact"/>
              <w:jc w:val="center"/>
              <w:rPr>
                <w:rFonts w:ascii="宋体" w:hAnsi="宋体"/>
                <w:sz w:val="24"/>
              </w:rPr>
            </w:pPr>
            <w:bookmarkStart w:id="63" w:name="_Toc1643"/>
            <w:r>
              <w:rPr>
                <w:rFonts w:hint="eastAsia" w:ascii="宋体" w:hAnsi="宋体"/>
                <w:sz w:val="24"/>
              </w:rPr>
              <w:t>评审因素</w:t>
            </w:r>
          </w:p>
        </w:tc>
        <w:tc>
          <w:tcPr>
            <w:tcW w:w="2187" w:type="dxa"/>
            <w:tcBorders>
              <w:top w:val="single" w:color="auto" w:sz="6" w:space="0"/>
              <w:left w:val="single" w:color="auto" w:sz="4" w:space="0"/>
              <w:bottom w:val="single" w:color="auto" w:sz="6" w:space="0"/>
              <w:right w:val="single" w:color="auto" w:sz="4" w:space="0"/>
            </w:tcBorders>
            <w:shd w:val="clear" w:color="auto" w:fill="D9D9D9"/>
            <w:vAlign w:val="center"/>
          </w:tcPr>
          <w:p w14:paraId="3E7B145B">
            <w:pPr>
              <w:spacing w:line="460" w:lineRule="exact"/>
              <w:jc w:val="center"/>
              <w:rPr>
                <w:rFonts w:hint="eastAsia" w:ascii="宋体" w:hAnsi="宋体" w:eastAsia="宋体"/>
                <w:sz w:val="24"/>
                <w:lang w:val="en-US" w:eastAsia="zh-CN"/>
              </w:rPr>
            </w:pPr>
            <w:r>
              <w:rPr>
                <w:rFonts w:hint="eastAsia" w:ascii="宋体" w:hAnsi="宋体"/>
                <w:sz w:val="24"/>
                <w:lang w:val="en-US" w:eastAsia="zh-CN"/>
              </w:rPr>
              <w:t>价格</w:t>
            </w:r>
          </w:p>
        </w:tc>
        <w:tc>
          <w:tcPr>
            <w:tcW w:w="4836" w:type="dxa"/>
            <w:tcBorders>
              <w:top w:val="single" w:color="auto" w:sz="6" w:space="0"/>
              <w:left w:val="single" w:color="auto" w:sz="4" w:space="0"/>
              <w:bottom w:val="single" w:color="auto" w:sz="6" w:space="0"/>
              <w:right w:val="single" w:color="auto" w:sz="4" w:space="0"/>
            </w:tcBorders>
            <w:shd w:val="clear" w:color="auto" w:fill="D9D9D9"/>
            <w:vAlign w:val="center"/>
          </w:tcPr>
          <w:p w14:paraId="0E437DCE">
            <w:pPr>
              <w:spacing w:line="460" w:lineRule="exact"/>
              <w:jc w:val="center"/>
              <w:rPr>
                <w:rFonts w:ascii="宋体" w:hAnsi="宋体"/>
                <w:sz w:val="24"/>
              </w:rPr>
            </w:pPr>
            <w:r>
              <w:rPr>
                <w:rFonts w:hint="eastAsia" w:ascii="宋体" w:hAnsi="宋体"/>
                <w:sz w:val="24"/>
              </w:rPr>
              <w:t>技术、商务等评分</w:t>
            </w:r>
          </w:p>
        </w:tc>
      </w:tr>
      <w:tr w14:paraId="6F7DC95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48" w:hRule="atLeast"/>
        </w:trPr>
        <w:tc>
          <w:tcPr>
            <w:tcW w:w="1756" w:type="dxa"/>
            <w:tcBorders>
              <w:top w:val="single" w:color="auto" w:sz="6" w:space="0"/>
              <w:left w:val="single" w:color="auto" w:sz="6" w:space="0"/>
              <w:bottom w:val="single" w:color="auto" w:sz="6" w:space="0"/>
              <w:right w:val="single" w:color="auto" w:sz="6" w:space="0"/>
            </w:tcBorders>
            <w:vAlign w:val="center"/>
          </w:tcPr>
          <w:p w14:paraId="741E0A53">
            <w:pPr>
              <w:spacing w:line="460" w:lineRule="exact"/>
              <w:jc w:val="center"/>
              <w:rPr>
                <w:rFonts w:ascii="宋体" w:hAnsi="宋体"/>
                <w:sz w:val="24"/>
              </w:rPr>
            </w:pPr>
            <w:r>
              <w:rPr>
                <w:rFonts w:hint="eastAsia" w:ascii="宋体" w:hAnsi="宋体"/>
                <w:sz w:val="24"/>
              </w:rPr>
              <w:t>权    重</w:t>
            </w:r>
          </w:p>
        </w:tc>
        <w:tc>
          <w:tcPr>
            <w:tcW w:w="2187" w:type="dxa"/>
            <w:tcBorders>
              <w:top w:val="single" w:color="auto" w:sz="6" w:space="0"/>
              <w:left w:val="single" w:color="auto" w:sz="4" w:space="0"/>
              <w:bottom w:val="single" w:color="auto" w:sz="6" w:space="0"/>
              <w:right w:val="single" w:color="auto" w:sz="4" w:space="0"/>
            </w:tcBorders>
            <w:vAlign w:val="center"/>
          </w:tcPr>
          <w:p w14:paraId="01232057">
            <w:pPr>
              <w:spacing w:line="460" w:lineRule="exact"/>
              <w:jc w:val="center"/>
              <w:rPr>
                <w:rFonts w:hint="default" w:ascii="宋体" w:hAnsi="宋体" w:eastAsia="宋体"/>
                <w:sz w:val="24"/>
                <w:lang w:val="en-US" w:eastAsia="zh-CN"/>
              </w:rPr>
            </w:pPr>
            <w:r>
              <w:rPr>
                <w:rFonts w:hint="eastAsia" w:ascii="宋体" w:hAnsi="宋体"/>
                <w:sz w:val="24"/>
                <w:lang w:val="en-US" w:eastAsia="zh-CN"/>
              </w:rPr>
              <w:t>10%</w:t>
            </w:r>
          </w:p>
        </w:tc>
        <w:tc>
          <w:tcPr>
            <w:tcW w:w="4836" w:type="dxa"/>
            <w:tcBorders>
              <w:top w:val="single" w:color="auto" w:sz="6" w:space="0"/>
              <w:left w:val="single" w:color="auto" w:sz="4" w:space="0"/>
              <w:bottom w:val="single" w:color="auto" w:sz="6" w:space="0"/>
              <w:right w:val="single" w:color="auto" w:sz="4" w:space="0"/>
            </w:tcBorders>
            <w:vAlign w:val="center"/>
          </w:tcPr>
          <w:p w14:paraId="10F0BCCD">
            <w:pPr>
              <w:spacing w:line="460" w:lineRule="exact"/>
              <w:jc w:val="center"/>
              <w:rPr>
                <w:rFonts w:ascii="宋体" w:hAnsi="宋体"/>
                <w:sz w:val="24"/>
              </w:rPr>
            </w:pPr>
            <w:r>
              <w:rPr>
                <w:rFonts w:hint="eastAsia" w:ascii="宋体" w:hAnsi="宋体"/>
                <w:sz w:val="24"/>
                <w:lang w:val="en-US" w:eastAsia="zh-CN"/>
              </w:rPr>
              <w:t>90</w:t>
            </w:r>
            <w:r>
              <w:rPr>
                <w:rFonts w:hint="eastAsia" w:ascii="宋体" w:hAnsi="宋体"/>
                <w:sz w:val="24"/>
              </w:rPr>
              <w:t>%</w:t>
            </w:r>
          </w:p>
        </w:tc>
      </w:tr>
    </w:tbl>
    <w:p w14:paraId="4385F4DD">
      <w:pPr>
        <w:spacing w:before="100" w:beforeAutospacing="1" w:line="460" w:lineRule="exact"/>
        <w:outlineLvl w:val="1"/>
        <w:rPr>
          <w:rFonts w:ascii="宋体" w:hAnsi="宋体"/>
          <w:b/>
          <w:sz w:val="32"/>
          <w:szCs w:val="32"/>
        </w:rPr>
      </w:pPr>
      <w:r>
        <w:rPr>
          <w:rFonts w:hint="eastAsia" w:ascii="宋体" w:hAnsi="宋体"/>
          <w:b/>
          <w:sz w:val="32"/>
          <w:szCs w:val="32"/>
        </w:rPr>
        <w:t>3. 评审点及标准</w:t>
      </w:r>
      <w:bookmarkEnd w:id="63"/>
    </w:p>
    <w:p w14:paraId="01CECE75">
      <w:pPr>
        <w:pStyle w:val="5"/>
        <w:spacing w:line="460" w:lineRule="exact"/>
        <w:ind w:firstLineChars="175"/>
        <w:rPr>
          <w:rFonts w:hAnsi="宋体"/>
          <w:sz w:val="24"/>
        </w:rPr>
      </w:pPr>
      <w:r>
        <w:rPr>
          <w:rFonts w:hint="eastAsia" w:hAnsi="宋体"/>
          <w:sz w:val="24"/>
        </w:rPr>
        <w:t>参见《资格性审查标准》及《符合性审查标准》中的相关要求。</w:t>
      </w:r>
    </w:p>
    <w:p w14:paraId="19008F58">
      <w:pPr>
        <w:spacing w:before="100" w:beforeAutospacing="1" w:line="460" w:lineRule="exact"/>
        <w:outlineLvl w:val="1"/>
        <w:rPr>
          <w:rFonts w:ascii="宋体" w:hAnsi="宋体"/>
          <w:b/>
          <w:sz w:val="32"/>
          <w:szCs w:val="32"/>
        </w:rPr>
      </w:pPr>
      <w:bookmarkStart w:id="64" w:name="_Toc14625"/>
      <w:r>
        <w:rPr>
          <w:rFonts w:ascii="宋体" w:hAnsi="宋体" w:cs="宋体"/>
          <w:szCs w:val="21"/>
        </w:rPr>
        <w:fldChar w:fldCharType="begin"/>
      </w:r>
      <w:r>
        <w:rPr>
          <w:rFonts w:ascii="宋体" w:hAnsi="宋体" w:cs="宋体"/>
          <w:szCs w:val="21"/>
        </w:rPr>
        <w:instrText xml:space="preserve">&lt;MK</w:instrText>
      </w:r>
      <w:r>
        <w:rPr>
          <w:rFonts w:hint="eastAsia" w:ascii="宋体" w:hAnsi="宋体" w:cs="宋体"/>
          <w:szCs w:val="21"/>
        </w:rPr>
        <w:instrText xml:space="preserve"> cmd="chip"</w:instrText>
      </w:r>
      <w:r>
        <w:rPr>
          <w:rFonts w:ascii="宋体" w:hAnsi="宋体" w:cs="宋体"/>
          <w:szCs w:val="21"/>
        </w:rPr>
        <w:instrText xml:space="preserve">&gt;</w:instrText>
      </w:r>
      <w:r>
        <w:rPr>
          <w:rFonts w:hint="eastAsia" w:ascii="宋体" w:hAnsi="宋体" w:cs="宋体"/>
          <w:szCs w:val="21"/>
        </w:rPr>
        <w:instrText xml:space="preserve">&lt;def line="2"&gt;evalinfo.setscore==5058&lt;/def&gt;</w:instrText>
      </w:r>
      <w:r>
        <w:rPr>
          <w:rFonts w:ascii="宋体" w:hAnsi="宋体" w:cs="宋体"/>
          <w:szCs w:val="21"/>
        </w:rPr>
        <w:instrText xml:space="preserve">&lt;/MK&gt;</w:instrText>
      </w:r>
      <w:r>
        <w:rPr>
          <w:rFonts w:ascii="宋体" w:hAnsi="宋体" w:cs="宋体"/>
          <w:szCs w:val="21"/>
        </w:rPr>
        <w:fldChar w:fldCharType="separate"/>
      </w:r>
      <w:r>
        <w:rPr>
          <w:rFonts w:ascii="宋体" w:hAnsi="宋体" w:cs="宋体"/>
          <w:b/>
          <w:szCs w:val="21"/>
        </w:rPr>
        <w:t>!异常的公式结尾</w:t>
      </w:r>
      <w:r>
        <w:rPr>
          <w:rFonts w:ascii="宋体" w:hAnsi="宋体" w:cs="宋体"/>
          <w:szCs w:val="21"/>
        </w:rPr>
        <w:fldChar w:fldCharType="end"/>
      </w:r>
      <w:r>
        <w:rPr>
          <w:rFonts w:hint="eastAsia" w:ascii="宋体" w:hAnsi="宋体"/>
          <w:b/>
          <w:sz w:val="32"/>
          <w:szCs w:val="32"/>
        </w:rPr>
        <w:t>4. 评分点及标准</w:t>
      </w:r>
      <w:bookmarkEnd w:id="64"/>
    </w:p>
    <w:p w14:paraId="3269AE46">
      <w:pPr>
        <w:pStyle w:val="5"/>
        <w:spacing w:line="460" w:lineRule="exact"/>
        <w:ind w:firstLineChars="175"/>
      </w:pPr>
      <w:r>
        <w:rPr>
          <w:rFonts w:hint="eastAsia" w:hAnsi="宋体"/>
          <w:sz w:val="24"/>
        </w:rPr>
        <w:t>参见</w:t>
      </w:r>
      <w:r>
        <w:rPr>
          <w:rFonts w:hint="eastAsia" w:hAnsi="宋体"/>
          <w:sz w:val="28"/>
          <w:szCs w:val="28"/>
        </w:rPr>
        <w:t>《详细评审标准》</w:t>
      </w:r>
      <w:r>
        <w:rPr>
          <w:rFonts w:hint="eastAsia" w:hAnsi="宋体"/>
          <w:sz w:val="24"/>
        </w:rPr>
        <w:t>中的相关要求。</w:t>
      </w:r>
    </w:p>
    <w:p w14:paraId="763E5173">
      <w:pPr>
        <w:spacing w:line="460" w:lineRule="exact"/>
        <w:jc w:val="center"/>
        <w:rPr>
          <w:b/>
          <w:bCs/>
          <w:sz w:val="44"/>
          <w:szCs w:val="44"/>
        </w:rPr>
        <w:sectPr>
          <w:pgSz w:w="11906" w:h="16838"/>
          <w:pgMar w:top="1440" w:right="1800" w:bottom="1440" w:left="1800" w:header="851" w:footer="992" w:gutter="0"/>
          <w:cols w:space="720" w:num="1"/>
          <w:docGrid w:type="lines" w:linePitch="312" w:charSpace="0"/>
        </w:sectPr>
      </w:pPr>
    </w:p>
    <w:p w14:paraId="349F1200">
      <w:pPr>
        <w:pStyle w:val="2"/>
        <w:widowControl/>
        <w:shd w:val="clear" w:color="auto" w:fill="FFFFFF"/>
        <w:spacing w:before="0" w:beforeAutospacing="0" w:after="0" w:afterAutospacing="0" w:line="20" w:lineRule="atLeast"/>
        <w:jc w:val="center"/>
        <w:rPr>
          <w:rFonts w:hint="default" w:cs="宋体"/>
          <w:sz w:val="44"/>
          <w:szCs w:val="44"/>
          <w:shd w:val="clear" w:color="auto" w:fill="FFFFFF"/>
        </w:rPr>
      </w:pPr>
      <w:bookmarkStart w:id="65" w:name="_Toc5636"/>
      <w:bookmarkStart w:id="66" w:name="_Toc19363"/>
      <w:r>
        <w:rPr>
          <w:rFonts w:cs="宋体"/>
          <w:sz w:val="44"/>
          <w:szCs w:val="44"/>
          <w:shd w:val="clear" w:color="auto" w:fill="FFFFFF"/>
        </w:rPr>
        <w:t>第五章 合同文本</w:t>
      </w:r>
      <w:bookmarkEnd w:id="65"/>
      <w:bookmarkEnd w:id="66"/>
    </w:p>
    <w:p w14:paraId="06973E39">
      <w:pPr>
        <w:spacing w:line="560" w:lineRule="exact"/>
        <w:rPr>
          <w:rFonts w:ascii="黑体" w:hAnsi="黑体" w:eastAsia="黑体" w:cs="黑体"/>
          <w:bCs/>
          <w:sz w:val="32"/>
          <w:szCs w:val="32"/>
        </w:rPr>
      </w:pPr>
    </w:p>
    <w:p w14:paraId="25198A41">
      <w:pPr>
        <w:widowControl/>
        <w:shd w:val="clear" w:color="auto" w:fill="FFFFFF"/>
        <w:spacing w:line="20" w:lineRule="atLeast"/>
        <w:jc w:val="center"/>
        <w:rPr>
          <w:rFonts w:cs="宋体"/>
          <w:b/>
          <w:bCs/>
          <w:sz w:val="32"/>
          <w:szCs w:val="32"/>
          <w:shd w:val="clear" w:color="auto" w:fill="FFFFFF"/>
        </w:rPr>
      </w:pPr>
      <w:bookmarkStart w:id="67" w:name="_Toc27770"/>
      <w:r>
        <w:rPr>
          <w:rFonts w:cs="宋体"/>
          <w:b/>
          <w:bCs/>
          <w:sz w:val="24"/>
          <w:szCs w:val="32"/>
          <w:shd w:val="clear" w:color="auto" w:fill="FFFFFF"/>
        </w:rPr>
        <w:t>（具体以实际签订合同为准）</w:t>
      </w:r>
      <w:bookmarkEnd w:id="67"/>
    </w:p>
    <w:p w14:paraId="641DC26A">
      <w:pPr>
        <w:rPr>
          <w:rFonts w:ascii="仿宋_GB2312" w:hAnsi="仿宋_GB2312" w:eastAsia="仿宋_GB2312" w:cs="仿宋_GB2312"/>
          <w:sz w:val="28"/>
        </w:rPr>
      </w:pPr>
      <w:bookmarkStart w:id="68" w:name="_Toc32038"/>
      <w:bookmarkStart w:id="69" w:name="_Toc9075"/>
      <w:r>
        <w:rPr>
          <w:rFonts w:hint="eastAsia" w:ascii="仿宋_GB2312" w:hAnsi="仿宋_GB2312" w:eastAsia="仿宋_GB2312" w:cs="仿宋_GB2312"/>
          <w:sz w:val="28"/>
        </w:rPr>
        <w:t>合同编号：</w:t>
      </w:r>
    </w:p>
    <w:p w14:paraId="11BE5987">
      <w:pPr>
        <w:jc w:val="both"/>
        <w:rPr>
          <w:rFonts w:ascii="仿宋_GB2312" w:hAnsi="仿宋_GB2312" w:eastAsia="仿宋_GB2312" w:cs="仿宋_GB2312"/>
          <w:sz w:val="52"/>
        </w:rPr>
      </w:pPr>
    </w:p>
    <w:p w14:paraId="1950A445">
      <w:pPr>
        <w:jc w:val="center"/>
        <w:rPr>
          <w:rFonts w:eastAsia="仿宋_GB2312"/>
          <w:color w:val="FF0000"/>
        </w:rPr>
      </w:pPr>
      <w:r>
        <w:rPr>
          <w:rFonts w:hint="eastAsia" w:ascii="仿宋_GB2312" w:hAnsi="仿宋_GB2312" w:eastAsia="仿宋_GB2312" w:cs="仿宋_GB2312"/>
          <w:b/>
          <w:bCs/>
          <w:sz w:val="48"/>
        </w:rPr>
        <w:t>技术咨询服务合同</w:t>
      </w:r>
    </w:p>
    <w:p w14:paraId="510EC134">
      <w:pPr>
        <w:rPr>
          <w:rFonts w:ascii="仿宋_GB2312" w:hAnsi="仿宋_GB2312" w:eastAsia="仿宋_GB2312" w:cs="仿宋_GB2312"/>
          <w:sz w:val="36"/>
        </w:rPr>
      </w:pPr>
    </w:p>
    <w:p w14:paraId="5259FE77">
      <w:pPr>
        <w:jc w:val="center"/>
        <w:rPr>
          <w:rFonts w:ascii="仿宋_GB2312" w:hAnsi="仿宋_GB2312" w:eastAsia="仿宋_GB2312" w:cs="仿宋_GB2312"/>
          <w:sz w:val="36"/>
        </w:rPr>
      </w:pPr>
    </w:p>
    <w:p w14:paraId="19CB4898">
      <w:pPr>
        <w:spacing w:line="312" w:lineRule="auto"/>
        <w:ind w:left="1606" w:hanging="1606" w:hangingChars="500"/>
        <w:rPr>
          <w:rFonts w:ascii="仿宋_GB2312" w:hAnsi="仿宋_GB2312" w:eastAsia="仿宋_GB2312" w:cs="仿宋_GB2312"/>
          <w:b/>
          <w:bCs/>
          <w:sz w:val="32"/>
          <w:szCs w:val="32"/>
          <w:u w:val="single"/>
        </w:rPr>
      </w:pPr>
      <w:r>
        <w:rPr>
          <w:rFonts w:hint="eastAsia" w:ascii="仿宋_GB2312" w:hAnsi="仿宋_GB2312" w:eastAsia="仿宋_GB2312" w:cs="仿宋_GB2312"/>
          <w:b/>
          <w:bCs/>
          <w:sz w:val="32"/>
          <w:szCs w:val="32"/>
        </w:rPr>
        <w:t>项目名称：</w:t>
      </w:r>
      <w:r>
        <w:rPr>
          <w:rFonts w:hint="eastAsia" w:ascii="仿宋_GB2312" w:hAnsi="仿宋_GB2312" w:eastAsia="仿宋_GB2312" w:cs="仿宋_GB2312"/>
          <w:b/>
          <w:bCs/>
          <w:sz w:val="32"/>
          <w:szCs w:val="32"/>
          <w:u w:val="single"/>
        </w:rPr>
        <w:t xml:space="preserve">                                   </w:t>
      </w:r>
    </w:p>
    <w:p w14:paraId="1A5E35D1">
      <w:pPr>
        <w:spacing w:line="312" w:lineRule="auto"/>
        <w:ind w:left="2560" w:hanging="2560" w:hangingChars="800"/>
        <w:rPr>
          <w:rFonts w:ascii="仿宋_GB2312" w:hAnsi="仿宋_GB2312" w:eastAsia="仿宋_GB2312" w:cs="仿宋_GB2312"/>
          <w:sz w:val="32"/>
          <w:szCs w:val="32"/>
          <w:u w:val="single"/>
        </w:rPr>
      </w:pPr>
    </w:p>
    <w:p w14:paraId="714D62CE">
      <w:pPr>
        <w:spacing w:line="312" w:lineRule="auto"/>
        <w:rPr>
          <w:rFonts w:ascii="仿宋_GB2312" w:hAnsi="仿宋_GB2312" w:eastAsia="仿宋_GB2312" w:cs="仿宋_GB2312"/>
          <w:b/>
          <w:bCs/>
          <w:sz w:val="32"/>
          <w:szCs w:val="32"/>
          <w:u w:val="single"/>
        </w:rPr>
      </w:pPr>
      <w:r>
        <w:rPr>
          <w:rFonts w:hint="eastAsia" w:ascii="仿宋_GB2312" w:hAnsi="仿宋_GB2312" w:eastAsia="仿宋_GB2312" w:cs="仿宋_GB2312"/>
          <w:b/>
          <w:bCs/>
          <w:sz w:val="32"/>
          <w:szCs w:val="32"/>
        </w:rPr>
        <w:t>采购人（甲方）：</w:t>
      </w:r>
      <w:r>
        <w:rPr>
          <w:rFonts w:hint="eastAsia" w:ascii="仿宋_GB2312" w:hAnsi="仿宋_GB2312" w:eastAsia="仿宋_GB2312" w:cs="仿宋_GB2312"/>
          <w:b/>
          <w:bCs/>
          <w:sz w:val="32"/>
          <w:szCs w:val="32"/>
          <w:u w:val="single"/>
        </w:rPr>
        <w:t xml:space="preserve">海南省发展和改革委员会       </w:t>
      </w:r>
    </w:p>
    <w:p w14:paraId="361A0AA1">
      <w:pPr>
        <w:spacing w:line="312" w:lineRule="auto"/>
        <w:rPr>
          <w:rFonts w:ascii="仿宋_GB2312" w:hAnsi="仿宋_GB2312" w:eastAsia="仿宋_GB2312" w:cs="仿宋_GB2312"/>
          <w:b/>
          <w:bCs/>
          <w:sz w:val="32"/>
          <w:szCs w:val="32"/>
          <w:u w:val="single"/>
        </w:rPr>
      </w:pPr>
    </w:p>
    <w:p w14:paraId="0559D166">
      <w:pPr>
        <w:spacing w:line="312" w:lineRule="auto"/>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中标单位（乙方）：</w:t>
      </w:r>
      <w:r>
        <w:rPr>
          <w:rFonts w:hint="eastAsia" w:ascii="仿宋_GB2312" w:hAnsi="仿宋_GB2312" w:eastAsia="仿宋_GB2312" w:cs="仿宋_GB2312"/>
          <w:b/>
          <w:bCs/>
          <w:sz w:val="32"/>
          <w:szCs w:val="32"/>
          <w:u w:val="single"/>
        </w:rPr>
        <w:t xml:space="preserve">                           </w:t>
      </w:r>
    </w:p>
    <w:p w14:paraId="5FB09F6A">
      <w:pPr>
        <w:spacing w:line="312" w:lineRule="auto"/>
        <w:rPr>
          <w:rFonts w:ascii="仿宋_GB2312" w:hAnsi="仿宋_GB2312" w:eastAsia="仿宋_GB2312" w:cs="仿宋_GB2312"/>
          <w:b/>
          <w:bCs/>
          <w:sz w:val="32"/>
          <w:szCs w:val="32"/>
          <w:u w:val="single"/>
        </w:rPr>
      </w:pPr>
    </w:p>
    <w:p w14:paraId="29BD972B">
      <w:pPr>
        <w:spacing w:line="312" w:lineRule="auto"/>
        <w:rPr>
          <w:rFonts w:ascii="仿宋_GB2312" w:hAnsi="仿宋_GB2312" w:eastAsia="仿宋_GB2312" w:cs="仿宋_GB2312"/>
          <w:b/>
          <w:bCs/>
          <w:color w:val="FF0000"/>
          <w:sz w:val="32"/>
          <w:szCs w:val="32"/>
        </w:rPr>
      </w:pPr>
      <w:r>
        <w:rPr>
          <w:rFonts w:hint="eastAsia" w:ascii="仿宋_GB2312" w:hAnsi="仿宋_GB2312" w:eastAsia="仿宋_GB2312" w:cs="仿宋_GB2312"/>
          <w:b/>
          <w:bCs/>
          <w:sz w:val="32"/>
          <w:szCs w:val="32"/>
        </w:rPr>
        <w:t>签订时间： 2025年</w:t>
      </w:r>
      <w:r>
        <w:rPr>
          <w:rFonts w:hint="eastAsia" w:ascii="仿宋_GB2312" w:hAnsi="仿宋_GB2312" w:eastAsia="仿宋_GB2312" w:cs="仿宋_GB2312"/>
          <w:b/>
          <w:bCs/>
          <w:sz w:val="32"/>
          <w:szCs w:val="32"/>
          <w:u w:val="single"/>
        </w:rPr>
        <w:t xml:space="preserve">   </w:t>
      </w:r>
      <w:r>
        <w:rPr>
          <w:rFonts w:hint="eastAsia" w:ascii="仿宋_GB2312" w:hAnsi="仿宋_GB2312" w:eastAsia="仿宋_GB2312" w:cs="仿宋_GB2312"/>
          <w:b/>
          <w:bCs/>
          <w:sz w:val="32"/>
          <w:szCs w:val="32"/>
        </w:rPr>
        <w:t>月</w:t>
      </w:r>
      <w:r>
        <w:rPr>
          <w:rFonts w:hint="eastAsia" w:ascii="仿宋_GB2312" w:hAnsi="仿宋_GB2312" w:eastAsia="仿宋_GB2312" w:cs="仿宋_GB2312"/>
          <w:b/>
          <w:bCs/>
          <w:sz w:val="32"/>
          <w:szCs w:val="32"/>
          <w:u w:val="single"/>
        </w:rPr>
        <w:t xml:space="preserve">   </w:t>
      </w:r>
      <w:r>
        <w:rPr>
          <w:rFonts w:hint="eastAsia" w:ascii="仿宋_GB2312" w:hAnsi="仿宋_GB2312" w:eastAsia="仿宋_GB2312" w:cs="仿宋_GB2312"/>
          <w:b/>
          <w:bCs/>
          <w:sz w:val="32"/>
          <w:szCs w:val="32"/>
        </w:rPr>
        <w:t>日</w:t>
      </w:r>
    </w:p>
    <w:p w14:paraId="20BB085E">
      <w:pPr>
        <w:rPr>
          <w:rFonts w:ascii="仿宋_GB2312" w:hAnsi="仿宋_GB2312" w:eastAsia="仿宋_GB2312" w:cs="仿宋_GB2312"/>
          <w:sz w:val="36"/>
        </w:rPr>
      </w:pPr>
    </w:p>
    <w:p w14:paraId="2DE7AAF2">
      <w:pPr>
        <w:rPr>
          <w:rFonts w:ascii="Times New Roman" w:hAnsi="Times New Roman"/>
          <w:sz w:val="36"/>
        </w:rPr>
      </w:pPr>
    </w:p>
    <w:p w14:paraId="505FFCE8">
      <w:pPr>
        <w:tabs>
          <w:tab w:val="left" w:pos="4980"/>
        </w:tabs>
        <w:rPr>
          <w:rFonts w:ascii="Times New Roman" w:hAnsi="Times New Roman"/>
          <w:sz w:val="30"/>
        </w:rPr>
      </w:pPr>
    </w:p>
    <w:p w14:paraId="423DA917">
      <w:pPr>
        <w:jc w:val="center"/>
        <w:rPr>
          <w:rFonts w:ascii="Times New Roman" w:hAnsi="Times New Roman"/>
          <w:sz w:val="36"/>
        </w:rPr>
      </w:pPr>
    </w:p>
    <w:p w14:paraId="32B57628">
      <w:pPr>
        <w:jc w:val="center"/>
        <w:rPr>
          <w:rFonts w:ascii="Times New Roman" w:hAnsi="Times New Roman"/>
          <w:sz w:val="36"/>
        </w:rPr>
      </w:pPr>
    </w:p>
    <w:p w14:paraId="2CC05E97">
      <w:pPr>
        <w:jc w:val="center"/>
        <w:rPr>
          <w:rFonts w:ascii="Times New Roman" w:hAnsi="Times New Roman"/>
          <w:sz w:val="36"/>
        </w:rPr>
      </w:pPr>
    </w:p>
    <w:p w14:paraId="4910FC7A">
      <w:pPr>
        <w:widowControl/>
        <w:jc w:val="left"/>
        <w:rPr>
          <w:rFonts w:ascii="Times New Roman" w:hAnsi="Times New Roman"/>
          <w:sz w:val="36"/>
        </w:rPr>
      </w:pPr>
      <w:r>
        <w:rPr>
          <w:rFonts w:ascii="Times New Roman" w:hAnsi="Times New Roman"/>
          <w:sz w:val="36"/>
        </w:rPr>
        <w:br w:type="page"/>
      </w:r>
    </w:p>
    <w:p w14:paraId="3A150CBF">
      <w:pPr>
        <w:spacing w:line="360" w:lineRule="auto"/>
        <w:jc w:val="left"/>
        <w:rPr>
          <w:rFonts w:ascii="仿宋_GB2312" w:hAnsi="仿宋_GB2312" w:eastAsia="仿宋_GB2312" w:cs="仿宋_GB2312"/>
          <w:sz w:val="24"/>
          <w:u w:val="single"/>
        </w:rPr>
      </w:pPr>
      <w:r>
        <w:rPr>
          <w:rFonts w:hint="eastAsia" w:ascii="仿宋_GB2312" w:hAnsi="仿宋_GB2312" w:eastAsia="仿宋_GB2312" w:cs="仿宋_GB2312"/>
          <w:b/>
          <w:bCs/>
          <w:sz w:val="24"/>
        </w:rPr>
        <w:t>甲方：</w:t>
      </w:r>
      <w:r>
        <w:rPr>
          <w:rFonts w:hint="eastAsia" w:ascii="仿宋_GB2312" w:hAnsi="仿宋_GB2312" w:eastAsia="仿宋_GB2312" w:cs="仿宋_GB2312"/>
          <w:b/>
          <w:bCs/>
          <w:sz w:val="24"/>
          <w:u w:val="single"/>
        </w:rPr>
        <w:t xml:space="preserve">           </w:t>
      </w:r>
      <w:r>
        <w:rPr>
          <w:rFonts w:hint="eastAsia" w:ascii="仿宋_GB2312" w:hAnsi="仿宋_GB2312" w:eastAsia="仿宋_GB2312" w:cs="仿宋_GB2312"/>
          <w:sz w:val="24"/>
          <w:u w:val="single"/>
        </w:rPr>
        <w:t>海南省发展和改革委员会</w:t>
      </w:r>
      <w:r>
        <w:rPr>
          <w:rFonts w:hint="eastAsia" w:ascii="仿宋_GB2312" w:hAnsi="仿宋_GB2312" w:eastAsia="仿宋_GB2312" w:cs="仿宋_GB2312"/>
          <w:b/>
          <w:bCs/>
          <w:sz w:val="24"/>
          <w:u w:val="single"/>
        </w:rPr>
        <w:t xml:space="preserve">                  </w:t>
      </w:r>
    </w:p>
    <w:p w14:paraId="1F3F8FBA">
      <w:pPr>
        <w:spacing w:line="360" w:lineRule="auto"/>
        <w:jc w:val="left"/>
        <w:rPr>
          <w:rFonts w:ascii="仿宋_GB2312" w:hAnsi="仿宋_GB2312" w:eastAsia="仿宋_GB2312" w:cs="仿宋_GB2312"/>
          <w:sz w:val="24"/>
          <w:u w:val="single"/>
        </w:rPr>
      </w:pPr>
      <w:r>
        <w:rPr>
          <w:rFonts w:hint="eastAsia" w:ascii="仿宋_GB2312" w:hAnsi="仿宋_GB2312" w:eastAsia="仿宋_GB2312" w:cs="仿宋_GB2312"/>
          <w:sz w:val="24"/>
        </w:rPr>
        <w:t>统一社会信用代码：</w:t>
      </w:r>
      <w:r>
        <w:rPr>
          <w:rFonts w:hint="eastAsia" w:ascii="仿宋_GB2312" w:hAnsi="仿宋_GB2312" w:eastAsia="仿宋_GB2312" w:cs="仿宋_GB2312"/>
          <w:sz w:val="24"/>
          <w:u w:val="single"/>
        </w:rPr>
        <w:t xml:space="preserve">                                       </w:t>
      </w:r>
    </w:p>
    <w:p w14:paraId="3BA53285">
      <w:pPr>
        <w:spacing w:line="360" w:lineRule="auto"/>
        <w:jc w:val="left"/>
        <w:rPr>
          <w:rFonts w:ascii="仿宋_GB2312" w:hAnsi="仿宋_GB2312" w:eastAsia="仿宋_GB2312" w:cs="仿宋_GB2312"/>
          <w:sz w:val="24"/>
          <w:u w:val="single"/>
        </w:rPr>
      </w:pPr>
      <w:r>
        <w:rPr>
          <w:rFonts w:hint="eastAsia" w:ascii="仿宋_GB2312" w:hAnsi="仿宋_GB2312" w:eastAsia="仿宋_GB2312" w:cs="仿宋_GB2312"/>
          <w:sz w:val="24"/>
        </w:rPr>
        <w:t>项目联系人及电话：</w:t>
      </w:r>
      <w:r>
        <w:rPr>
          <w:rFonts w:hint="eastAsia" w:ascii="仿宋_GB2312" w:hAnsi="仿宋_GB2312" w:eastAsia="仿宋_GB2312" w:cs="仿宋_GB2312"/>
          <w:sz w:val="24"/>
          <w:u w:val="single"/>
        </w:rPr>
        <w:t xml:space="preserve">                                       </w:t>
      </w:r>
    </w:p>
    <w:p w14:paraId="6473F036">
      <w:pPr>
        <w:widowControl/>
        <w:spacing w:line="360" w:lineRule="auto"/>
        <w:jc w:val="left"/>
        <w:rPr>
          <w:rFonts w:ascii="仿宋_GB2312" w:hAnsi="仿宋_GB2312" w:eastAsia="仿宋_GB2312" w:cs="仿宋_GB2312"/>
          <w:sz w:val="24"/>
          <w:u w:val="single"/>
        </w:rPr>
      </w:pPr>
      <w:r>
        <w:rPr>
          <w:rFonts w:hint="eastAsia" w:ascii="仿宋_GB2312" w:hAnsi="仿宋_GB2312" w:eastAsia="仿宋_GB2312" w:cs="仿宋_GB2312"/>
          <w:sz w:val="24"/>
        </w:rPr>
        <w:t>地址：</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u w:val="single"/>
          <w:lang w:bidi="ar"/>
        </w:rPr>
        <w:t xml:space="preserve">海南省海口市国兴大道9号省政府办公大楼8楼      </w:t>
      </w:r>
    </w:p>
    <w:p w14:paraId="1B8A6109">
      <w:pPr>
        <w:spacing w:line="360" w:lineRule="auto"/>
        <w:jc w:val="left"/>
        <w:rPr>
          <w:rFonts w:ascii="仿宋_GB2312" w:hAnsi="仿宋_GB2312" w:eastAsia="仿宋_GB2312" w:cs="仿宋_GB2312"/>
          <w:b/>
          <w:bCs/>
          <w:sz w:val="24"/>
          <w:u w:val="single"/>
        </w:rPr>
      </w:pPr>
      <w:r>
        <w:rPr>
          <w:rFonts w:hint="eastAsia" w:ascii="仿宋_GB2312" w:hAnsi="仿宋_GB2312" w:eastAsia="仿宋_GB2312" w:cs="仿宋_GB2312"/>
          <w:b/>
          <w:bCs/>
          <w:sz w:val="24"/>
        </w:rPr>
        <w:t>乙方：</w:t>
      </w:r>
      <w:r>
        <w:rPr>
          <w:rFonts w:hint="eastAsia" w:ascii="仿宋_GB2312" w:hAnsi="仿宋_GB2312" w:eastAsia="仿宋_GB2312" w:cs="仿宋_GB2312"/>
          <w:b/>
          <w:bCs/>
          <w:sz w:val="24"/>
          <w:u w:val="single"/>
        </w:rPr>
        <w:t xml:space="preserve">             </w:t>
      </w:r>
      <w:r>
        <w:rPr>
          <w:rFonts w:hint="eastAsia" w:ascii="仿宋_GB2312" w:hAnsi="仿宋_GB2312" w:eastAsia="仿宋_GB2312" w:cs="仿宋_GB2312"/>
          <w:sz w:val="24"/>
          <w:u w:val="single"/>
        </w:rPr>
        <w:t xml:space="preserve">                                      </w:t>
      </w:r>
    </w:p>
    <w:p w14:paraId="42B851BC">
      <w:pPr>
        <w:spacing w:line="360" w:lineRule="auto"/>
        <w:jc w:val="left"/>
        <w:rPr>
          <w:rFonts w:ascii="仿宋_GB2312" w:hAnsi="仿宋_GB2312" w:eastAsia="仿宋_GB2312" w:cs="仿宋_GB2312"/>
          <w:sz w:val="24"/>
        </w:rPr>
      </w:pPr>
      <w:r>
        <w:rPr>
          <w:rFonts w:hint="eastAsia" w:ascii="仿宋_GB2312" w:hAnsi="仿宋_GB2312" w:eastAsia="仿宋_GB2312" w:cs="仿宋_GB2312"/>
          <w:sz w:val="24"/>
        </w:rPr>
        <w:t>统一社会信用代码：</w:t>
      </w:r>
      <w:r>
        <w:rPr>
          <w:rFonts w:hint="eastAsia" w:ascii="仿宋_GB2312" w:hAnsi="仿宋_GB2312" w:eastAsia="仿宋_GB2312" w:cs="仿宋_GB2312"/>
          <w:sz w:val="24"/>
          <w:u w:val="single"/>
        </w:rPr>
        <w:t xml:space="preserve">                                       </w:t>
      </w:r>
    </w:p>
    <w:p w14:paraId="2079FE60">
      <w:pPr>
        <w:spacing w:line="360" w:lineRule="auto"/>
        <w:jc w:val="left"/>
        <w:rPr>
          <w:rFonts w:ascii="仿宋_GB2312" w:hAnsi="仿宋_GB2312" w:eastAsia="仿宋_GB2312" w:cs="仿宋_GB2312"/>
          <w:sz w:val="24"/>
          <w:u w:val="single"/>
        </w:rPr>
      </w:pPr>
      <w:r>
        <w:rPr>
          <w:rFonts w:hint="eastAsia" w:ascii="仿宋_GB2312" w:hAnsi="仿宋_GB2312" w:eastAsia="仿宋_GB2312" w:cs="仿宋_GB2312"/>
          <w:sz w:val="24"/>
        </w:rPr>
        <w:t>法定代表人或负责人：</w:t>
      </w:r>
      <w:r>
        <w:rPr>
          <w:rFonts w:hint="eastAsia" w:ascii="仿宋_GB2312" w:hAnsi="仿宋_GB2312" w:eastAsia="仿宋_GB2312" w:cs="仿宋_GB2312"/>
          <w:sz w:val="24"/>
          <w:u w:val="single"/>
        </w:rPr>
        <w:t xml:space="preserve">                                     </w:t>
      </w:r>
    </w:p>
    <w:p w14:paraId="1BFA0386">
      <w:pPr>
        <w:spacing w:line="360" w:lineRule="auto"/>
        <w:jc w:val="left"/>
        <w:rPr>
          <w:rFonts w:ascii="仿宋_GB2312" w:hAnsi="仿宋_GB2312" w:eastAsia="仿宋_GB2312" w:cs="仿宋_GB2312"/>
          <w:sz w:val="24"/>
          <w:u w:val="single"/>
        </w:rPr>
      </w:pPr>
      <w:r>
        <w:rPr>
          <w:rFonts w:hint="eastAsia" w:ascii="仿宋_GB2312" w:hAnsi="仿宋_GB2312" w:eastAsia="仿宋_GB2312" w:cs="仿宋_GB2312"/>
          <w:sz w:val="24"/>
        </w:rPr>
        <w:t>项目联系人及电话：</w:t>
      </w:r>
      <w:r>
        <w:rPr>
          <w:rFonts w:hint="eastAsia" w:ascii="仿宋_GB2312" w:hAnsi="仿宋_GB2312" w:eastAsia="仿宋_GB2312" w:cs="仿宋_GB2312"/>
          <w:sz w:val="24"/>
          <w:u w:val="single"/>
        </w:rPr>
        <w:t xml:space="preserve">                                       </w:t>
      </w:r>
    </w:p>
    <w:p w14:paraId="6DB9A43D">
      <w:pPr>
        <w:spacing w:line="360" w:lineRule="auto"/>
        <w:jc w:val="left"/>
        <w:rPr>
          <w:rFonts w:ascii="仿宋_GB2312" w:hAnsi="仿宋_GB2312" w:eastAsia="仿宋_GB2312" w:cs="仿宋_GB2312"/>
          <w:sz w:val="24"/>
          <w:u w:val="single"/>
        </w:rPr>
      </w:pPr>
      <w:r>
        <w:rPr>
          <w:rFonts w:hint="eastAsia" w:ascii="仿宋_GB2312" w:hAnsi="仿宋_GB2312" w:eastAsia="仿宋_GB2312" w:cs="仿宋_GB2312"/>
          <w:sz w:val="24"/>
        </w:rPr>
        <w:t>地址：</w:t>
      </w:r>
      <w:r>
        <w:rPr>
          <w:rFonts w:hint="eastAsia" w:ascii="仿宋_GB2312" w:hAnsi="仿宋_GB2312" w:eastAsia="仿宋_GB2312" w:cs="仿宋_GB2312"/>
          <w:sz w:val="24"/>
          <w:u w:val="single"/>
        </w:rPr>
        <w:t xml:space="preserve">                                                   </w:t>
      </w:r>
    </w:p>
    <w:p w14:paraId="3477A14B">
      <w:pPr>
        <w:widowControl/>
        <w:spacing w:line="360" w:lineRule="auto"/>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bidi="ar"/>
        </w:rPr>
        <w:t>参照《中华人民共和国政府采购法》及其实施条例、《中华人民共和国民法典》等规定，根据</w:t>
      </w:r>
      <w:r>
        <w:rPr>
          <w:rFonts w:hint="eastAsia" w:ascii="仿宋_GB2312" w:hAnsi="仿宋_GB2312" w:eastAsia="仿宋_GB2312" w:cs="仿宋_GB2312"/>
          <w:sz w:val="28"/>
          <w:szCs w:val="28"/>
          <w:u w:val="single"/>
        </w:rPr>
        <w:t xml:space="preserve">                          项目</w:t>
      </w:r>
      <w:r>
        <w:rPr>
          <w:rFonts w:hint="eastAsia" w:ascii="仿宋_GB2312" w:hAnsi="仿宋_GB2312" w:eastAsia="仿宋_GB2312" w:cs="仿宋_GB2312"/>
          <w:color w:val="000000"/>
          <w:kern w:val="0"/>
          <w:sz w:val="28"/>
          <w:szCs w:val="28"/>
          <w:lang w:bidi="ar"/>
        </w:rPr>
        <w:t>(项目编号：</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color w:val="000000"/>
          <w:kern w:val="0"/>
          <w:sz w:val="28"/>
          <w:szCs w:val="28"/>
          <w:lang w:bidi="ar"/>
        </w:rPr>
        <w:t xml:space="preserve">)的《招标文件》、乙方的《投标文件》及《中标通知书》，甲、乙双方同意签订本合同。详细技术说明及其他有关合同项目的特定信息由合同附件予以说明，合同附件及本项目的《招标文件》、《投标文件》、《中标通知书》等均为本合同不可分割的部分。双方同意共同遵守如下条款： </w:t>
      </w:r>
    </w:p>
    <w:p w14:paraId="32AD14E1">
      <w:pPr>
        <w:widowControl/>
        <w:spacing w:line="360" w:lineRule="auto"/>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bidi="ar"/>
        </w:rPr>
        <w:t xml:space="preserve">一、合同金额 </w:t>
      </w:r>
    </w:p>
    <w:p w14:paraId="4CFB8363">
      <w:pPr>
        <w:widowControl/>
        <w:spacing w:line="360" w:lineRule="auto"/>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bidi="ar"/>
        </w:rPr>
        <w:t>合同金额为(大写)：</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color w:val="000000"/>
          <w:kern w:val="0"/>
          <w:sz w:val="28"/>
          <w:szCs w:val="28"/>
          <w:lang w:bidi="ar"/>
        </w:rPr>
        <w:t>元整(￥</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color w:val="000000"/>
          <w:kern w:val="0"/>
          <w:sz w:val="28"/>
          <w:szCs w:val="28"/>
          <w:lang w:bidi="ar"/>
        </w:rPr>
        <w:t>元)人民币。</w:t>
      </w:r>
    </w:p>
    <w:p w14:paraId="1B3807BD">
      <w:pPr>
        <w:widowControl/>
        <w:spacing w:line="360" w:lineRule="auto"/>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bidi="ar"/>
        </w:rPr>
        <w:t>二、服务范围</w:t>
      </w:r>
    </w:p>
    <w:p w14:paraId="37FBE9F9">
      <w:pPr>
        <w:widowControl/>
        <w:spacing w:line="360" w:lineRule="auto"/>
        <w:ind w:firstLine="560" w:firstLineChars="200"/>
        <w:jc w:val="left"/>
        <w:rPr>
          <w:rFonts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甲方聘请乙方提供以下服务：</w:t>
      </w:r>
    </w:p>
    <w:p w14:paraId="71F10257">
      <w:pPr>
        <w:widowControl/>
        <w:spacing w:line="360" w:lineRule="auto"/>
        <w:ind w:firstLine="560" w:firstLineChars="200"/>
        <w:jc w:val="left"/>
        <w:rPr>
          <w:rFonts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1、研究内容</w:t>
      </w:r>
    </w:p>
    <w:p w14:paraId="14C2EAB6">
      <w:pPr>
        <w:widowControl/>
        <w:spacing w:line="360" w:lineRule="auto"/>
        <w:ind w:firstLine="560" w:firstLineChars="200"/>
        <w:jc w:val="left"/>
        <w:rPr>
          <w:rFonts w:ascii="仿宋_GB2312" w:hAnsi="仿宋_GB2312" w:eastAsia="仿宋_GB2312" w:cs="仿宋_GB2312"/>
          <w:color w:val="000000"/>
          <w:kern w:val="0"/>
          <w:sz w:val="28"/>
          <w:szCs w:val="28"/>
          <w:highlight w:val="none"/>
          <w:lang w:bidi="ar"/>
        </w:rPr>
      </w:pPr>
      <w:r>
        <w:rPr>
          <w:rFonts w:hint="eastAsia" w:ascii="仿宋_GB2312" w:hAnsi="仿宋_GB2312" w:eastAsia="仿宋_GB2312" w:cs="仿宋_GB2312"/>
          <w:color w:val="000000"/>
          <w:kern w:val="0"/>
          <w:sz w:val="28"/>
          <w:szCs w:val="28"/>
          <w:highlight w:val="none"/>
          <w:lang w:bidi="ar"/>
        </w:rPr>
        <w:t>（1）谋划海南低空航路建设项目：根据国家对建设低空航路的相关指导要求，分析海南“环岛”“跨海”等低空航路建设需求，谋划一批先导示范项目，编制海南省低空航路基础设施建设方案，并形成海南低空航路建设项目谋划清单。</w:t>
      </w:r>
    </w:p>
    <w:p w14:paraId="47E3813E">
      <w:pPr>
        <w:widowControl/>
        <w:spacing w:line="360" w:lineRule="auto"/>
        <w:ind w:firstLine="560" w:firstLineChars="200"/>
        <w:jc w:val="left"/>
        <w:rPr>
          <w:rFonts w:ascii="仿宋_GB2312" w:hAnsi="仿宋_GB2312" w:eastAsia="仿宋_GB2312" w:cs="仿宋_GB2312"/>
          <w:color w:val="000000"/>
          <w:kern w:val="0"/>
          <w:sz w:val="28"/>
          <w:szCs w:val="28"/>
          <w:highlight w:val="none"/>
          <w:lang w:bidi="ar"/>
        </w:rPr>
      </w:pPr>
      <w:r>
        <w:rPr>
          <w:rFonts w:hint="eastAsia" w:ascii="仿宋_GB2312" w:hAnsi="仿宋_GB2312" w:eastAsia="仿宋_GB2312" w:cs="仿宋_GB2312"/>
          <w:color w:val="000000"/>
          <w:kern w:val="0"/>
          <w:sz w:val="28"/>
          <w:szCs w:val="28"/>
          <w:highlight w:val="none"/>
          <w:lang w:bidi="ar"/>
        </w:rPr>
        <w:t>（2）研究海南低空经济产业发展促进条例：依据《中华人民共和国民用航空法》《中华人民共和国飞行基本规则》《无人驾驶航空器飞行管理暂行条例》《优化营商环境条例》《民用无人驾驶航空器运行安全管理规则》，围绕海南低空基础设施、飞行服务、产业应用、产业支持、技术创新、安全管理、法律责任等方面，开展促进海南省低空经济产业发展立法研究，起草符合立法要求的文件成果，并协助采购人完成立法工作。</w:t>
      </w:r>
    </w:p>
    <w:p w14:paraId="28ACC9B0">
      <w:pPr>
        <w:widowControl/>
        <w:spacing w:line="360" w:lineRule="auto"/>
        <w:ind w:firstLine="560" w:firstLineChars="200"/>
        <w:rPr>
          <w:highlight w:val="none"/>
        </w:rPr>
      </w:pPr>
      <w:r>
        <w:rPr>
          <w:rFonts w:hint="eastAsia" w:ascii="仿宋_GB2312" w:hAnsi="仿宋_GB2312" w:eastAsia="仿宋_GB2312" w:cs="仿宋_GB2312"/>
          <w:color w:val="000000"/>
          <w:kern w:val="0"/>
          <w:sz w:val="28"/>
          <w:szCs w:val="28"/>
          <w:highlight w:val="none"/>
          <w:lang w:bidi="ar"/>
        </w:rPr>
        <w:t>（3）研究海南低空经济产业发展管理办法：依据国家关于推进低空经济高质量发展的相关意见以及安全规范发展的相关制度导则，结合低空经济发达地区管理经验，围绕规范低空基础设施建设管理、完善低空飞行服务管理、民用无人驾驶航空器安全管理、促进低空产业健康发展等方面，开展海南低空经济发展制度设计，明确各部门职责分工，提出相关管理程序和管理规定，并形成具有操作性、具体性和可执行性的成果文件。</w:t>
      </w:r>
    </w:p>
    <w:p w14:paraId="09080631">
      <w:pPr>
        <w:widowControl/>
        <w:spacing w:line="360" w:lineRule="auto"/>
        <w:ind w:firstLine="560" w:firstLineChars="200"/>
        <w:jc w:val="left"/>
        <w:rPr>
          <w:rFonts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2、工作成果</w:t>
      </w:r>
    </w:p>
    <w:p w14:paraId="5A115AF0">
      <w:pPr>
        <w:widowControl/>
        <w:spacing w:line="360" w:lineRule="auto"/>
        <w:ind w:firstLine="560" w:firstLineChars="200"/>
        <w:jc w:val="left"/>
        <w:rPr>
          <w:rFonts w:ascii="仿宋_GB2312" w:hAnsi="仿宋_GB2312" w:eastAsia="仿宋_GB2312" w:cs="仿宋_GB2312"/>
          <w:color w:val="000000"/>
          <w:kern w:val="0"/>
          <w:sz w:val="28"/>
          <w:szCs w:val="28"/>
          <w:highlight w:val="none"/>
          <w:lang w:bidi="ar"/>
        </w:rPr>
      </w:pPr>
      <w:r>
        <w:rPr>
          <w:rFonts w:hint="eastAsia" w:ascii="仿宋_GB2312" w:hAnsi="仿宋_GB2312" w:eastAsia="仿宋_GB2312" w:cs="仿宋_GB2312"/>
          <w:color w:val="000000"/>
          <w:kern w:val="0"/>
          <w:sz w:val="28"/>
          <w:szCs w:val="28"/>
          <w:highlight w:val="none"/>
          <w:lang w:bidi="ar"/>
        </w:rPr>
        <w:t>（1）书面成果</w:t>
      </w:r>
    </w:p>
    <w:p w14:paraId="441C3C2B">
      <w:pPr>
        <w:widowControl/>
        <w:ind w:firstLine="560" w:firstLineChars="200"/>
        <w:rPr>
          <w:rFonts w:ascii="仿宋_GB2312" w:hAnsi="仿宋_GB2312" w:eastAsia="仿宋_GB2312" w:cs="仿宋_GB2312"/>
          <w:color w:val="000000"/>
          <w:kern w:val="0"/>
          <w:sz w:val="28"/>
          <w:szCs w:val="28"/>
          <w:highlight w:val="none"/>
          <w:lang w:bidi="ar"/>
        </w:rPr>
      </w:pPr>
      <w:r>
        <w:rPr>
          <w:rFonts w:hint="eastAsia" w:ascii="仿宋_GB2312" w:hAnsi="仿宋_GB2312" w:eastAsia="仿宋_GB2312" w:cs="仿宋_GB2312"/>
          <w:color w:val="000000"/>
          <w:kern w:val="0"/>
          <w:sz w:val="28"/>
          <w:szCs w:val="28"/>
          <w:highlight w:val="none"/>
          <w:lang w:bidi="ar"/>
        </w:rPr>
        <w:t>编制符合</w:t>
      </w:r>
      <w:r>
        <w:rPr>
          <w:rFonts w:hint="eastAsia" w:ascii="仿宋_GB2312" w:hAnsi="仿宋_GB2312" w:eastAsia="仿宋_GB2312" w:cs="仿宋_GB2312"/>
          <w:color w:val="000000"/>
          <w:kern w:val="0"/>
          <w:sz w:val="28"/>
          <w:szCs w:val="28"/>
          <w:highlight w:val="none"/>
          <w:lang w:eastAsia="zh-CN" w:bidi="ar"/>
        </w:rPr>
        <w:t>国家发展改革委</w:t>
      </w:r>
      <w:r>
        <w:rPr>
          <w:rFonts w:hint="eastAsia" w:ascii="仿宋_GB2312" w:hAnsi="仿宋_GB2312" w:eastAsia="仿宋_GB2312" w:cs="仿宋_GB2312"/>
          <w:color w:val="000000"/>
          <w:kern w:val="0"/>
          <w:sz w:val="28"/>
          <w:szCs w:val="28"/>
          <w:highlight w:val="none"/>
          <w:lang w:bidi="ar"/>
        </w:rPr>
        <w:t>对建设低空航路有关指导要求的海南低空航路基础设施建设方案，形成满足落地要求的低空航空建设项目谋划清单；编制满足立法和</w:t>
      </w:r>
      <w:r>
        <w:rPr>
          <w:rFonts w:hint="eastAsia" w:ascii="仿宋_GB2312" w:hAnsi="仿宋_GB2312" w:eastAsia="仿宋_GB2312" w:cs="仿宋_GB2312"/>
          <w:color w:val="000000"/>
          <w:kern w:val="0"/>
          <w:sz w:val="28"/>
          <w:szCs w:val="28"/>
          <w:highlight w:val="none"/>
          <w:lang w:eastAsia="zh-CN" w:bidi="ar"/>
        </w:rPr>
        <w:t>制度文件</w:t>
      </w:r>
      <w:r>
        <w:rPr>
          <w:rFonts w:hint="eastAsia" w:ascii="仿宋_GB2312" w:hAnsi="仿宋_GB2312" w:eastAsia="仿宋_GB2312" w:cs="仿宋_GB2312"/>
          <w:color w:val="000000"/>
          <w:kern w:val="0"/>
          <w:sz w:val="28"/>
          <w:szCs w:val="28"/>
          <w:highlight w:val="none"/>
          <w:lang w:bidi="ar"/>
        </w:rPr>
        <w:t>深度要求的《海南低空经济产业发展促进条例》和《海南低空经济产业发展管理办法》成果文件。</w:t>
      </w:r>
    </w:p>
    <w:p w14:paraId="784FD0CE">
      <w:pPr>
        <w:widowControl/>
        <w:ind w:firstLine="560" w:firstLineChars="200"/>
        <w:jc w:val="left"/>
        <w:rPr>
          <w:rFonts w:ascii="仿宋_GB2312" w:hAnsi="仿宋_GB2312" w:eastAsia="仿宋_GB2312" w:cs="仿宋_GB2312"/>
          <w:color w:val="000000"/>
          <w:kern w:val="0"/>
          <w:sz w:val="28"/>
          <w:szCs w:val="28"/>
          <w:highlight w:val="yellow"/>
          <w:lang w:bidi="ar"/>
        </w:rPr>
      </w:pPr>
      <w:r>
        <w:rPr>
          <w:rFonts w:hint="eastAsia" w:ascii="仿宋_GB2312" w:hAnsi="仿宋_GB2312" w:eastAsia="仿宋_GB2312" w:cs="仿宋_GB2312"/>
          <w:color w:val="000000"/>
          <w:kern w:val="0"/>
          <w:sz w:val="28"/>
          <w:szCs w:val="28"/>
          <w:highlight w:val="none"/>
          <w:lang w:bidi="ar"/>
        </w:rPr>
        <w:t>2.结合海南低空航路建设需求，谋划一批可落地、执行性强的</w:t>
      </w:r>
      <w:r>
        <w:rPr>
          <w:rFonts w:hint="eastAsia" w:ascii="仿宋_GB2312" w:hAnsi="仿宋_GB2312" w:eastAsia="仿宋_GB2312" w:cs="仿宋_GB2312"/>
          <w:color w:val="000000"/>
          <w:kern w:val="0"/>
          <w:sz w:val="28"/>
          <w:szCs w:val="28"/>
          <w:highlight w:val="none"/>
          <w:u w:val="single"/>
          <w:lang w:bidi="ar"/>
        </w:rPr>
        <w:t>低空基础设施</w:t>
      </w:r>
      <w:r>
        <w:rPr>
          <w:rFonts w:hint="eastAsia" w:ascii="仿宋_GB2312" w:hAnsi="仿宋_GB2312" w:eastAsia="仿宋_GB2312" w:cs="仿宋_GB2312"/>
          <w:color w:val="000000"/>
          <w:kern w:val="0"/>
          <w:sz w:val="28"/>
          <w:szCs w:val="28"/>
          <w:highlight w:val="none"/>
          <w:lang w:bidi="ar"/>
        </w:rPr>
        <w:t>领域项目，形成</w:t>
      </w:r>
      <w:r>
        <w:rPr>
          <w:rFonts w:hint="eastAsia" w:ascii="仿宋_GB2312" w:hAnsi="仿宋_GB2312" w:eastAsia="仿宋_GB2312" w:cs="仿宋_GB2312"/>
          <w:b/>
          <w:bCs/>
          <w:color w:val="000000"/>
          <w:kern w:val="0"/>
          <w:sz w:val="28"/>
          <w:szCs w:val="28"/>
          <w:highlight w:val="none"/>
          <w:u w:val="single"/>
          <w:lang w:bidi="ar"/>
        </w:rPr>
        <w:t>项目谋划清单，</w:t>
      </w:r>
      <w:r>
        <w:rPr>
          <w:rFonts w:hint="eastAsia" w:ascii="仿宋_GB2312" w:hAnsi="仿宋_GB2312" w:eastAsia="仿宋_GB2312" w:cs="仿宋_GB2312"/>
          <w:color w:val="000000"/>
          <w:kern w:val="0"/>
          <w:sz w:val="28"/>
          <w:szCs w:val="28"/>
          <w:highlight w:val="none"/>
          <w:lang w:bidi="ar"/>
        </w:rPr>
        <w:t>不少于</w:t>
      </w:r>
      <w:r>
        <w:rPr>
          <w:rFonts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color w:val="000000"/>
          <w:kern w:val="0"/>
          <w:sz w:val="28"/>
          <w:szCs w:val="28"/>
          <w:highlight w:val="none"/>
          <w:lang w:bidi="ar"/>
        </w:rPr>
        <w:t>个重大标志性项目(单个项目投资规模不低于1亿元或具备较强产业带动性</w:t>
      </w:r>
      <w:r>
        <w:rPr>
          <w:rFonts w:hint="eastAsia" w:ascii="仿宋_GB2312" w:hAnsi="仿宋_GB2312" w:eastAsia="仿宋_GB2312" w:cs="仿宋_GB2312"/>
          <w:kern w:val="0"/>
          <w:sz w:val="28"/>
          <w:szCs w:val="28"/>
          <w:highlight w:val="none"/>
          <w:lang w:bidi="ar"/>
        </w:rPr>
        <w:t>)，总投资额不低于</w:t>
      </w:r>
      <w:r>
        <w:rPr>
          <w:rFonts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kern w:val="0"/>
          <w:sz w:val="28"/>
          <w:szCs w:val="28"/>
          <w:highlight w:val="none"/>
          <w:lang w:bidi="ar"/>
        </w:rPr>
        <w:t>亿元。项目谋划清单的内容应包含项目名称、项目谋划依据、建设内容及规</w:t>
      </w:r>
      <w:r>
        <w:rPr>
          <w:rFonts w:hint="eastAsia" w:ascii="仿宋_GB2312" w:hAnsi="仿宋_GB2312" w:eastAsia="仿宋_GB2312" w:cs="仿宋_GB2312"/>
          <w:color w:val="000000"/>
          <w:kern w:val="0"/>
          <w:sz w:val="28"/>
          <w:szCs w:val="28"/>
          <w:highlight w:val="none"/>
          <w:lang w:bidi="ar"/>
        </w:rPr>
        <w:t>模、选址建议、匡算投资、资金来源建议、建设周期、经济效益分析、建议业主或潜在投资人、成熟度及可能性分析等基本要素，在清单中需对各要素内容进行充分明确的表述。</w:t>
      </w:r>
    </w:p>
    <w:p w14:paraId="56428918">
      <w:pPr>
        <w:widowControl/>
        <w:spacing w:line="360" w:lineRule="auto"/>
        <w:ind w:firstLine="560" w:firstLineChars="200"/>
        <w:jc w:val="left"/>
        <w:rPr>
          <w:rFonts w:ascii="仿宋_GB2312" w:hAnsi="仿宋_GB2312" w:eastAsia="仿宋_GB2312" w:cs="仿宋_GB2312"/>
          <w:color w:val="000000"/>
          <w:kern w:val="0"/>
          <w:sz w:val="28"/>
          <w:szCs w:val="28"/>
          <w:highlight w:val="none"/>
          <w:lang w:bidi="ar"/>
        </w:rPr>
      </w:pPr>
      <w:r>
        <w:rPr>
          <w:rFonts w:hint="eastAsia" w:ascii="仿宋_GB2312" w:hAnsi="仿宋_GB2312" w:eastAsia="仿宋_GB2312" w:cs="仿宋_GB2312"/>
          <w:color w:val="000000"/>
          <w:kern w:val="0"/>
          <w:sz w:val="28"/>
          <w:szCs w:val="28"/>
          <w:highlight w:val="none"/>
          <w:lang w:bidi="ar"/>
        </w:rPr>
        <w:t>（2）项目专项服务</w:t>
      </w:r>
    </w:p>
    <w:p w14:paraId="175AE187">
      <w:pPr>
        <w:pStyle w:val="9"/>
        <w:ind w:left="0" w:leftChars="0" w:firstLine="638" w:firstLineChars="228"/>
        <w:rPr>
          <w:rFonts w:ascii="仿宋_GB2312" w:eastAsia="仿宋_GB2312" w:cs="仿宋_GB2312"/>
          <w:color w:val="000000"/>
          <w:kern w:val="0"/>
          <w:sz w:val="28"/>
          <w:szCs w:val="28"/>
          <w:highlight w:val="none"/>
          <w:lang w:bidi="ar"/>
        </w:rPr>
      </w:pPr>
      <w:r>
        <w:rPr>
          <w:rFonts w:hint="eastAsia" w:ascii="仿宋_GB2312" w:eastAsia="仿宋_GB2312" w:cs="仿宋_GB2312"/>
          <w:color w:val="000000"/>
          <w:kern w:val="0"/>
          <w:sz w:val="28"/>
          <w:szCs w:val="28"/>
          <w:highlight w:val="none"/>
          <w:lang w:bidi="ar"/>
        </w:rPr>
        <w:t>乙方项目组主要负责人员在海南工作时长原则上不少于10个工作日，在海南调研时长不低于10个工作日。</w:t>
      </w:r>
    </w:p>
    <w:p w14:paraId="3982C7BC">
      <w:pPr>
        <w:widowControl/>
        <w:spacing w:line="360" w:lineRule="auto"/>
        <w:ind w:firstLine="560" w:firstLineChars="200"/>
        <w:jc w:val="left"/>
        <w:rPr>
          <w:rFonts w:ascii="仿宋_GB2312" w:hAnsi="仿宋_GB2312" w:eastAsia="仿宋_GB2312" w:cs="仿宋_GB2312"/>
          <w:color w:val="000000"/>
          <w:kern w:val="0"/>
          <w:sz w:val="28"/>
          <w:szCs w:val="28"/>
          <w:highlight w:val="none"/>
          <w:lang w:bidi="ar"/>
        </w:rPr>
      </w:pPr>
      <w:r>
        <w:rPr>
          <w:rFonts w:hint="eastAsia" w:ascii="仿宋_GB2312" w:hAnsi="仿宋_GB2312" w:eastAsia="仿宋_GB2312" w:cs="仿宋_GB2312"/>
          <w:color w:val="000000"/>
          <w:kern w:val="0"/>
          <w:sz w:val="28"/>
          <w:szCs w:val="28"/>
          <w:highlight w:val="none"/>
          <w:lang w:bidi="ar"/>
        </w:rPr>
        <w:t>3、验收标准和方式</w:t>
      </w:r>
    </w:p>
    <w:p w14:paraId="0100511F">
      <w:pPr>
        <w:widowControl/>
        <w:spacing w:line="360" w:lineRule="auto"/>
        <w:ind w:firstLine="560" w:firstLineChars="200"/>
        <w:jc w:val="left"/>
        <w:rPr>
          <w:rFonts w:hint="eastAsia" w:ascii="仿宋_GB2312" w:hAnsi="仿宋_GB2312" w:eastAsia="仿宋_GB2312" w:cs="仿宋_GB2312"/>
          <w:color w:val="000000"/>
          <w:kern w:val="0"/>
          <w:sz w:val="28"/>
          <w:szCs w:val="28"/>
          <w:highlight w:val="none"/>
          <w:lang w:val="en-US" w:eastAsia="zh-CN" w:bidi="ar"/>
        </w:rPr>
      </w:pPr>
      <w:r>
        <w:rPr>
          <w:rFonts w:hint="eastAsia" w:ascii="仿宋_GB2312" w:hAnsi="仿宋_GB2312" w:eastAsia="仿宋_GB2312" w:cs="仿宋_GB2312"/>
          <w:color w:val="000000"/>
          <w:kern w:val="0"/>
          <w:sz w:val="28"/>
          <w:szCs w:val="28"/>
          <w:highlight w:val="none"/>
          <w:lang w:bidi="ar"/>
        </w:rPr>
        <w:t>（1）验收标准：通过专家评审会验收</w:t>
      </w:r>
      <w:r>
        <w:rPr>
          <w:rFonts w:hint="eastAsia" w:ascii="仿宋_GB2312" w:hAnsi="仿宋_GB2312" w:eastAsia="仿宋_GB2312" w:cs="仿宋_GB2312"/>
          <w:color w:val="000000"/>
          <w:kern w:val="0"/>
          <w:sz w:val="28"/>
          <w:szCs w:val="28"/>
          <w:highlight w:val="none"/>
          <w:lang w:eastAsia="zh-CN" w:bidi="ar"/>
        </w:rPr>
        <w:t>且</w:t>
      </w:r>
      <w:r>
        <w:rPr>
          <w:rFonts w:hint="eastAsia" w:ascii="仿宋_GB2312" w:hAnsi="仿宋_GB2312" w:eastAsia="仿宋_GB2312" w:cs="仿宋_GB2312"/>
          <w:color w:val="000000"/>
          <w:kern w:val="0"/>
          <w:sz w:val="28"/>
          <w:szCs w:val="28"/>
          <w:highlight w:val="yellow"/>
          <w:lang w:bidi="ar"/>
        </w:rPr>
        <w:t>海南低空航路建设方案</w:t>
      </w:r>
      <w:r>
        <w:rPr>
          <w:rFonts w:hint="eastAsia" w:ascii="仿宋_GB2312" w:hAnsi="仿宋_GB2312" w:eastAsia="仿宋_GB2312" w:cs="仿宋_GB2312"/>
          <w:color w:val="000000"/>
          <w:kern w:val="0"/>
          <w:sz w:val="28"/>
          <w:szCs w:val="28"/>
          <w:highlight w:val="yellow"/>
          <w:lang w:eastAsia="zh-CN" w:bidi="ar"/>
        </w:rPr>
        <w:t>获得国家发展改革委认可</w:t>
      </w:r>
      <w:r>
        <w:rPr>
          <w:rFonts w:hint="eastAsia" w:ascii="仿宋_GB2312" w:hAnsi="仿宋_GB2312" w:eastAsia="仿宋_GB2312" w:cs="仿宋_GB2312"/>
          <w:color w:val="000000"/>
          <w:kern w:val="0"/>
          <w:sz w:val="28"/>
          <w:szCs w:val="28"/>
          <w:highlight w:val="yellow"/>
          <w:lang w:bidi="ar"/>
        </w:rPr>
        <w:t>。</w:t>
      </w:r>
      <w:r>
        <w:rPr>
          <w:rFonts w:hint="eastAsia" w:ascii="仿宋_GB2312" w:hAnsi="仿宋_GB2312" w:eastAsia="仿宋_GB2312" w:cs="仿宋_GB2312"/>
          <w:color w:val="000000"/>
          <w:kern w:val="0"/>
          <w:sz w:val="28"/>
          <w:szCs w:val="28"/>
          <w:highlight w:val="yellow"/>
          <w:lang w:eastAsia="zh-CN" w:bidi="ar"/>
        </w:rPr>
        <w:t>同时协助完成</w:t>
      </w:r>
      <w:r>
        <w:rPr>
          <w:rFonts w:hint="eastAsia" w:ascii="仿宋_GB2312" w:hAnsi="仿宋_GB2312" w:eastAsia="仿宋_GB2312" w:cs="仿宋_GB2312"/>
          <w:color w:val="000000"/>
          <w:kern w:val="0"/>
          <w:sz w:val="28"/>
          <w:szCs w:val="28"/>
          <w:highlight w:val="yellow"/>
          <w:lang w:bidi="ar"/>
        </w:rPr>
        <w:t>《海南低空经济产业发展促进条例》</w:t>
      </w:r>
      <w:r>
        <w:rPr>
          <w:rFonts w:hint="eastAsia" w:ascii="仿宋_GB2312" w:hAnsi="仿宋_GB2312" w:eastAsia="仿宋_GB2312" w:cs="仿宋_GB2312"/>
          <w:color w:val="000000"/>
          <w:kern w:val="0"/>
          <w:sz w:val="28"/>
          <w:szCs w:val="28"/>
          <w:highlight w:val="yellow"/>
          <w:lang w:eastAsia="zh-CN" w:bidi="ar"/>
        </w:rPr>
        <w:t>立法和</w:t>
      </w:r>
      <w:r>
        <w:rPr>
          <w:rFonts w:hint="eastAsia" w:ascii="仿宋_GB2312" w:hAnsi="仿宋_GB2312" w:eastAsia="仿宋_GB2312" w:cs="仿宋_GB2312"/>
          <w:color w:val="000000"/>
          <w:kern w:val="0"/>
          <w:sz w:val="28"/>
          <w:szCs w:val="28"/>
          <w:highlight w:val="yellow"/>
          <w:lang w:bidi="ar"/>
        </w:rPr>
        <w:t>《海南低空经济产业发展管理办法》</w:t>
      </w:r>
      <w:r>
        <w:rPr>
          <w:rFonts w:hint="eastAsia" w:ascii="仿宋_GB2312" w:hAnsi="仿宋_GB2312" w:eastAsia="仿宋_GB2312" w:cs="仿宋_GB2312"/>
          <w:color w:val="000000"/>
          <w:kern w:val="0"/>
          <w:sz w:val="28"/>
          <w:szCs w:val="28"/>
          <w:highlight w:val="yellow"/>
          <w:lang w:eastAsia="zh-CN" w:bidi="ar"/>
        </w:rPr>
        <w:t>制度出台。</w:t>
      </w:r>
    </w:p>
    <w:p w14:paraId="51BE47F1">
      <w:pPr>
        <w:widowControl/>
        <w:spacing w:line="360" w:lineRule="auto"/>
        <w:ind w:firstLine="560" w:firstLineChars="200"/>
        <w:jc w:val="left"/>
        <w:rPr>
          <w:rFonts w:ascii="仿宋_GB2312" w:hAnsi="仿宋_GB2312" w:eastAsia="仿宋_GB2312" w:cs="仿宋_GB2312"/>
          <w:color w:val="000000"/>
          <w:kern w:val="0"/>
          <w:sz w:val="28"/>
          <w:szCs w:val="28"/>
          <w:highlight w:val="none"/>
          <w:lang w:bidi="ar"/>
        </w:rPr>
      </w:pPr>
      <w:r>
        <w:rPr>
          <w:rFonts w:hint="eastAsia" w:ascii="仿宋_GB2312" w:hAnsi="仿宋_GB2312" w:eastAsia="仿宋_GB2312" w:cs="仿宋_GB2312"/>
          <w:color w:val="000000"/>
          <w:kern w:val="0"/>
          <w:sz w:val="28"/>
          <w:szCs w:val="28"/>
          <w:highlight w:val="none"/>
          <w:lang w:bidi="ar"/>
        </w:rPr>
        <w:t>（2）验收方法：</w:t>
      </w:r>
      <w:r>
        <w:rPr>
          <w:rFonts w:hint="eastAsia" w:ascii="仿宋_GB2312" w:hAnsi="仿宋_GB2312" w:eastAsia="仿宋_GB2312" w:cs="仿宋_GB2312"/>
          <w:color w:val="000000"/>
          <w:kern w:val="0"/>
          <w:sz w:val="28"/>
          <w:szCs w:val="28"/>
          <w:highlight w:val="yellow"/>
          <w:lang w:bidi="ar"/>
        </w:rPr>
        <w:t>乙方向甲方提供书面成果文件后，甲方应当在5日内对书面成果文件组织专家评审会进行审核验收。甲方有整改意见的，乙方须按甲方的要求进行整改，并向甲方提交整改意见稿，直至评审验收通过。同时，乙方配合甲方一是按照有关要求修改完善海南低空航路建设方案成果文件，直至</w:t>
      </w:r>
      <w:r>
        <w:rPr>
          <w:rFonts w:hint="eastAsia" w:ascii="仿宋_GB2312" w:hAnsi="仿宋_GB2312" w:eastAsia="仿宋_GB2312" w:cs="仿宋_GB2312"/>
          <w:color w:val="000000"/>
          <w:kern w:val="0"/>
          <w:sz w:val="28"/>
          <w:szCs w:val="28"/>
          <w:highlight w:val="yellow"/>
          <w:lang w:eastAsia="zh-CN" w:bidi="ar"/>
        </w:rPr>
        <w:t>获得国家发展改革委认可；</w:t>
      </w:r>
      <w:r>
        <w:rPr>
          <w:rFonts w:hint="eastAsia" w:ascii="仿宋_GB2312" w:hAnsi="仿宋_GB2312" w:eastAsia="仿宋_GB2312" w:cs="仿宋_GB2312"/>
          <w:color w:val="000000"/>
          <w:kern w:val="0"/>
          <w:sz w:val="28"/>
          <w:szCs w:val="28"/>
          <w:highlight w:val="yellow"/>
          <w:lang w:bidi="ar"/>
        </w:rPr>
        <w:t>二是按照人大立法程序，协助完成《海南低空经济产业发展促进条例》立法工作</w:t>
      </w:r>
      <w:r>
        <w:rPr>
          <w:rFonts w:hint="eastAsia" w:ascii="仿宋_GB2312" w:hAnsi="仿宋_GB2312" w:eastAsia="仿宋_GB2312" w:cs="仿宋_GB2312"/>
          <w:color w:val="000000"/>
          <w:kern w:val="0"/>
          <w:sz w:val="28"/>
          <w:szCs w:val="28"/>
          <w:highlight w:val="yellow"/>
          <w:lang w:eastAsia="zh-CN" w:bidi="ar"/>
        </w:rPr>
        <w:t>；</w:t>
      </w:r>
      <w:r>
        <w:rPr>
          <w:rFonts w:hint="eastAsia" w:ascii="仿宋_GB2312" w:hAnsi="仿宋_GB2312" w:eastAsia="仿宋_GB2312" w:cs="仿宋_GB2312"/>
          <w:color w:val="000000"/>
          <w:kern w:val="0"/>
          <w:sz w:val="28"/>
          <w:szCs w:val="28"/>
          <w:highlight w:val="yellow"/>
          <w:lang w:bidi="ar"/>
        </w:rPr>
        <w:t>三是按照征求意见情况和省政府专题研究情况，修改完善《海南低空经济产业发展管理办法》，并完成制度出台工作。</w:t>
      </w:r>
    </w:p>
    <w:p w14:paraId="68DBB8A4">
      <w:pPr>
        <w:widowControl/>
        <w:spacing w:line="360" w:lineRule="auto"/>
        <w:ind w:firstLine="560" w:firstLineChars="200"/>
        <w:jc w:val="left"/>
        <w:rPr>
          <w:rFonts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三、双方的权利和义务</w:t>
      </w:r>
    </w:p>
    <w:p w14:paraId="208C056C">
      <w:pPr>
        <w:widowControl/>
        <w:spacing w:line="360" w:lineRule="auto"/>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bidi="ar"/>
        </w:rPr>
        <w:t>(一)甲方的权利和义务</w:t>
      </w:r>
    </w:p>
    <w:p w14:paraId="5213E86C">
      <w:pPr>
        <w:widowControl/>
        <w:spacing w:line="360" w:lineRule="auto"/>
        <w:ind w:firstLine="560" w:firstLineChars="200"/>
        <w:jc w:val="left"/>
        <w:rPr>
          <w:rFonts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为保证乙方有效进行服务工作，甲方应当向乙方提供下列工作条件和协作事项：</w:t>
      </w:r>
    </w:p>
    <w:p w14:paraId="2C0209CA">
      <w:pPr>
        <w:widowControl/>
        <w:spacing w:line="360" w:lineRule="auto"/>
        <w:ind w:firstLine="560" w:firstLineChars="200"/>
        <w:jc w:val="left"/>
        <w:rPr>
          <w:rFonts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1、提供资料及信息：</w:t>
      </w:r>
    </w:p>
    <w:p w14:paraId="7B0F99AC">
      <w:pPr>
        <w:widowControl/>
        <w:spacing w:line="360" w:lineRule="auto"/>
        <w:ind w:firstLine="560" w:firstLineChars="200"/>
        <w:jc w:val="left"/>
        <w:rPr>
          <w:rFonts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乙方根据其工作的必要条件，可以要求甲方提供与该项目相关的资料及信息。</w:t>
      </w:r>
    </w:p>
    <w:p w14:paraId="3300A643">
      <w:pPr>
        <w:widowControl/>
        <w:spacing w:line="360" w:lineRule="auto"/>
        <w:ind w:firstLine="560" w:firstLineChars="200"/>
        <w:jc w:val="left"/>
        <w:rPr>
          <w:rFonts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2、提供工作条件：</w:t>
      </w:r>
    </w:p>
    <w:p w14:paraId="0257014B">
      <w:pPr>
        <w:widowControl/>
        <w:spacing w:line="360" w:lineRule="auto"/>
        <w:ind w:firstLine="560" w:firstLineChars="200"/>
        <w:jc w:val="left"/>
        <w:rPr>
          <w:rFonts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合同执行期间，甲方可以在不影响其正常生产经营活动的前提下配合乙方开展实地调研工作。</w:t>
      </w:r>
    </w:p>
    <w:p w14:paraId="75D59727">
      <w:pPr>
        <w:widowControl/>
        <w:spacing w:line="360" w:lineRule="auto"/>
        <w:ind w:firstLine="560" w:firstLineChars="200"/>
        <w:jc w:val="left"/>
        <w:rPr>
          <w:rFonts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3、甲方提供上述工作条件和协作事项的时间及方式：按照双方约定执行。</w:t>
      </w:r>
    </w:p>
    <w:p w14:paraId="4977D5D0">
      <w:pPr>
        <w:widowControl/>
        <w:spacing w:line="360" w:lineRule="auto"/>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bidi="ar"/>
        </w:rPr>
        <w:t xml:space="preserve">(二)乙方的权利和义务 </w:t>
      </w:r>
    </w:p>
    <w:p w14:paraId="12C9EE83">
      <w:pPr>
        <w:widowControl/>
        <w:spacing w:line="360" w:lineRule="auto"/>
        <w:ind w:firstLine="560" w:firstLineChars="200"/>
        <w:jc w:val="left"/>
        <w:rPr>
          <w:rFonts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1、乙方应在服务期限内提供本合同约定的服务，并提交符合要求的报告成果。乙方不能按照上述期限完成服务的，根据实际执行情况双方另行协商确定并签订书面的补充协议；</w:t>
      </w:r>
    </w:p>
    <w:p w14:paraId="4F4DEBBE">
      <w:pPr>
        <w:widowControl/>
        <w:spacing w:line="360" w:lineRule="auto"/>
        <w:ind w:firstLine="560" w:firstLineChars="200"/>
        <w:jc w:val="left"/>
        <w:rPr>
          <w:rFonts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2、乙方在整个服务过程中应严格遵守相关法律法规、规范性文件的规定，保持执行质量保证体系和严格的质量控制程序，保证使用适当合格的专业人员为甲方提供服务，保证按本合同约定提供满足合同要求的服务。</w:t>
      </w:r>
    </w:p>
    <w:p w14:paraId="767D458E">
      <w:pPr>
        <w:widowControl/>
        <w:spacing w:line="360" w:lineRule="auto"/>
        <w:ind w:firstLine="560" w:firstLineChars="200"/>
        <w:jc w:val="left"/>
        <w:rPr>
          <w:rFonts w:ascii="仿宋_GB2312" w:hAnsi="仿宋_GB2312" w:eastAsia="仿宋_GB2312" w:cs="仿宋_GB2312"/>
          <w:color w:val="000000"/>
          <w:kern w:val="0"/>
          <w:sz w:val="28"/>
          <w:szCs w:val="28"/>
          <w:lang w:bidi="ar"/>
        </w:rPr>
      </w:pPr>
      <w:r>
        <w:rPr>
          <w:rFonts w:ascii="仿宋_GB2312" w:hAnsi="仿宋_GB2312" w:eastAsia="仿宋_GB2312" w:cs="仿宋_GB2312"/>
          <w:color w:val="000000"/>
          <w:kern w:val="0"/>
          <w:sz w:val="28"/>
          <w:szCs w:val="28"/>
          <w:lang w:bidi="ar"/>
        </w:rPr>
        <w:t>3、乙方应勤勉尽责履行好合同义务，且未经甲方书面同意，乙方不得将本合同的权利义务转让给第三方</w:t>
      </w:r>
      <w:r>
        <w:rPr>
          <w:rFonts w:hint="eastAsia" w:ascii="仿宋_GB2312" w:hAnsi="仿宋_GB2312" w:eastAsia="仿宋_GB2312" w:cs="仿宋_GB2312"/>
          <w:color w:val="000000"/>
          <w:kern w:val="0"/>
          <w:sz w:val="28"/>
          <w:szCs w:val="28"/>
          <w:lang w:bidi="ar"/>
        </w:rPr>
        <w:t>。</w:t>
      </w:r>
    </w:p>
    <w:p w14:paraId="0007B794">
      <w:pPr>
        <w:widowControl/>
        <w:spacing w:line="360" w:lineRule="auto"/>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bidi="ar"/>
        </w:rPr>
        <w:t xml:space="preserve">四、服务期限 </w:t>
      </w:r>
    </w:p>
    <w:p w14:paraId="4AF08845">
      <w:pPr>
        <w:widowControl/>
        <w:spacing w:line="360" w:lineRule="auto"/>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bidi="ar"/>
        </w:rPr>
        <w:t>委托服务期限：自合同签订之日起至2025年</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color w:val="000000"/>
          <w:kern w:val="0"/>
          <w:sz w:val="28"/>
          <w:szCs w:val="28"/>
          <w:lang w:bidi="ar"/>
        </w:rPr>
        <w:t>月</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color w:val="000000"/>
          <w:kern w:val="0"/>
          <w:sz w:val="28"/>
          <w:szCs w:val="28"/>
          <w:lang w:bidi="ar"/>
        </w:rPr>
        <w:t xml:space="preserve">日止。 </w:t>
      </w:r>
    </w:p>
    <w:p w14:paraId="5431DD57">
      <w:pPr>
        <w:widowControl/>
        <w:spacing w:line="360" w:lineRule="auto"/>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bidi="ar"/>
        </w:rPr>
        <w:t xml:space="preserve">五、付款方式 </w:t>
      </w:r>
      <w:r>
        <w:rPr>
          <w:rFonts w:ascii="仿宋_GB2312" w:hAnsi="仿宋_GB2312" w:eastAsia="仿宋_GB2312" w:cs="仿宋_GB2312"/>
          <w:color w:val="000000"/>
          <w:kern w:val="0"/>
          <w:sz w:val="28"/>
          <w:szCs w:val="28"/>
          <w:lang w:bidi="ar"/>
        </w:rPr>
        <w:t xml:space="preserve"> </w:t>
      </w:r>
    </w:p>
    <w:p w14:paraId="30BCDA16">
      <w:pPr>
        <w:widowControl/>
        <w:spacing w:line="360" w:lineRule="auto"/>
        <w:ind w:firstLine="560" w:firstLineChars="200"/>
        <w:jc w:val="left"/>
        <w:rPr>
          <w:rFonts w:ascii="仿宋_GB2312" w:hAnsi="仿宋_GB2312" w:eastAsia="仿宋_GB2312" w:cs="仿宋_GB2312"/>
          <w:color w:val="000000"/>
          <w:kern w:val="0"/>
          <w:sz w:val="28"/>
          <w:szCs w:val="28"/>
          <w:highlight w:val="yellow"/>
          <w:lang w:bidi="ar"/>
        </w:rPr>
      </w:pPr>
      <w:r>
        <w:rPr>
          <w:rFonts w:hint="eastAsia" w:ascii="仿宋_GB2312" w:hAnsi="仿宋_GB2312" w:eastAsia="仿宋_GB2312" w:cs="仿宋_GB2312"/>
          <w:color w:val="000000"/>
          <w:kern w:val="0"/>
          <w:sz w:val="28"/>
          <w:szCs w:val="28"/>
          <w:highlight w:val="yellow"/>
          <w:lang w:bidi="ar"/>
        </w:rPr>
        <w:t>（1）合同签订后10个工作日内，乙方开具有效发票给甲方，甲方收到发票后向乙方支付合同金额50%的项目款。</w:t>
      </w:r>
    </w:p>
    <w:p w14:paraId="074D610E">
      <w:pPr>
        <w:widowControl/>
        <w:spacing w:line="360" w:lineRule="auto"/>
        <w:ind w:firstLine="560" w:firstLineChars="200"/>
        <w:jc w:val="left"/>
        <w:rPr>
          <w:rFonts w:ascii="仿宋_GB2312" w:hAnsi="仿宋_GB2312" w:eastAsia="仿宋_GB2312" w:cs="仿宋_GB2312"/>
          <w:color w:val="000000"/>
          <w:kern w:val="0"/>
          <w:sz w:val="28"/>
          <w:szCs w:val="28"/>
          <w:highlight w:val="yellow"/>
          <w:lang w:bidi="ar"/>
        </w:rPr>
      </w:pPr>
      <w:r>
        <w:rPr>
          <w:rFonts w:hint="eastAsia" w:ascii="仿宋_GB2312" w:hAnsi="仿宋_GB2312" w:eastAsia="仿宋_GB2312" w:cs="仿宋_GB2312"/>
          <w:color w:val="000000"/>
          <w:kern w:val="0"/>
          <w:sz w:val="28"/>
          <w:szCs w:val="28"/>
          <w:highlight w:val="yellow"/>
          <w:lang w:bidi="ar"/>
        </w:rPr>
        <w:t>（2）乙方提交研究报告成果，通过专家评审验收会并修改完善后10个工作日内，甲方收到发票后向乙方支付合同45%的项目款。</w:t>
      </w:r>
    </w:p>
    <w:p w14:paraId="5CE0E0FE">
      <w:pPr>
        <w:widowControl/>
        <w:spacing w:line="360" w:lineRule="auto"/>
        <w:ind w:firstLine="560" w:firstLineChars="200"/>
        <w:jc w:val="left"/>
        <w:rPr>
          <w:rFonts w:ascii="仿宋_GB2312" w:hAnsi="仿宋_GB2312" w:eastAsia="仿宋_GB2312" w:cs="仿宋_GB2312"/>
          <w:color w:val="000000"/>
          <w:kern w:val="0"/>
          <w:sz w:val="28"/>
          <w:szCs w:val="28"/>
          <w:highlight w:val="yellow"/>
          <w:lang w:bidi="ar"/>
        </w:rPr>
      </w:pPr>
      <w:r>
        <w:rPr>
          <w:rFonts w:hint="eastAsia" w:ascii="仿宋_GB2312" w:hAnsi="仿宋_GB2312" w:eastAsia="仿宋_GB2312" w:cs="仿宋_GB2312"/>
          <w:color w:val="000000"/>
          <w:kern w:val="0"/>
          <w:sz w:val="28"/>
          <w:szCs w:val="28"/>
          <w:highlight w:val="yellow"/>
          <w:lang w:bidi="ar"/>
        </w:rPr>
        <w:t>（3）海南低空航路建设方案成果获得</w:t>
      </w:r>
      <w:r>
        <w:rPr>
          <w:rFonts w:hint="eastAsia" w:ascii="仿宋_GB2312" w:hAnsi="仿宋_GB2312" w:eastAsia="仿宋_GB2312" w:cs="仿宋_GB2312"/>
          <w:color w:val="000000"/>
          <w:kern w:val="0"/>
          <w:sz w:val="28"/>
          <w:szCs w:val="28"/>
          <w:highlight w:val="yellow"/>
          <w:lang w:eastAsia="zh-CN" w:bidi="ar"/>
        </w:rPr>
        <w:t>国家发展改革委</w:t>
      </w:r>
      <w:r>
        <w:rPr>
          <w:rFonts w:hint="eastAsia" w:ascii="仿宋_GB2312" w:hAnsi="仿宋_GB2312" w:eastAsia="仿宋_GB2312" w:cs="仿宋_GB2312"/>
          <w:color w:val="000000"/>
          <w:kern w:val="0"/>
          <w:sz w:val="28"/>
          <w:szCs w:val="28"/>
          <w:highlight w:val="yellow"/>
          <w:lang w:bidi="ar"/>
        </w:rPr>
        <w:t>且协助甲方完成《海南低空经济产业发展促进条例》立法以及出台《海南低空经济产业发展管理办法》后10个工作日内，甲方向乙方支付合同5%的项目款。</w:t>
      </w:r>
    </w:p>
    <w:p w14:paraId="60C6D579">
      <w:pPr>
        <w:widowControl/>
        <w:spacing w:line="360" w:lineRule="auto"/>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bidi="ar"/>
        </w:rPr>
        <w:t xml:space="preserve">六、知识产权归属 </w:t>
      </w:r>
    </w:p>
    <w:p w14:paraId="71F32385">
      <w:pPr>
        <w:widowControl/>
        <w:spacing w:line="360" w:lineRule="auto"/>
        <w:ind w:firstLine="560" w:firstLineChars="200"/>
        <w:jc w:val="left"/>
        <w:rPr>
          <w:rFonts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1、乙方依本合同约定所完成的研究成果及版权等知识产权及其相关的申请权归双方所共有，甲方有权作为知识产权共有人免费使用前述知识产权。如乙方将前述研究成果出版的，甲方享有在相关出版物上列为赞助方的权利。上述共有知识产权的申请、获得以及由此产生的相关收益等事项，由双方协商并另行签署书面文件进行约定。</w:t>
      </w:r>
    </w:p>
    <w:p w14:paraId="0CA2AC16">
      <w:pPr>
        <w:widowControl/>
        <w:spacing w:line="360" w:lineRule="auto"/>
        <w:ind w:firstLine="560" w:firstLineChars="200"/>
        <w:jc w:val="left"/>
        <w:rPr>
          <w:rFonts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2、在利用前款所约定的共有技术成果的基础上，由甲方独立开发完成的技术成果及其相关知识产权均归甲方单独所有，乙方对此不享有任何权利。</w:t>
      </w:r>
    </w:p>
    <w:p w14:paraId="4DDC5CBC">
      <w:pPr>
        <w:widowControl/>
        <w:spacing w:line="360" w:lineRule="auto"/>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bidi="ar"/>
        </w:rPr>
        <w:t xml:space="preserve">七、保密 </w:t>
      </w:r>
    </w:p>
    <w:p w14:paraId="6471E619">
      <w:pPr>
        <w:widowControl/>
        <w:spacing w:line="360" w:lineRule="auto"/>
        <w:ind w:firstLine="560" w:firstLineChars="200"/>
        <w:jc w:val="left"/>
        <w:rPr>
          <w:rFonts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1、乙方承诺以最严格的保密方式保存和维护从甲方或甲方代表获得的保密信息，未经甲方事先书面同意，不得向任何第三方披露。保密信息包括但不限于本项目、规格、计划、设计、软件及开发资料、数据、图纸、式样、样本或甲方为上述内容向乙方提供的任何其它资料。</w:t>
      </w:r>
    </w:p>
    <w:p w14:paraId="60C5C34C">
      <w:pPr>
        <w:widowControl/>
        <w:spacing w:line="360" w:lineRule="auto"/>
        <w:ind w:firstLine="560" w:firstLineChars="200"/>
        <w:jc w:val="left"/>
        <w:rPr>
          <w:rFonts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2、乙方应保证本项目执行人员：</w:t>
      </w:r>
    </w:p>
    <w:p w14:paraId="0B6F5799">
      <w:pPr>
        <w:widowControl/>
        <w:spacing w:line="360" w:lineRule="auto"/>
        <w:ind w:firstLine="560" w:firstLineChars="200"/>
        <w:jc w:val="left"/>
        <w:rPr>
          <w:rFonts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A 只有在为了本项目的目的而必须知道保密信息的情况下，才允许获取从甲方或甲方代表获得的任何保密信息；</w:t>
      </w:r>
    </w:p>
    <w:p w14:paraId="66DD9C5B">
      <w:pPr>
        <w:widowControl/>
        <w:spacing w:line="360" w:lineRule="auto"/>
        <w:ind w:firstLine="560" w:firstLineChars="200"/>
        <w:jc w:val="left"/>
        <w:rPr>
          <w:rFonts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B 必须了解本项目规定的保密要求；</w:t>
      </w:r>
    </w:p>
    <w:p w14:paraId="18BA61B5">
      <w:pPr>
        <w:widowControl/>
        <w:spacing w:line="360" w:lineRule="auto"/>
        <w:ind w:firstLine="560" w:firstLineChars="200"/>
        <w:jc w:val="left"/>
        <w:rPr>
          <w:rFonts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C 不得造成或允许向任何第三方透露保密信息。</w:t>
      </w:r>
    </w:p>
    <w:p w14:paraId="3889B7FF">
      <w:pPr>
        <w:widowControl/>
        <w:spacing w:line="360" w:lineRule="auto"/>
        <w:ind w:firstLine="560" w:firstLineChars="200"/>
        <w:jc w:val="left"/>
        <w:rPr>
          <w:rFonts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3、未经甲方书面许可，乙方透露或使用了保密信息，应当在不损害甲方其它利益的情况下，尽一切努力协助甲方收回保密信息，防止使用、传播、出售或以其它任何方式处置该保密信息。</w:t>
      </w:r>
    </w:p>
    <w:p w14:paraId="5CDD7A18">
      <w:pPr>
        <w:widowControl/>
        <w:spacing w:line="360" w:lineRule="auto"/>
        <w:ind w:firstLine="560" w:firstLineChars="200"/>
        <w:jc w:val="left"/>
        <w:rPr>
          <w:rFonts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4、本项目验收后3个工作日内，乙方应向甲方交还其获得的保密信息，不得以任何方式进行复制留存。</w:t>
      </w:r>
    </w:p>
    <w:p w14:paraId="26C04272">
      <w:pPr>
        <w:widowControl/>
        <w:spacing w:line="360" w:lineRule="auto"/>
        <w:ind w:firstLine="560" w:firstLineChars="200"/>
        <w:jc w:val="left"/>
        <w:rPr>
          <w:rFonts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5、本项目有效期间及其后的十年内，本条款的规定仍对乙方发生效力，不因本项目的终止而失效。</w:t>
      </w:r>
    </w:p>
    <w:p w14:paraId="5AF3638E">
      <w:pPr>
        <w:widowControl/>
        <w:spacing w:line="360" w:lineRule="auto"/>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bidi="ar"/>
        </w:rPr>
        <w:t xml:space="preserve">八、违约责任与赔偿损失 </w:t>
      </w:r>
    </w:p>
    <w:p w14:paraId="64DAF785">
      <w:pPr>
        <w:widowControl/>
        <w:spacing w:line="360" w:lineRule="auto"/>
        <w:ind w:firstLine="560" w:firstLineChars="200"/>
        <w:jc w:val="left"/>
        <w:rPr>
          <w:rFonts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1、乙方提供的服务不符合招标文件、投标文件或本合同规定的，甲方有权拒收，并且乙方须向甲方支付本合同总价5%的违约金。</w:t>
      </w:r>
    </w:p>
    <w:p w14:paraId="3209951E">
      <w:pPr>
        <w:widowControl/>
        <w:spacing w:line="360" w:lineRule="auto"/>
        <w:ind w:firstLine="560" w:firstLineChars="200"/>
        <w:jc w:val="left"/>
        <w:rPr>
          <w:rFonts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2、乙方未能按本合同规定的交付时间提供服务，从逾期之日起每日按本合同总价3‰的数额向甲方支付违约金；逾期半个月以上的，甲方有权终止合同，由此造成的甲方经济损失由乙方承担。</w:t>
      </w:r>
    </w:p>
    <w:p w14:paraId="2D4318BE">
      <w:pPr>
        <w:widowControl/>
        <w:ind w:firstLine="560" w:firstLineChars="200"/>
        <w:jc w:val="left"/>
        <w:rPr>
          <w:rFonts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3、甲方无正当理由拒收接受服务，到期拒付服务款项的，甲方向乙方偿付本合同总价的5%的违约金。甲方逾期付款，则每日按本合同总价的2‰向乙方偿付违约金，违约金总金额不超过合同总金额的5%。但因财政资金拨款不到位（包括但不限于财政款项紧张、财政办理手续迟延等）而导致甲方逾期付款的，甲方不承担违约责任。</w:t>
      </w:r>
    </w:p>
    <w:p w14:paraId="7BFB71AB">
      <w:pPr>
        <w:widowControl/>
        <w:spacing w:line="360" w:lineRule="auto"/>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bidi="ar"/>
        </w:rPr>
        <w:t xml:space="preserve">4、其它违约责任按《中华人民共和国民法典》处理。 </w:t>
      </w:r>
    </w:p>
    <w:p w14:paraId="3D8AAEF6">
      <w:pPr>
        <w:widowControl/>
        <w:spacing w:line="360" w:lineRule="auto"/>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bidi="ar"/>
        </w:rPr>
        <w:t xml:space="preserve">九、争端的解决 </w:t>
      </w:r>
    </w:p>
    <w:p w14:paraId="38ACDB85">
      <w:pPr>
        <w:widowControl/>
        <w:spacing w:line="360" w:lineRule="auto"/>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bidi="ar"/>
        </w:rPr>
        <w:t xml:space="preserve">1、合同执行过程中发生的任何争议，如双方不能通过友好协商解决，按相关法律法规处理。 </w:t>
      </w:r>
    </w:p>
    <w:p w14:paraId="75F512A2">
      <w:pPr>
        <w:widowControl/>
        <w:spacing w:line="360" w:lineRule="auto"/>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bidi="ar"/>
        </w:rPr>
        <w:t xml:space="preserve">十、不可抗力 </w:t>
      </w:r>
    </w:p>
    <w:p w14:paraId="260744F8">
      <w:pPr>
        <w:widowControl/>
        <w:spacing w:line="360" w:lineRule="auto"/>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bidi="ar"/>
        </w:rPr>
        <w:t xml:space="preserve">1、任何一方由于不可抗力原因不能履行合同时，应在不可抗力事件结束后1日内向对方通报，以减轻可能给对方造成的损失，在取得有关机构的不可抗力证明或双方谅解确认后，允许延期履行或修订合同，并根据情况可部分或全部免于承担违约责任。 </w:t>
      </w:r>
    </w:p>
    <w:p w14:paraId="64C3B5D1">
      <w:pPr>
        <w:widowControl/>
        <w:spacing w:line="360" w:lineRule="auto"/>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bidi="ar"/>
        </w:rPr>
        <w:t xml:space="preserve">十一、税费 </w:t>
      </w:r>
    </w:p>
    <w:p w14:paraId="68FF2EC1">
      <w:pPr>
        <w:widowControl/>
        <w:spacing w:line="360" w:lineRule="auto"/>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bidi="ar"/>
        </w:rPr>
        <w:t xml:space="preserve">1、在中国境内、外发生的与本合同执行有关的一切税费均由乙方负担。 </w:t>
      </w:r>
    </w:p>
    <w:p w14:paraId="5470B990">
      <w:pPr>
        <w:widowControl/>
        <w:spacing w:line="360" w:lineRule="auto"/>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bidi="ar"/>
        </w:rPr>
        <w:t xml:space="preserve">十二、其它 </w:t>
      </w:r>
    </w:p>
    <w:p w14:paraId="7795435C">
      <w:pPr>
        <w:widowControl/>
        <w:spacing w:line="360" w:lineRule="auto"/>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bidi="ar"/>
        </w:rPr>
        <w:t xml:space="preserve">1、本合同所有附件、招标文件、投标文件、中标通知书均为合同的有效组成部分，与本合同具有同等法律效力。 </w:t>
      </w:r>
    </w:p>
    <w:p w14:paraId="06D4185A">
      <w:pPr>
        <w:widowControl/>
        <w:spacing w:line="360" w:lineRule="auto"/>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bidi="ar"/>
        </w:rPr>
        <w:t xml:space="preserve">2、在执行本合同的过程中，所有经双方签署确认的文件(包括会议纪要、补充协议、往来信函)即成为本合同的有效组成部分。 </w:t>
      </w:r>
    </w:p>
    <w:p w14:paraId="079CC6D2">
      <w:pPr>
        <w:widowControl/>
        <w:spacing w:line="360" w:lineRule="auto"/>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bidi="ar"/>
        </w:rPr>
        <w:t>3、如一方地址、电话、传真号码有变更，应在变更</w:t>
      </w:r>
      <w:r>
        <w:rPr>
          <w:rFonts w:ascii="仿宋_GB2312" w:hAnsi="仿宋_GB2312" w:eastAsia="仿宋_GB2312" w:cs="仿宋_GB2312"/>
          <w:color w:val="000000"/>
          <w:kern w:val="0"/>
          <w:sz w:val="28"/>
          <w:szCs w:val="28"/>
          <w:lang w:bidi="ar"/>
        </w:rPr>
        <w:t>当</w:t>
      </w:r>
      <w:r>
        <w:rPr>
          <w:rFonts w:hint="eastAsia" w:ascii="仿宋_GB2312" w:hAnsi="仿宋_GB2312" w:eastAsia="仿宋_GB2312" w:cs="仿宋_GB2312"/>
          <w:color w:val="000000"/>
          <w:kern w:val="0"/>
          <w:sz w:val="28"/>
          <w:szCs w:val="28"/>
          <w:lang w:bidi="ar"/>
        </w:rPr>
        <w:t xml:space="preserve">日内书面通知对方，否则，应承担相应责任。 </w:t>
      </w:r>
    </w:p>
    <w:p w14:paraId="4A0886BF">
      <w:pPr>
        <w:widowControl/>
        <w:spacing w:line="360" w:lineRule="auto"/>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bidi="ar"/>
        </w:rPr>
        <w:t xml:space="preserve">4、除甲方事先书面同意外，乙方不得部分或全部转让其应履行的合同项下的义务。 </w:t>
      </w:r>
    </w:p>
    <w:p w14:paraId="3E721AC4">
      <w:pPr>
        <w:widowControl/>
        <w:spacing w:line="360" w:lineRule="auto"/>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bidi="ar"/>
        </w:rPr>
        <w:t xml:space="preserve">十二、合同生效： </w:t>
      </w:r>
    </w:p>
    <w:p w14:paraId="04DD551B">
      <w:pPr>
        <w:widowControl/>
        <w:spacing w:line="360" w:lineRule="auto"/>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bidi="ar"/>
        </w:rPr>
        <w:t xml:space="preserve">本合同自双方法定代表人或其授权代表签字盖章之日起生效。 </w:t>
      </w:r>
    </w:p>
    <w:p w14:paraId="21C5BAB2">
      <w:pPr>
        <w:widowControl/>
        <w:spacing w:line="360" w:lineRule="auto"/>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bidi="ar"/>
        </w:rPr>
        <w:t xml:space="preserve">十三、其他 </w:t>
      </w:r>
    </w:p>
    <w:p w14:paraId="01630372">
      <w:pPr>
        <w:widowControl/>
        <w:spacing w:line="360" w:lineRule="auto"/>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bidi="ar"/>
        </w:rPr>
        <w:t xml:space="preserve">1、如有未尽事宜，由双方依法订立补充合同。 </w:t>
      </w:r>
    </w:p>
    <w:p w14:paraId="562D5CE5">
      <w:pPr>
        <w:widowControl/>
        <w:spacing w:line="360" w:lineRule="auto"/>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bidi="ar"/>
        </w:rPr>
        <w:t xml:space="preserve">2、本合同一式五份，甲方二份，乙方二份，采购代理机构一份。 </w:t>
      </w:r>
    </w:p>
    <w:p w14:paraId="2668FEC7">
      <w:pPr>
        <w:rPr>
          <w:rFonts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br w:type="page"/>
      </w:r>
    </w:p>
    <w:p w14:paraId="49D988B7">
      <w:pPr>
        <w:widowControl/>
        <w:spacing w:line="540" w:lineRule="exact"/>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bidi="ar"/>
        </w:rPr>
        <w:t xml:space="preserve">甲方：海南省发展和改革委员会 (盖单位公章) </w:t>
      </w:r>
    </w:p>
    <w:p w14:paraId="310703BD">
      <w:pPr>
        <w:widowControl/>
        <w:spacing w:line="540" w:lineRule="exact"/>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bidi="ar"/>
        </w:rPr>
        <w:t xml:space="preserve">法定代表人(或授权代表)： </w:t>
      </w:r>
    </w:p>
    <w:p w14:paraId="2120F909">
      <w:pPr>
        <w:widowControl/>
        <w:spacing w:line="540" w:lineRule="exact"/>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bidi="ar"/>
        </w:rPr>
        <w:t>地址：海南省海口市国兴大道9号省政府办公大楼8楼</w:t>
      </w:r>
    </w:p>
    <w:p w14:paraId="6E9783B3">
      <w:pPr>
        <w:widowControl/>
        <w:spacing w:line="540" w:lineRule="exact"/>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bidi="ar"/>
        </w:rPr>
        <w:t xml:space="preserve">开户银行： </w:t>
      </w:r>
    </w:p>
    <w:p w14:paraId="4F40E916">
      <w:pPr>
        <w:widowControl/>
        <w:spacing w:line="540" w:lineRule="exact"/>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bidi="ar"/>
        </w:rPr>
        <w:t xml:space="preserve">账号： </w:t>
      </w:r>
    </w:p>
    <w:p w14:paraId="28DAAB32">
      <w:pPr>
        <w:widowControl/>
        <w:spacing w:line="540" w:lineRule="exact"/>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bidi="ar"/>
        </w:rPr>
        <w:t xml:space="preserve">电话：0898-68580289 </w:t>
      </w:r>
    </w:p>
    <w:p w14:paraId="65BD8C08">
      <w:pPr>
        <w:widowControl/>
        <w:spacing w:line="540" w:lineRule="exact"/>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bidi="ar"/>
        </w:rPr>
        <w:t xml:space="preserve">传真： </w:t>
      </w:r>
    </w:p>
    <w:p w14:paraId="1319B89D">
      <w:pPr>
        <w:widowControl/>
        <w:spacing w:line="540" w:lineRule="exact"/>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bidi="ar"/>
        </w:rPr>
        <w:t>签订日期：       年   月   日</w:t>
      </w:r>
    </w:p>
    <w:p w14:paraId="5016F36C">
      <w:pPr>
        <w:widowControl/>
        <w:spacing w:line="540" w:lineRule="exact"/>
        <w:jc w:val="left"/>
        <w:rPr>
          <w:rFonts w:ascii="仿宋_GB2312" w:hAnsi="仿宋_GB2312" w:eastAsia="仿宋_GB2312" w:cs="仿宋_GB2312"/>
          <w:sz w:val="28"/>
          <w:szCs w:val="28"/>
        </w:rPr>
      </w:pPr>
    </w:p>
    <w:p w14:paraId="149ABEF1">
      <w:pPr>
        <w:widowControl/>
        <w:spacing w:line="540" w:lineRule="exact"/>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bidi="ar"/>
        </w:rPr>
        <w:t xml:space="preserve">乙方：                                  (盖单位公章) </w:t>
      </w:r>
    </w:p>
    <w:p w14:paraId="310EA24B">
      <w:pPr>
        <w:widowControl/>
        <w:spacing w:line="540" w:lineRule="exact"/>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bidi="ar"/>
        </w:rPr>
        <w:t xml:space="preserve">法定代表人(或授权代表)： </w:t>
      </w:r>
    </w:p>
    <w:p w14:paraId="55C15528">
      <w:pPr>
        <w:widowControl/>
        <w:spacing w:line="540" w:lineRule="exact"/>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bidi="ar"/>
        </w:rPr>
        <w:t xml:space="preserve">地址：                                 </w:t>
      </w:r>
    </w:p>
    <w:p w14:paraId="7F56C8AF">
      <w:pPr>
        <w:widowControl/>
        <w:spacing w:line="540" w:lineRule="exact"/>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bidi="ar"/>
        </w:rPr>
        <w:t xml:space="preserve">开户银行：                             </w:t>
      </w:r>
    </w:p>
    <w:p w14:paraId="5A6E6521">
      <w:pPr>
        <w:widowControl/>
        <w:spacing w:line="540" w:lineRule="exact"/>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bidi="ar"/>
        </w:rPr>
        <w:t xml:space="preserve">账号：                                  </w:t>
      </w:r>
    </w:p>
    <w:p w14:paraId="587124FB">
      <w:pPr>
        <w:widowControl/>
        <w:spacing w:line="540" w:lineRule="exact"/>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bidi="ar"/>
        </w:rPr>
        <w:t xml:space="preserve">电话：                                 </w:t>
      </w:r>
    </w:p>
    <w:p w14:paraId="479B1FD1">
      <w:pPr>
        <w:widowControl/>
        <w:spacing w:line="540" w:lineRule="exact"/>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bidi="ar"/>
        </w:rPr>
        <w:t xml:space="preserve">传真： </w:t>
      </w:r>
    </w:p>
    <w:p w14:paraId="053CE9A1">
      <w:pPr>
        <w:widowControl/>
        <w:spacing w:line="540" w:lineRule="exact"/>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bidi="ar"/>
        </w:rPr>
        <w:t xml:space="preserve">签订日期：      年   月    日 </w:t>
      </w:r>
    </w:p>
    <w:p w14:paraId="5EE8EA68">
      <w:pPr>
        <w:widowControl/>
        <w:spacing w:line="540" w:lineRule="exact"/>
        <w:jc w:val="left"/>
        <w:rPr>
          <w:rFonts w:ascii="仿宋_GB2312" w:hAnsi="仿宋_GB2312" w:eastAsia="仿宋_GB2312" w:cs="仿宋_GB2312"/>
          <w:color w:val="000000"/>
          <w:kern w:val="0"/>
          <w:sz w:val="28"/>
          <w:szCs w:val="28"/>
          <w:lang w:bidi="ar"/>
        </w:rPr>
      </w:pPr>
    </w:p>
    <w:p w14:paraId="1B457401">
      <w:pPr>
        <w:widowControl/>
        <w:spacing w:line="540" w:lineRule="exact"/>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bidi="ar"/>
        </w:rPr>
        <w:t>招标代理机构声明：本合同标的经</w:t>
      </w:r>
      <w:r>
        <w:rPr>
          <w:rFonts w:hint="eastAsia" w:ascii="仿宋_GB2312" w:hAnsi="仿宋_GB2312" w:eastAsia="仿宋_GB2312" w:cs="仿宋_GB2312"/>
          <w:color w:val="000000"/>
          <w:kern w:val="0"/>
          <w:sz w:val="28"/>
          <w:szCs w:val="28"/>
          <w:lang w:eastAsia="zh-CN" w:bidi="ar"/>
        </w:rPr>
        <w:t>海南和顺项目管理有限公司</w:t>
      </w:r>
      <w:r>
        <w:rPr>
          <w:rFonts w:hint="eastAsia" w:ascii="仿宋_GB2312" w:hAnsi="仿宋_GB2312" w:eastAsia="仿宋_GB2312" w:cs="仿宋_GB2312"/>
          <w:color w:val="000000"/>
          <w:kern w:val="0"/>
          <w:sz w:val="28"/>
          <w:szCs w:val="28"/>
          <w:lang w:bidi="ar"/>
        </w:rPr>
        <w:t xml:space="preserve">依法定程序采购，合同主要条款内容与招标文件响应文件的内容一致。 </w:t>
      </w:r>
    </w:p>
    <w:p w14:paraId="03CBCBDB">
      <w:pPr>
        <w:widowControl/>
        <w:spacing w:line="540" w:lineRule="exact"/>
        <w:jc w:val="left"/>
        <w:rPr>
          <w:rFonts w:ascii="仿宋_GB2312" w:hAnsi="仿宋_GB2312" w:eastAsia="仿宋_GB2312" w:cs="仿宋_GB2312"/>
          <w:b/>
          <w:bCs/>
          <w:color w:val="000000"/>
          <w:kern w:val="0"/>
          <w:sz w:val="28"/>
          <w:szCs w:val="28"/>
          <w:lang w:bidi="ar"/>
        </w:rPr>
      </w:pPr>
    </w:p>
    <w:p w14:paraId="7C0250F0">
      <w:pPr>
        <w:widowControl/>
        <w:spacing w:line="540" w:lineRule="exact"/>
        <w:ind w:firstLine="562" w:firstLineChars="200"/>
        <w:jc w:val="left"/>
        <w:rPr>
          <w:rFonts w:ascii="仿宋_GB2312" w:hAnsi="仿宋_GB2312" w:eastAsia="仿宋_GB2312" w:cs="仿宋_GB2312"/>
          <w:sz w:val="28"/>
          <w:szCs w:val="28"/>
        </w:rPr>
      </w:pPr>
      <w:r>
        <w:rPr>
          <w:rFonts w:hint="eastAsia" w:ascii="仿宋_GB2312" w:hAnsi="仿宋_GB2312" w:eastAsia="仿宋_GB2312" w:cs="仿宋_GB2312"/>
          <w:b/>
          <w:bCs/>
          <w:color w:val="000000"/>
          <w:kern w:val="0"/>
          <w:sz w:val="28"/>
          <w:szCs w:val="28"/>
          <w:lang w:bidi="ar"/>
        </w:rPr>
        <w:t xml:space="preserve">招标代理机构： </w:t>
      </w:r>
      <w:r>
        <w:rPr>
          <w:rFonts w:hint="eastAsia" w:ascii="仿宋_GB2312" w:hAnsi="仿宋_GB2312" w:eastAsia="仿宋_GB2312" w:cs="仿宋_GB2312"/>
          <w:b/>
          <w:bCs/>
          <w:color w:val="000000"/>
          <w:kern w:val="0"/>
          <w:sz w:val="28"/>
          <w:szCs w:val="28"/>
          <w:lang w:eastAsia="zh-CN" w:bidi="ar"/>
        </w:rPr>
        <w:t>海南和顺项目管理有限公司</w:t>
      </w:r>
      <w:r>
        <w:rPr>
          <w:rFonts w:hint="eastAsia" w:ascii="仿宋_GB2312" w:hAnsi="仿宋_GB2312" w:eastAsia="仿宋_GB2312" w:cs="仿宋_GB2312"/>
          <w:b/>
          <w:bCs/>
          <w:color w:val="000000"/>
          <w:kern w:val="0"/>
          <w:sz w:val="28"/>
          <w:szCs w:val="28"/>
          <w:lang w:bidi="ar"/>
        </w:rPr>
        <w:t xml:space="preserve"> </w:t>
      </w:r>
      <w:r>
        <w:rPr>
          <w:rFonts w:hint="eastAsia" w:ascii="仿宋_GB2312" w:hAnsi="仿宋_GB2312" w:eastAsia="仿宋_GB2312" w:cs="仿宋_GB2312"/>
          <w:color w:val="000000"/>
          <w:kern w:val="0"/>
          <w:sz w:val="28"/>
          <w:szCs w:val="28"/>
          <w:lang w:bidi="ar"/>
        </w:rPr>
        <w:t xml:space="preserve">（盖章） </w:t>
      </w:r>
    </w:p>
    <w:p w14:paraId="3176C3A0">
      <w:pPr>
        <w:widowControl/>
        <w:spacing w:line="540" w:lineRule="exact"/>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bidi="ar"/>
        </w:rPr>
        <w:t xml:space="preserve">法定（授权）代表人：                   （签章） </w:t>
      </w:r>
    </w:p>
    <w:p w14:paraId="33DA3885">
      <w:pPr>
        <w:widowControl/>
        <w:spacing w:line="540" w:lineRule="exact"/>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bidi="ar"/>
        </w:rPr>
        <w:t>签订日期：       年    月    日</w:t>
      </w:r>
    </w:p>
    <w:p w14:paraId="3C77B0E0"/>
    <w:p w14:paraId="10F75DC5">
      <w:pPr>
        <w:rPr>
          <w:rFonts w:cs="宋体"/>
          <w:sz w:val="44"/>
          <w:szCs w:val="44"/>
          <w:shd w:val="clear" w:color="auto" w:fill="FFFFFF"/>
        </w:rPr>
      </w:pPr>
    </w:p>
    <w:p w14:paraId="404918B5">
      <w:pPr>
        <w:pStyle w:val="2"/>
        <w:widowControl/>
        <w:shd w:val="clear" w:color="auto" w:fill="FFFFFF"/>
        <w:spacing w:before="0" w:beforeAutospacing="0" w:after="0" w:afterAutospacing="0" w:line="20" w:lineRule="atLeast"/>
        <w:jc w:val="center"/>
        <w:rPr>
          <w:rFonts w:hint="default" w:cs="宋体"/>
          <w:sz w:val="44"/>
          <w:szCs w:val="44"/>
          <w:shd w:val="clear" w:color="auto" w:fill="FFFFFF"/>
        </w:rPr>
      </w:pPr>
      <w:r>
        <w:rPr>
          <w:rFonts w:cs="宋体"/>
          <w:sz w:val="44"/>
          <w:szCs w:val="44"/>
          <w:shd w:val="clear" w:color="auto" w:fill="FFFFFF"/>
        </w:rPr>
        <w:t>第六章 投标文件格式要求</w:t>
      </w:r>
      <w:bookmarkEnd w:id="68"/>
      <w:bookmarkEnd w:id="69"/>
    </w:p>
    <w:p w14:paraId="7D155EBE">
      <w:pPr>
        <w:jc w:val="center"/>
        <w:rPr>
          <w:sz w:val="32"/>
          <w:szCs w:val="32"/>
        </w:rPr>
      </w:pPr>
    </w:p>
    <w:p w14:paraId="4FCF29E5">
      <w:pPr>
        <w:pStyle w:val="3"/>
        <w:spacing w:before="0" w:beforeAutospacing="0" w:after="0" w:afterAutospacing="0"/>
        <w:jc w:val="center"/>
        <w:rPr>
          <w:rFonts w:hint="default"/>
          <w:sz w:val="32"/>
          <w:szCs w:val="32"/>
          <w:u w:val="single"/>
        </w:rPr>
      </w:pPr>
    </w:p>
    <w:p w14:paraId="343A1E5D">
      <w:pPr>
        <w:pStyle w:val="3"/>
        <w:spacing w:before="0" w:beforeAutospacing="0" w:after="0" w:afterAutospacing="0"/>
        <w:rPr>
          <w:rFonts w:hint="default"/>
          <w:sz w:val="32"/>
          <w:szCs w:val="32"/>
        </w:rPr>
      </w:pPr>
      <w:bookmarkStart w:id="70" w:name="_Toc15523"/>
      <w:r>
        <w:rPr>
          <w:sz w:val="32"/>
          <w:szCs w:val="32"/>
        </w:rPr>
        <w:t>项目名称</w:t>
      </w:r>
      <w:bookmarkEnd w:id="70"/>
      <w:r>
        <w:rPr>
          <w:sz w:val="32"/>
          <w:szCs w:val="32"/>
        </w:rPr>
        <w:t>：</w:t>
      </w:r>
    </w:p>
    <w:p w14:paraId="395A771E">
      <w:pPr>
        <w:rPr>
          <w:b/>
          <w:sz w:val="32"/>
          <w:szCs w:val="32"/>
          <w:u w:val="single"/>
        </w:rPr>
      </w:pPr>
      <w:r>
        <w:rPr>
          <w:rFonts w:hint="eastAsia"/>
          <w:b/>
          <w:sz w:val="32"/>
          <w:szCs w:val="32"/>
        </w:rPr>
        <w:t>项目编号：</w:t>
      </w:r>
    </w:p>
    <w:p w14:paraId="7B35DF88">
      <w:pPr>
        <w:pStyle w:val="3"/>
        <w:spacing w:before="0" w:beforeAutospacing="0" w:after="0" w:afterAutospacing="0"/>
        <w:jc w:val="center"/>
        <w:rPr>
          <w:rFonts w:hint="default"/>
          <w:sz w:val="32"/>
          <w:szCs w:val="32"/>
        </w:rPr>
      </w:pPr>
    </w:p>
    <w:p w14:paraId="1757BFE6">
      <w:pPr>
        <w:pStyle w:val="28"/>
        <w:jc w:val="center"/>
        <w:rPr>
          <w:sz w:val="32"/>
          <w:szCs w:val="32"/>
        </w:rPr>
      </w:pPr>
    </w:p>
    <w:p w14:paraId="50FA7A6D">
      <w:pPr>
        <w:pStyle w:val="28"/>
        <w:jc w:val="center"/>
        <w:rPr>
          <w:sz w:val="32"/>
          <w:szCs w:val="32"/>
        </w:rPr>
      </w:pPr>
    </w:p>
    <w:p w14:paraId="33626354">
      <w:pPr>
        <w:pStyle w:val="3"/>
        <w:jc w:val="center"/>
        <w:rPr>
          <w:rFonts w:hint="default"/>
          <w:sz w:val="48"/>
        </w:rPr>
      </w:pPr>
      <w:bookmarkStart w:id="71" w:name="_Toc24730"/>
      <w:r>
        <w:rPr>
          <w:sz w:val="48"/>
        </w:rPr>
        <w:t>投标文件</w:t>
      </w:r>
      <w:bookmarkEnd w:id="71"/>
    </w:p>
    <w:p w14:paraId="759FEC5D">
      <w:pPr>
        <w:jc w:val="center"/>
        <w:rPr>
          <w:rFonts w:asciiTheme="minorEastAsia" w:hAnsiTheme="minorEastAsia" w:eastAsiaTheme="minorEastAsia"/>
          <w:sz w:val="32"/>
          <w:szCs w:val="32"/>
        </w:rPr>
      </w:pPr>
    </w:p>
    <w:p w14:paraId="2223401C">
      <w:pPr>
        <w:jc w:val="center"/>
        <w:rPr>
          <w:rFonts w:asciiTheme="minorEastAsia" w:hAnsiTheme="minorEastAsia" w:eastAsiaTheme="minorEastAsia"/>
          <w:sz w:val="32"/>
          <w:szCs w:val="32"/>
        </w:rPr>
      </w:pPr>
    </w:p>
    <w:p w14:paraId="6A14CFA7">
      <w:pPr>
        <w:pStyle w:val="28"/>
        <w:jc w:val="center"/>
        <w:rPr>
          <w:sz w:val="32"/>
          <w:szCs w:val="32"/>
        </w:rPr>
      </w:pPr>
    </w:p>
    <w:p w14:paraId="1BED7C07">
      <w:pPr>
        <w:pStyle w:val="3"/>
        <w:spacing w:before="0" w:beforeAutospacing="0" w:after="0" w:afterAutospacing="0"/>
        <w:jc w:val="center"/>
        <w:rPr>
          <w:rFonts w:hint="default" w:asciiTheme="minorEastAsia" w:hAnsiTheme="minorEastAsia" w:eastAsiaTheme="minorEastAsia"/>
          <w:sz w:val="32"/>
          <w:szCs w:val="32"/>
        </w:rPr>
      </w:pPr>
    </w:p>
    <w:p w14:paraId="77868D51">
      <w:pPr>
        <w:jc w:val="center"/>
        <w:rPr>
          <w:sz w:val="32"/>
          <w:szCs w:val="32"/>
        </w:rPr>
      </w:pPr>
    </w:p>
    <w:p w14:paraId="68C58FC3">
      <w:pPr>
        <w:rPr>
          <w:sz w:val="32"/>
          <w:u w:val="single"/>
        </w:rPr>
      </w:pPr>
      <w:r>
        <w:rPr>
          <w:rFonts w:hint="eastAsia"/>
          <w:sz w:val="32"/>
        </w:rPr>
        <w:t>投标人（盖章）：</w:t>
      </w:r>
      <w:r>
        <w:rPr>
          <w:rFonts w:hint="eastAsia"/>
          <w:sz w:val="32"/>
          <w:u w:val="single"/>
        </w:rPr>
        <w:t xml:space="preserve">                       </w:t>
      </w:r>
    </w:p>
    <w:p w14:paraId="689A84BB">
      <w:pPr>
        <w:pStyle w:val="3"/>
        <w:rPr>
          <w:rFonts w:hint="default"/>
          <w:b w:val="0"/>
          <w:sz w:val="32"/>
          <w:u w:val="single"/>
        </w:rPr>
      </w:pPr>
      <w:bookmarkStart w:id="72" w:name="_Toc26782"/>
      <w:r>
        <w:rPr>
          <w:b w:val="0"/>
          <w:sz w:val="32"/>
        </w:rPr>
        <w:t>法定代表人或授权委托代理人（签字或盖章）：</w:t>
      </w:r>
      <w:bookmarkEnd w:id="72"/>
      <w:r>
        <w:rPr>
          <w:b w:val="0"/>
          <w:sz w:val="32"/>
          <w:u w:val="single"/>
        </w:rPr>
        <w:t xml:space="preserve">       </w:t>
      </w:r>
    </w:p>
    <w:p w14:paraId="7E400FD5">
      <w:pPr>
        <w:rPr>
          <w:sz w:val="32"/>
        </w:rPr>
      </w:pPr>
      <w:r>
        <w:rPr>
          <w:rFonts w:hint="eastAsia"/>
          <w:sz w:val="32"/>
        </w:rPr>
        <w:t>日期：   年  月  日</w:t>
      </w:r>
    </w:p>
    <w:p w14:paraId="7693A78E">
      <w:pPr>
        <w:pStyle w:val="3"/>
        <w:rPr>
          <w:rFonts w:hint="default"/>
        </w:rPr>
      </w:pPr>
    </w:p>
    <w:p w14:paraId="6D26F950">
      <w:pPr>
        <w:pStyle w:val="3"/>
        <w:rPr>
          <w:rFonts w:hint="default"/>
        </w:rPr>
        <w:sectPr>
          <w:headerReference r:id="rId5" w:type="default"/>
          <w:footerReference r:id="rId6" w:type="default"/>
          <w:pgSz w:w="11906" w:h="16838"/>
          <w:pgMar w:top="1440" w:right="1800" w:bottom="1440" w:left="1800" w:header="851" w:footer="992" w:gutter="0"/>
          <w:cols w:space="720" w:num="1"/>
          <w:docGrid w:type="lines" w:linePitch="312" w:charSpace="0"/>
        </w:sectPr>
      </w:pPr>
    </w:p>
    <w:p w14:paraId="4D46BD26">
      <w:pPr>
        <w:spacing w:line="360" w:lineRule="auto"/>
        <w:jc w:val="center"/>
        <w:rPr>
          <w:rFonts w:ascii="宋体" w:hAnsi="宋体" w:cs="Lucida Sans Unicode"/>
          <w:b/>
          <w:sz w:val="36"/>
          <w:szCs w:val="36"/>
        </w:rPr>
      </w:pPr>
      <w:r>
        <w:rPr>
          <w:rFonts w:ascii="宋体" w:hAnsi="宋体" w:cs="Lucida Sans Unicode"/>
          <w:b/>
          <w:sz w:val="36"/>
          <w:szCs w:val="36"/>
        </w:rPr>
        <w:t>目录</w:t>
      </w:r>
    </w:p>
    <w:p w14:paraId="0CC6BBF7">
      <w:pPr>
        <w:widowControl/>
        <w:spacing w:line="480" w:lineRule="exact"/>
        <w:jc w:val="left"/>
        <w:rPr>
          <w:rFonts w:ascii="宋体" w:hAnsi="宋体" w:cs="Lucida Sans Unicode"/>
          <w:sz w:val="24"/>
        </w:rPr>
      </w:pPr>
      <w:r>
        <w:rPr>
          <w:rFonts w:hint="eastAsia" w:ascii="宋体" w:hAnsi="宋体" w:cs="Lucida Sans Unicode"/>
          <w:b/>
          <w:sz w:val="24"/>
        </w:rPr>
        <w:t>一、“申请人的资格要求”中要求的证明材料</w:t>
      </w:r>
    </w:p>
    <w:p w14:paraId="523EEA93">
      <w:pPr>
        <w:widowControl/>
        <w:spacing w:line="480" w:lineRule="exact"/>
        <w:rPr>
          <w:rFonts w:ascii="宋体" w:hAnsi="宋体" w:cs="Lucida Sans Unicode"/>
          <w:b/>
          <w:sz w:val="24"/>
        </w:rPr>
      </w:pPr>
      <w:r>
        <w:rPr>
          <w:rFonts w:hint="eastAsia" w:ascii="宋体" w:hAnsi="宋体" w:cs="Lucida Sans Unicode"/>
          <w:b/>
          <w:sz w:val="24"/>
        </w:rPr>
        <w:t>二、符合性证明材料及技术、商务等响应材料</w:t>
      </w:r>
    </w:p>
    <w:p w14:paraId="6F662A5F">
      <w:pPr>
        <w:widowControl/>
        <w:spacing w:line="480" w:lineRule="exact"/>
        <w:rPr>
          <w:rFonts w:ascii="宋体" w:hAnsi="宋体" w:cs="Lucida Sans Unicode"/>
          <w:b/>
          <w:sz w:val="24"/>
        </w:rPr>
      </w:pPr>
      <w:r>
        <w:rPr>
          <w:rFonts w:hint="eastAsia" w:ascii="宋体" w:hAnsi="宋体" w:cs="Lucida Sans Unicode"/>
          <w:b/>
          <w:sz w:val="24"/>
        </w:rPr>
        <w:t>三、其他投标材料</w:t>
      </w:r>
    </w:p>
    <w:p w14:paraId="32402420">
      <w:pPr>
        <w:widowControl/>
        <w:spacing w:line="480" w:lineRule="exact"/>
        <w:ind w:firstLine="472" w:firstLineChars="224"/>
        <w:rPr>
          <w:rFonts w:ascii="宋体" w:hAnsi="宋体" w:cs="Lucida Sans Unicode"/>
          <w:sz w:val="24"/>
        </w:rPr>
      </w:pPr>
      <w:r>
        <w:rPr>
          <w:rFonts w:hint="eastAsia" w:ascii="宋体" w:hAnsi="宋体" w:cs="Lucida Sans Unicode"/>
          <w:b/>
          <w:bCs/>
          <w:szCs w:val="21"/>
        </w:rPr>
        <w:t>注：投标人须在投标文件中</w:t>
      </w:r>
      <w:r>
        <w:rPr>
          <w:rFonts w:hint="eastAsia" w:ascii="宋体" w:hAnsi="宋体"/>
          <w:b/>
          <w:bCs/>
          <w:szCs w:val="21"/>
        </w:rPr>
        <w:t>正确地填写相对应的页码，</w:t>
      </w:r>
      <w:r>
        <w:rPr>
          <w:rFonts w:hint="eastAsia" w:ascii="宋体" w:hAnsi="宋体" w:cs="宋体"/>
          <w:b/>
          <w:bCs/>
          <w:kern w:val="0"/>
          <w:szCs w:val="21"/>
        </w:rPr>
        <w:t>不准确可能造成评标委员会无法直观定位应标内容而做出不利判断</w:t>
      </w:r>
      <w:r>
        <w:rPr>
          <w:rFonts w:hint="eastAsia" w:ascii="宋体" w:hAnsi="宋体"/>
          <w:b/>
          <w:bCs/>
          <w:szCs w:val="21"/>
        </w:rPr>
        <w:t>，投标人需独自承担可能产生的各种不利结果。</w:t>
      </w:r>
    </w:p>
    <w:p w14:paraId="7458678B">
      <w:pPr>
        <w:spacing w:line="560" w:lineRule="exact"/>
        <w:jc w:val="center"/>
        <w:rPr>
          <w:rFonts w:ascii="宋体" w:hAnsi="宋体"/>
          <w:b/>
          <w:sz w:val="44"/>
          <w:szCs w:val="44"/>
        </w:rPr>
      </w:pPr>
    </w:p>
    <w:p w14:paraId="4DF97D85">
      <w:pPr>
        <w:spacing w:line="560" w:lineRule="exact"/>
        <w:jc w:val="center"/>
        <w:rPr>
          <w:rFonts w:ascii="宋体" w:hAnsi="宋体" w:cs="Lucida Sans Unicode"/>
          <w:b/>
          <w:sz w:val="36"/>
          <w:szCs w:val="36"/>
        </w:rPr>
      </w:pPr>
      <w:r>
        <w:rPr>
          <w:rFonts w:hint="eastAsia" w:ascii="宋体" w:hAnsi="宋体"/>
          <w:b/>
          <w:sz w:val="44"/>
          <w:szCs w:val="44"/>
        </w:rPr>
        <w:br w:type="page"/>
      </w:r>
      <w:r>
        <w:rPr>
          <w:rFonts w:hint="eastAsia" w:ascii="宋体" w:hAnsi="宋体" w:cs="Lucida Sans Unicode"/>
          <w:b/>
          <w:sz w:val="36"/>
          <w:szCs w:val="36"/>
        </w:rPr>
        <w:t>资格性审查响应表</w:t>
      </w:r>
    </w:p>
    <w:p w14:paraId="32FF4A0E">
      <w:pPr>
        <w:spacing w:line="360" w:lineRule="auto"/>
        <w:ind w:firstLine="480" w:firstLineChars="200"/>
        <w:rPr>
          <w:rFonts w:ascii="宋体" w:hAnsi="宋体"/>
          <w:sz w:val="24"/>
        </w:rPr>
      </w:pPr>
    </w:p>
    <w:p w14:paraId="140E6993">
      <w:pPr>
        <w:spacing w:line="360" w:lineRule="auto"/>
        <w:ind w:firstLine="480" w:firstLineChars="200"/>
        <w:rPr>
          <w:rFonts w:ascii="宋体" w:hAnsi="宋体"/>
          <w:b/>
          <w:sz w:val="24"/>
        </w:rPr>
      </w:pPr>
      <w:r>
        <w:rPr>
          <w:rFonts w:hint="eastAsia" w:ascii="宋体" w:hAnsi="宋体"/>
          <w:sz w:val="24"/>
        </w:rPr>
        <w:t>说明：供应商必须仔细阅读招标文件中所有资格性审查内容，对所有资格性审查条款的响应情况逐项列入下表，并对其响应情况进行说明。未列入下表的视作供应商不响应。</w:t>
      </w:r>
    </w:p>
    <w:p w14:paraId="16DB7304">
      <w:pPr>
        <w:spacing w:line="360" w:lineRule="auto"/>
        <w:ind w:firstLine="482" w:firstLineChars="200"/>
        <w:rPr>
          <w:rFonts w:ascii="宋体" w:hAnsi="宋体"/>
          <w:b/>
          <w:sz w:val="24"/>
        </w:rPr>
      </w:pPr>
    </w:p>
    <w:tbl>
      <w:tblPr>
        <w:tblStyle w:val="19"/>
        <w:tblW w:w="87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4"/>
        <w:gridCol w:w="1215"/>
        <w:gridCol w:w="1729"/>
        <w:gridCol w:w="921"/>
        <w:gridCol w:w="751"/>
        <w:gridCol w:w="2254"/>
        <w:gridCol w:w="1140"/>
      </w:tblGrid>
      <w:tr w14:paraId="4A2ED7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754" w:type="dxa"/>
            <w:tcBorders>
              <w:top w:val="single" w:color="auto" w:sz="4" w:space="0"/>
              <w:left w:val="single" w:color="auto" w:sz="4" w:space="0"/>
              <w:bottom w:val="single" w:color="auto" w:sz="4" w:space="0"/>
              <w:right w:val="single" w:color="auto" w:sz="4" w:space="0"/>
            </w:tcBorders>
          </w:tcPr>
          <w:p w14:paraId="5309B912">
            <w:pPr>
              <w:spacing w:line="480" w:lineRule="exact"/>
              <w:jc w:val="center"/>
              <w:rPr>
                <w:rFonts w:ascii="宋体" w:hAnsi="宋体"/>
                <w:b/>
                <w:szCs w:val="21"/>
              </w:rPr>
            </w:pPr>
            <w:r>
              <w:rPr>
                <w:rFonts w:hint="eastAsia" w:ascii="宋体" w:hAnsi="宋体"/>
                <w:b/>
                <w:szCs w:val="21"/>
              </w:rPr>
              <w:t>序号</w:t>
            </w:r>
          </w:p>
        </w:tc>
        <w:tc>
          <w:tcPr>
            <w:tcW w:w="1215" w:type="dxa"/>
            <w:tcBorders>
              <w:top w:val="single" w:color="auto" w:sz="4" w:space="0"/>
              <w:left w:val="single" w:color="auto" w:sz="4" w:space="0"/>
              <w:bottom w:val="single" w:color="auto" w:sz="4" w:space="0"/>
              <w:right w:val="single" w:color="auto" w:sz="4" w:space="0"/>
            </w:tcBorders>
          </w:tcPr>
          <w:p w14:paraId="0167FF9B">
            <w:pPr>
              <w:spacing w:line="480" w:lineRule="exact"/>
              <w:jc w:val="center"/>
              <w:rPr>
                <w:rFonts w:ascii="宋体" w:hAnsi="宋体"/>
                <w:b/>
                <w:szCs w:val="21"/>
              </w:rPr>
            </w:pPr>
            <w:r>
              <w:rPr>
                <w:rFonts w:hint="eastAsia" w:ascii="宋体" w:hAnsi="宋体"/>
                <w:b/>
                <w:szCs w:val="21"/>
              </w:rPr>
              <w:t>评审因素</w:t>
            </w:r>
          </w:p>
        </w:tc>
        <w:tc>
          <w:tcPr>
            <w:tcW w:w="1729" w:type="dxa"/>
            <w:tcBorders>
              <w:top w:val="single" w:color="auto" w:sz="4" w:space="0"/>
              <w:left w:val="single" w:color="auto" w:sz="4" w:space="0"/>
              <w:bottom w:val="single" w:color="auto" w:sz="4" w:space="0"/>
              <w:right w:val="single" w:color="auto" w:sz="4" w:space="0"/>
            </w:tcBorders>
          </w:tcPr>
          <w:p w14:paraId="72893F55">
            <w:pPr>
              <w:spacing w:line="480" w:lineRule="exact"/>
              <w:jc w:val="center"/>
              <w:rPr>
                <w:rFonts w:ascii="宋体" w:hAnsi="宋体"/>
                <w:b/>
                <w:szCs w:val="21"/>
              </w:rPr>
            </w:pPr>
            <w:r>
              <w:rPr>
                <w:rFonts w:hint="eastAsia" w:ascii="宋体" w:hAnsi="宋体"/>
                <w:b/>
                <w:szCs w:val="21"/>
              </w:rPr>
              <w:t>评审标准</w:t>
            </w:r>
          </w:p>
        </w:tc>
        <w:tc>
          <w:tcPr>
            <w:tcW w:w="921" w:type="dxa"/>
            <w:tcBorders>
              <w:top w:val="single" w:color="auto" w:sz="4" w:space="0"/>
              <w:left w:val="single" w:color="auto" w:sz="4" w:space="0"/>
              <w:bottom w:val="single" w:color="auto" w:sz="4" w:space="0"/>
              <w:right w:val="single" w:color="auto" w:sz="4" w:space="0"/>
            </w:tcBorders>
          </w:tcPr>
          <w:p w14:paraId="3782A5B5">
            <w:pPr>
              <w:spacing w:line="480" w:lineRule="exact"/>
              <w:jc w:val="center"/>
              <w:rPr>
                <w:rFonts w:ascii="宋体" w:hAnsi="宋体"/>
                <w:b/>
                <w:szCs w:val="21"/>
              </w:rPr>
            </w:pPr>
            <w:r>
              <w:rPr>
                <w:rFonts w:hint="eastAsia" w:ascii="宋体" w:hAnsi="宋体"/>
                <w:b/>
                <w:szCs w:val="21"/>
              </w:rPr>
              <w:t>起页</w:t>
            </w:r>
          </w:p>
        </w:tc>
        <w:tc>
          <w:tcPr>
            <w:tcW w:w="751" w:type="dxa"/>
            <w:tcBorders>
              <w:top w:val="single" w:color="auto" w:sz="4" w:space="0"/>
              <w:left w:val="single" w:color="auto" w:sz="4" w:space="0"/>
              <w:bottom w:val="single" w:color="auto" w:sz="4" w:space="0"/>
              <w:right w:val="single" w:color="auto" w:sz="4" w:space="0"/>
            </w:tcBorders>
          </w:tcPr>
          <w:p w14:paraId="05C41410">
            <w:pPr>
              <w:spacing w:line="480" w:lineRule="exact"/>
              <w:jc w:val="center"/>
              <w:rPr>
                <w:rFonts w:ascii="宋体" w:hAnsi="宋体"/>
                <w:b/>
                <w:szCs w:val="21"/>
              </w:rPr>
            </w:pPr>
            <w:r>
              <w:rPr>
                <w:rFonts w:hint="eastAsia" w:ascii="宋体" w:hAnsi="宋体"/>
                <w:b/>
                <w:szCs w:val="21"/>
              </w:rPr>
              <w:t>止页</w:t>
            </w:r>
          </w:p>
        </w:tc>
        <w:tc>
          <w:tcPr>
            <w:tcW w:w="2254" w:type="dxa"/>
            <w:tcBorders>
              <w:top w:val="single" w:color="auto" w:sz="4" w:space="0"/>
              <w:left w:val="single" w:color="auto" w:sz="4" w:space="0"/>
              <w:bottom w:val="single" w:color="auto" w:sz="4" w:space="0"/>
              <w:right w:val="single" w:color="auto" w:sz="4" w:space="0"/>
            </w:tcBorders>
          </w:tcPr>
          <w:p w14:paraId="0D053168">
            <w:pPr>
              <w:spacing w:line="480" w:lineRule="exact"/>
              <w:jc w:val="center"/>
              <w:rPr>
                <w:rFonts w:ascii="宋体" w:hAnsi="宋体"/>
                <w:b/>
                <w:szCs w:val="21"/>
              </w:rPr>
            </w:pPr>
            <w:r>
              <w:rPr>
                <w:rFonts w:hint="eastAsia" w:ascii="宋体" w:hAnsi="宋体"/>
                <w:b/>
                <w:szCs w:val="21"/>
              </w:rPr>
              <w:t>响应情况</w:t>
            </w:r>
            <w:r>
              <w:rPr>
                <w:rFonts w:hint="eastAsia" w:ascii="宋体" w:hAnsi="宋体"/>
                <w:szCs w:val="21"/>
              </w:rPr>
              <w:t>（＋/-/=）</w:t>
            </w:r>
          </w:p>
        </w:tc>
        <w:tc>
          <w:tcPr>
            <w:tcW w:w="1140" w:type="dxa"/>
            <w:tcBorders>
              <w:top w:val="single" w:color="auto" w:sz="4" w:space="0"/>
              <w:left w:val="single" w:color="auto" w:sz="4" w:space="0"/>
              <w:bottom w:val="single" w:color="auto" w:sz="4" w:space="0"/>
              <w:right w:val="single" w:color="auto" w:sz="4" w:space="0"/>
            </w:tcBorders>
          </w:tcPr>
          <w:p w14:paraId="0062A500">
            <w:pPr>
              <w:spacing w:line="480" w:lineRule="exact"/>
              <w:jc w:val="center"/>
              <w:rPr>
                <w:rFonts w:ascii="宋体" w:hAnsi="宋体"/>
                <w:b/>
                <w:szCs w:val="21"/>
              </w:rPr>
            </w:pPr>
            <w:r>
              <w:rPr>
                <w:rFonts w:hint="eastAsia" w:ascii="宋体" w:hAnsi="宋体"/>
                <w:b/>
                <w:szCs w:val="21"/>
              </w:rPr>
              <w:t>备注</w:t>
            </w:r>
          </w:p>
        </w:tc>
      </w:tr>
      <w:tr w14:paraId="6F2814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jc w:val="center"/>
        </w:trPr>
        <w:tc>
          <w:tcPr>
            <w:tcW w:w="754" w:type="dxa"/>
            <w:tcBorders>
              <w:top w:val="single" w:color="auto" w:sz="4" w:space="0"/>
              <w:left w:val="single" w:color="auto" w:sz="4" w:space="0"/>
              <w:bottom w:val="single" w:color="auto" w:sz="4" w:space="0"/>
              <w:right w:val="single" w:color="auto" w:sz="4" w:space="0"/>
            </w:tcBorders>
            <w:vAlign w:val="center"/>
          </w:tcPr>
          <w:p w14:paraId="7BB01737">
            <w:pPr>
              <w:spacing w:line="320" w:lineRule="exact"/>
              <w:jc w:val="center"/>
              <w:rPr>
                <w:rFonts w:ascii="宋体" w:hAnsi="宋体"/>
                <w:b/>
                <w:szCs w:val="21"/>
              </w:rPr>
            </w:pPr>
            <w:r>
              <w:rPr>
                <w:rFonts w:hint="eastAsia" w:ascii="宋体" w:hAnsi="宋体"/>
                <w:b/>
                <w:szCs w:val="21"/>
              </w:rPr>
              <w:t>1</w:t>
            </w:r>
          </w:p>
        </w:tc>
        <w:tc>
          <w:tcPr>
            <w:tcW w:w="1215" w:type="dxa"/>
            <w:tcBorders>
              <w:top w:val="single" w:color="auto" w:sz="4" w:space="0"/>
              <w:left w:val="single" w:color="auto" w:sz="4" w:space="0"/>
              <w:right w:val="single" w:color="auto" w:sz="4" w:space="0"/>
            </w:tcBorders>
            <w:vAlign w:val="center"/>
          </w:tcPr>
          <w:p w14:paraId="76569D44">
            <w:pPr>
              <w:spacing w:line="480" w:lineRule="exact"/>
              <w:jc w:val="center"/>
              <w:rPr>
                <w:rFonts w:ascii="宋体" w:hAnsi="宋体"/>
                <w:b/>
                <w:szCs w:val="21"/>
              </w:rPr>
            </w:pPr>
          </w:p>
        </w:tc>
        <w:tc>
          <w:tcPr>
            <w:tcW w:w="1729" w:type="dxa"/>
            <w:tcBorders>
              <w:top w:val="single" w:color="auto" w:sz="4" w:space="0"/>
              <w:left w:val="single" w:color="auto" w:sz="4" w:space="0"/>
              <w:bottom w:val="single" w:color="auto" w:sz="4" w:space="0"/>
              <w:right w:val="single" w:color="auto" w:sz="4" w:space="0"/>
            </w:tcBorders>
          </w:tcPr>
          <w:p w14:paraId="4D39B1B8">
            <w:pPr>
              <w:spacing w:line="320" w:lineRule="exact"/>
              <w:rPr>
                <w:rFonts w:ascii="宋体" w:hAnsi="宋体" w:cs="宋体"/>
                <w:kern w:val="0"/>
                <w:sz w:val="20"/>
                <w:szCs w:val="20"/>
              </w:rPr>
            </w:pPr>
          </w:p>
        </w:tc>
        <w:tc>
          <w:tcPr>
            <w:tcW w:w="921" w:type="dxa"/>
            <w:tcBorders>
              <w:top w:val="single" w:color="auto" w:sz="4" w:space="0"/>
              <w:left w:val="single" w:color="auto" w:sz="4" w:space="0"/>
              <w:bottom w:val="single" w:color="auto" w:sz="4" w:space="0"/>
              <w:right w:val="single" w:color="auto" w:sz="4" w:space="0"/>
            </w:tcBorders>
          </w:tcPr>
          <w:p w14:paraId="4A5835BB">
            <w:pPr>
              <w:spacing w:line="480" w:lineRule="exact"/>
              <w:jc w:val="center"/>
              <w:rPr>
                <w:rFonts w:ascii="宋体" w:hAnsi="宋体"/>
                <w:b/>
                <w:szCs w:val="21"/>
              </w:rPr>
            </w:pPr>
          </w:p>
        </w:tc>
        <w:tc>
          <w:tcPr>
            <w:tcW w:w="751" w:type="dxa"/>
            <w:tcBorders>
              <w:top w:val="single" w:color="auto" w:sz="4" w:space="0"/>
              <w:left w:val="single" w:color="auto" w:sz="4" w:space="0"/>
              <w:bottom w:val="single" w:color="auto" w:sz="4" w:space="0"/>
              <w:right w:val="single" w:color="auto" w:sz="4" w:space="0"/>
            </w:tcBorders>
          </w:tcPr>
          <w:p w14:paraId="287C1DAA">
            <w:pPr>
              <w:spacing w:line="480" w:lineRule="exact"/>
              <w:jc w:val="center"/>
              <w:rPr>
                <w:rFonts w:ascii="宋体" w:hAnsi="宋体"/>
                <w:b/>
                <w:szCs w:val="21"/>
              </w:rPr>
            </w:pPr>
          </w:p>
        </w:tc>
        <w:tc>
          <w:tcPr>
            <w:tcW w:w="2254" w:type="dxa"/>
            <w:tcBorders>
              <w:top w:val="single" w:color="auto" w:sz="4" w:space="0"/>
              <w:left w:val="single" w:color="auto" w:sz="4" w:space="0"/>
              <w:bottom w:val="single" w:color="auto" w:sz="4" w:space="0"/>
              <w:right w:val="single" w:color="auto" w:sz="4" w:space="0"/>
            </w:tcBorders>
          </w:tcPr>
          <w:p w14:paraId="3BF0A563">
            <w:pPr>
              <w:spacing w:line="480" w:lineRule="exact"/>
              <w:jc w:val="center"/>
              <w:rPr>
                <w:rFonts w:ascii="宋体" w:hAnsi="宋体"/>
                <w:b/>
                <w:szCs w:val="21"/>
              </w:rPr>
            </w:pPr>
          </w:p>
        </w:tc>
        <w:tc>
          <w:tcPr>
            <w:tcW w:w="1140" w:type="dxa"/>
            <w:tcBorders>
              <w:top w:val="single" w:color="auto" w:sz="4" w:space="0"/>
              <w:left w:val="single" w:color="auto" w:sz="4" w:space="0"/>
              <w:bottom w:val="single" w:color="auto" w:sz="4" w:space="0"/>
              <w:right w:val="single" w:color="auto" w:sz="4" w:space="0"/>
            </w:tcBorders>
          </w:tcPr>
          <w:p w14:paraId="11C49BAA">
            <w:pPr>
              <w:spacing w:line="480" w:lineRule="exact"/>
              <w:jc w:val="center"/>
              <w:rPr>
                <w:rFonts w:ascii="宋体" w:hAnsi="宋体"/>
                <w:b/>
                <w:szCs w:val="21"/>
              </w:rPr>
            </w:pPr>
          </w:p>
        </w:tc>
      </w:tr>
      <w:tr w14:paraId="02E2B0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jc w:val="center"/>
        </w:trPr>
        <w:tc>
          <w:tcPr>
            <w:tcW w:w="754" w:type="dxa"/>
            <w:tcBorders>
              <w:top w:val="single" w:color="auto" w:sz="4" w:space="0"/>
              <w:left w:val="single" w:color="auto" w:sz="4" w:space="0"/>
              <w:bottom w:val="single" w:color="auto" w:sz="4" w:space="0"/>
              <w:right w:val="single" w:color="auto" w:sz="4" w:space="0"/>
            </w:tcBorders>
            <w:vAlign w:val="center"/>
          </w:tcPr>
          <w:p w14:paraId="2EE2EB37">
            <w:pPr>
              <w:spacing w:line="320" w:lineRule="exact"/>
              <w:jc w:val="center"/>
              <w:rPr>
                <w:rFonts w:ascii="宋体" w:hAnsi="宋体"/>
                <w:b/>
                <w:szCs w:val="21"/>
              </w:rPr>
            </w:pPr>
            <w:r>
              <w:rPr>
                <w:rFonts w:hint="eastAsia" w:ascii="宋体" w:hAnsi="宋体"/>
                <w:b/>
                <w:szCs w:val="21"/>
              </w:rPr>
              <w:t>2</w:t>
            </w:r>
          </w:p>
        </w:tc>
        <w:tc>
          <w:tcPr>
            <w:tcW w:w="1215" w:type="dxa"/>
            <w:tcBorders>
              <w:left w:val="single" w:color="auto" w:sz="4" w:space="0"/>
              <w:right w:val="single" w:color="auto" w:sz="4" w:space="0"/>
            </w:tcBorders>
            <w:vAlign w:val="center"/>
          </w:tcPr>
          <w:p w14:paraId="5CBE91BE">
            <w:pPr>
              <w:spacing w:line="480" w:lineRule="exact"/>
              <w:jc w:val="center"/>
              <w:rPr>
                <w:rFonts w:ascii="宋体" w:hAnsi="宋体"/>
                <w:b/>
                <w:szCs w:val="21"/>
              </w:rPr>
            </w:pPr>
          </w:p>
        </w:tc>
        <w:tc>
          <w:tcPr>
            <w:tcW w:w="1729" w:type="dxa"/>
            <w:tcBorders>
              <w:top w:val="single" w:color="auto" w:sz="4" w:space="0"/>
              <w:left w:val="single" w:color="auto" w:sz="4" w:space="0"/>
              <w:bottom w:val="single" w:color="auto" w:sz="4" w:space="0"/>
              <w:right w:val="single" w:color="auto" w:sz="4" w:space="0"/>
            </w:tcBorders>
          </w:tcPr>
          <w:p w14:paraId="416268AC">
            <w:pPr>
              <w:spacing w:line="320" w:lineRule="exact"/>
              <w:rPr>
                <w:rFonts w:ascii="宋体" w:hAnsi="宋体" w:cs="宋体"/>
                <w:kern w:val="0"/>
                <w:sz w:val="20"/>
                <w:szCs w:val="20"/>
              </w:rPr>
            </w:pPr>
          </w:p>
        </w:tc>
        <w:tc>
          <w:tcPr>
            <w:tcW w:w="921" w:type="dxa"/>
            <w:tcBorders>
              <w:top w:val="single" w:color="auto" w:sz="4" w:space="0"/>
              <w:left w:val="single" w:color="auto" w:sz="4" w:space="0"/>
              <w:bottom w:val="single" w:color="auto" w:sz="4" w:space="0"/>
              <w:right w:val="single" w:color="auto" w:sz="4" w:space="0"/>
            </w:tcBorders>
          </w:tcPr>
          <w:p w14:paraId="0AF52203">
            <w:pPr>
              <w:spacing w:line="480" w:lineRule="exact"/>
              <w:jc w:val="center"/>
              <w:rPr>
                <w:rFonts w:ascii="宋体" w:hAnsi="宋体"/>
                <w:b/>
                <w:szCs w:val="21"/>
              </w:rPr>
            </w:pPr>
          </w:p>
        </w:tc>
        <w:tc>
          <w:tcPr>
            <w:tcW w:w="751" w:type="dxa"/>
            <w:tcBorders>
              <w:top w:val="single" w:color="auto" w:sz="4" w:space="0"/>
              <w:left w:val="single" w:color="auto" w:sz="4" w:space="0"/>
              <w:bottom w:val="single" w:color="auto" w:sz="4" w:space="0"/>
              <w:right w:val="single" w:color="auto" w:sz="4" w:space="0"/>
            </w:tcBorders>
          </w:tcPr>
          <w:p w14:paraId="0999A504">
            <w:pPr>
              <w:spacing w:line="480" w:lineRule="exact"/>
              <w:jc w:val="center"/>
              <w:rPr>
                <w:rFonts w:ascii="宋体" w:hAnsi="宋体"/>
                <w:b/>
                <w:szCs w:val="21"/>
              </w:rPr>
            </w:pPr>
          </w:p>
        </w:tc>
        <w:tc>
          <w:tcPr>
            <w:tcW w:w="2254" w:type="dxa"/>
            <w:tcBorders>
              <w:top w:val="single" w:color="auto" w:sz="4" w:space="0"/>
              <w:left w:val="single" w:color="auto" w:sz="4" w:space="0"/>
              <w:bottom w:val="single" w:color="auto" w:sz="4" w:space="0"/>
              <w:right w:val="single" w:color="auto" w:sz="4" w:space="0"/>
            </w:tcBorders>
          </w:tcPr>
          <w:p w14:paraId="0A1BBEEB">
            <w:pPr>
              <w:spacing w:line="480" w:lineRule="exact"/>
              <w:jc w:val="center"/>
              <w:rPr>
                <w:rFonts w:ascii="宋体" w:hAnsi="宋体"/>
                <w:b/>
                <w:szCs w:val="21"/>
              </w:rPr>
            </w:pPr>
          </w:p>
        </w:tc>
        <w:tc>
          <w:tcPr>
            <w:tcW w:w="1140" w:type="dxa"/>
            <w:tcBorders>
              <w:top w:val="single" w:color="auto" w:sz="4" w:space="0"/>
              <w:left w:val="single" w:color="auto" w:sz="4" w:space="0"/>
              <w:bottom w:val="single" w:color="auto" w:sz="4" w:space="0"/>
              <w:right w:val="single" w:color="auto" w:sz="4" w:space="0"/>
            </w:tcBorders>
          </w:tcPr>
          <w:p w14:paraId="201235FE">
            <w:pPr>
              <w:spacing w:line="480" w:lineRule="exact"/>
              <w:jc w:val="center"/>
              <w:rPr>
                <w:rFonts w:ascii="宋体" w:hAnsi="宋体"/>
                <w:b/>
                <w:szCs w:val="21"/>
              </w:rPr>
            </w:pPr>
          </w:p>
        </w:tc>
      </w:tr>
      <w:tr w14:paraId="267EEA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 w:hRule="atLeast"/>
          <w:jc w:val="center"/>
        </w:trPr>
        <w:tc>
          <w:tcPr>
            <w:tcW w:w="754" w:type="dxa"/>
            <w:tcBorders>
              <w:top w:val="single" w:color="auto" w:sz="4" w:space="0"/>
              <w:left w:val="single" w:color="auto" w:sz="4" w:space="0"/>
              <w:bottom w:val="single" w:color="auto" w:sz="4" w:space="0"/>
              <w:right w:val="single" w:color="auto" w:sz="4" w:space="0"/>
            </w:tcBorders>
            <w:vAlign w:val="center"/>
          </w:tcPr>
          <w:p w14:paraId="0F497134">
            <w:pPr>
              <w:spacing w:line="320" w:lineRule="exact"/>
              <w:jc w:val="center"/>
              <w:rPr>
                <w:rFonts w:ascii="宋体" w:hAnsi="宋体"/>
                <w:b/>
                <w:szCs w:val="21"/>
              </w:rPr>
            </w:pPr>
            <w:r>
              <w:rPr>
                <w:rFonts w:hint="eastAsia" w:ascii="宋体" w:hAnsi="宋体"/>
                <w:b/>
                <w:szCs w:val="21"/>
              </w:rPr>
              <w:t>3</w:t>
            </w:r>
          </w:p>
        </w:tc>
        <w:tc>
          <w:tcPr>
            <w:tcW w:w="1215" w:type="dxa"/>
            <w:tcBorders>
              <w:left w:val="single" w:color="auto" w:sz="4" w:space="0"/>
              <w:right w:val="single" w:color="auto" w:sz="4" w:space="0"/>
            </w:tcBorders>
            <w:vAlign w:val="center"/>
          </w:tcPr>
          <w:p w14:paraId="196D8EC2">
            <w:pPr>
              <w:spacing w:line="480" w:lineRule="exact"/>
              <w:jc w:val="center"/>
              <w:rPr>
                <w:rFonts w:ascii="宋体" w:hAnsi="宋体"/>
                <w:b/>
                <w:szCs w:val="21"/>
              </w:rPr>
            </w:pPr>
          </w:p>
        </w:tc>
        <w:tc>
          <w:tcPr>
            <w:tcW w:w="1729" w:type="dxa"/>
            <w:tcBorders>
              <w:top w:val="single" w:color="auto" w:sz="4" w:space="0"/>
              <w:left w:val="single" w:color="auto" w:sz="4" w:space="0"/>
              <w:bottom w:val="single" w:color="auto" w:sz="4" w:space="0"/>
              <w:right w:val="single" w:color="auto" w:sz="4" w:space="0"/>
            </w:tcBorders>
          </w:tcPr>
          <w:p w14:paraId="2CBB6CE3">
            <w:pPr>
              <w:spacing w:line="320" w:lineRule="exact"/>
              <w:rPr>
                <w:rFonts w:ascii="宋体" w:hAnsi="宋体" w:cs="宋体"/>
                <w:kern w:val="0"/>
                <w:sz w:val="20"/>
                <w:szCs w:val="20"/>
              </w:rPr>
            </w:pPr>
          </w:p>
        </w:tc>
        <w:tc>
          <w:tcPr>
            <w:tcW w:w="921" w:type="dxa"/>
            <w:tcBorders>
              <w:top w:val="single" w:color="auto" w:sz="4" w:space="0"/>
              <w:left w:val="single" w:color="auto" w:sz="4" w:space="0"/>
              <w:bottom w:val="single" w:color="auto" w:sz="4" w:space="0"/>
              <w:right w:val="single" w:color="auto" w:sz="4" w:space="0"/>
            </w:tcBorders>
          </w:tcPr>
          <w:p w14:paraId="4D19E4A9">
            <w:pPr>
              <w:spacing w:line="480" w:lineRule="exact"/>
              <w:jc w:val="center"/>
              <w:rPr>
                <w:rFonts w:ascii="宋体" w:hAnsi="宋体"/>
                <w:b/>
                <w:szCs w:val="21"/>
              </w:rPr>
            </w:pPr>
          </w:p>
        </w:tc>
        <w:tc>
          <w:tcPr>
            <w:tcW w:w="751" w:type="dxa"/>
            <w:tcBorders>
              <w:top w:val="single" w:color="auto" w:sz="4" w:space="0"/>
              <w:left w:val="single" w:color="auto" w:sz="4" w:space="0"/>
              <w:bottom w:val="single" w:color="auto" w:sz="4" w:space="0"/>
              <w:right w:val="single" w:color="auto" w:sz="4" w:space="0"/>
            </w:tcBorders>
          </w:tcPr>
          <w:p w14:paraId="03FA1716">
            <w:pPr>
              <w:spacing w:line="480" w:lineRule="exact"/>
              <w:jc w:val="center"/>
              <w:rPr>
                <w:rFonts w:ascii="宋体" w:hAnsi="宋体"/>
                <w:b/>
                <w:szCs w:val="21"/>
              </w:rPr>
            </w:pPr>
          </w:p>
        </w:tc>
        <w:tc>
          <w:tcPr>
            <w:tcW w:w="2254" w:type="dxa"/>
            <w:tcBorders>
              <w:top w:val="single" w:color="auto" w:sz="4" w:space="0"/>
              <w:left w:val="single" w:color="auto" w:sz="4" w:space="0"/>
              <w:bottom w:val="single" w:color="auto" w:sz="4" w:space="0"/>
              <w:right w:val="single" w:color="auto" w:sz="4" w:space="0"/>
            </w:tcBorders>
          </w:tcPr>
          <w:p w14:paraId="14478660">
            <w:pPr>
              <w:spacing w:line="480" w:lineRule="exact"/>
              <w:jc w:val="center"/>
              <w:rPr>
                <w:rFonts w:ascii="宋体" w:hAnsi="宋体"/>
                <w:b/>
                <w:szCs w:val="21"/>
              </w:rPr>
            </w:pPr>
          </w:p>
        </w:tc>
        <w:tc>
          <w:tcPr>
            <w:tcW w:w="1140" w:type="dxa"/>
            <w:tcBorders>
              <w:top w:val="single" w:color="auto" w:sz="4" w:space="0"/>
              <w:left w:val="single" w:color="auto" w:sz="4" w:space="0"/>
              <w:bottom w:val="single" w:color="auto" w:sz="4" w:space="0"/>
              <w:right w:val="single" w:color="auto" w:sz="4" w:space="0"/>
            </w:tcBorders>
          </w:tcPr>
          <w:p w14:paraId="70580C43">
            <w:pPr>
              <w:spacing w:line="480" w:lineRule="exact"/>
              <w:jc w:val="center"/>
              <w:rPr>
                <w:rFonts w:ascii="宋体" w:hAnsi="宋体"/>
                <w:b/>
                <w:szCs w:val="21"/>
              </w:rPr>
            </w:pPr>
          </w:p>
        </w:tc>
      </w:tr>
      <w:tr w14:paraId="7B2876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754" w:type="dxa"/>
            <w:tcBorders>
              <w:top w:val="single" w:color="auto" w:sz="4" w:space="0"/>
              <w:left w:val="single" w:color="auto" w:sz="4" w:space="0"/>
              <w:bottom w:val="single" w:color="auto" w:sz="4" w:space="0"/>
              <w:right w:val="single" w:color="auto" w:sz="4" w:space="0"/>
            </w:tcBorders>
            <w:vAlign w:val="center"/>
          </w:tcPr>
          <w:p w14:paraId="00F49225">
            <w:pPr>
              <w:spacing w:line="320" w:lineRule="exact"/>
              <w:jc w:val="center"/>
              <w:rPr>
                <w:rFonts w:ascii="宋体" w:hAnsi="宋体"/>
                <w:b/>
                <w:szCs w:val="21"/>
              </w:rPr>
            </w:pPr>
            <w:r>
              <w:rPr>
                <w:rFonts w:hint="eastAsia" w:ascii="宋体" w:hAnsi="宋体"/>
                <w:b/>
                <w:szCs w:val="21"/>
              </w:rPr>
              <w:t>....</w:t>
            </w:r>
          </w:p>
          <w:p w14:paraId="78F6581A">
            <w:pPr>
              <w:spacing w:line="320" w:lineRule="exact"/>
              <w:jc w:val="center"/>
              <w:rPr>
                <w:rFonts w:ascii="宋体" w:hAnsi="宋体"/>
                <w:b/>
                <w:szCs w:val="21"/>
              </w:rPr>
            </w:pPr>
            <w:r>
              <w:rPr>
                <w:rFonts w:hint="eastAsia" w:ascii="宋体" w:hAnsi="宋体"/>
                <w:b/>
                <w:szCs w:val="21"/>
              </w:rPr>
              <w:t>....</w:t>
            </w:r>
          </w:p>
        </w:tc>
        <w:tc>
          <w:tcPr>
            <w:tcW w:w="1215" w:type="dxa"/>
            <w:tcBorders>
              <w:left w:val="single" w:color="auto" w:sz="4" w:space="0"/>
              <w:right w:val="single" w:color="auto" w:sz="4" w:space="0"/>
            </w:tcBorders>
            <w:vAlign w:val="center"/>
          </w:tcPr>
          <w:p w14:paraId="2870F5E2">
            <w:pPr>
              <w:spacing w:line="480" w:lineRule="exact"/>
              <w:jc w:val="center"/>
              <w:rPr>
                <w:rFonts w:ascii="宋体" w:hAnsi="宋体"/>
                <w:b/>
                <w:szCs w:val="21"/>
              </w:rPr>
            </w:pPr>
          </w:p>
        </w:tc>
        <w:tc>
          <w:tcPr>
            <w:tcW w:w="1729" w:type="dxa"/>
            <w:tcBorders>
              <w:top w:val="single" w:color="auto" w:sz="4" w:space="0"/>
              <w:left w:val="single" w:color="auto" w:sz="4" w:space="0"/>
              <w:bottom w:val="single" w:color="auto" w:sz="4" w:space="0"/>
              <w:right w:val="single" w:color="auto" w:sz="4" w:space="0"/>
            </w:tcBorders>
          </w:tcPr>
          <w:p w14:paraId="41436254">
            <w:pPr>
              <w:spacing w:line="320" w:lineRule="exact"/>
              <w:rPr>
                <w:rFonts w:ascii="宋体" w:hAnsi="宋体" w:cs="宋体"/>
                <w:kern w:val="0"/>
                <w:sz w:val="20"/>
                <w:szCs w:val="20"/>
              </w:rPr>
            </w:pPr>
          </w:p>
        </w:tc>
        <w:tc>
          <w:tcPr>
            <w:tcW w:w="921" w:type="dxa"/>
            <w:tcBorders>
              <w:top w:val="single" w:color="auto" w:sz="4" w:space="0"/>
              <w:left w:val="single" w:color="auto" w:sz="4" w:space="0"/>
              <w:bottom w:val="single" w:color="auto" w:sz="4" w:space="0"/>
              <w:right w:val="single" w:color="auto" w:sz="4" w:space="0"/>
            </w:tcBorders>
          </w:tcPr>
          <w:p w14:paraId="63A3EC3D">
            <w:pPr>
              <w:spacing w:line="480" w:lineRule="exact"/>
              <w:jc w:val="center"/>
              <w:rPr>
                <w:rFonts w:ascii="宋体" w:hAnsi="宋体"/>
                <w:b/>
                <w:szCs w:val="21"/>
              </w:rPr>
            </w:pPr>
          </w:p>
        </w:tc>
        <w:tc>
          <w:tcPr>
            <w:tcW w:w="751" w:type="dxa"/>
            <w:tcBorders>
              <w:top w:val="single" w:color="auto" w:sz="4" w:space="0"/>
              <w:left w:val="single" w:color="auto" w:sz="4" w:space="0"/>
              <w:bottom w:val="single" w:color="auto" w:sz="4" w:space="0"/>
              <w:right w:val="single" w:color="auto" w:sz="4" w:space="0"/>
            </w:tcBorders>
          </w:tcPr>
          <w:p w14:paraId="1E3D0B06">
            <w:pPr>
              <w:spacing w:line="480" w:lineRule="exact"/>
              <w:jc w:val="center"/>
              <w:rPr>
                <w:rFonts w:ascii="宋体" w:hAnsi="宋体"/>
                <w:b/>
                <w:szCs w:val="21"/>
              </w:rPr>
            </w:pPr>
          </w:p>
        </w:tc>
        <w:tc>
          <w:tcPr>
            <w:tcW w:w="2254" w:type="dxa"/>
            <w:tcBorders>
              <w:top w:val="single" w:color="auto" w:sz="4" w:space="0"/>
              <w:left w:val="single" w:color="auto" w:sz="4" w:space="0"/>
              <w:bottom w:val="single" w:color="auto" w:sz="4" w:space="0"/>
              <w:right w:val="single" w:color="auto" w:sz="4" w:space="0"/>
            </w:tcBorders>
          </w:tcPr>
          <w:p w14:paraId="2CAD17CD">
            <w:pPr>
              <w:spacing w:line="480" w:lineRule="exact"/>
              <w:jc w:val="center"/>
              <w:rPr>
                <w:rFonts w:ascii="宋体" w:hAnsi="宋体"/>
                <w:b/>
                <w:szCs w:val="21"/>
              </w:rPr>
            </w:pPr>
          </w:p>
        </w:tc>
        <w:tc>
          <w:tcPr>
            <w:tcW w:w="1140" w:type="dxa"/>
            <w:tcBorders>
              <w:top w:val="single" w:color="auto" w:sz="4" w:space="0"/>
              <w:left w:val="single" w:color="auto" w:sz="4" w:space="0"/>
              <w:bottom w:val="single" w:color="auto" w:sz="4" w:space="0"/>
              <w:right w:val="single" w:color="auto" w:sz="4" w:space="0"/>
            </w:tcBorders>
          </w:tcPr>
          <w:p w14:paraId="49604FB0">
            <w:pPr>
              <w:spacing w:line="480" w:lineRule="exact"/>
              <w:jc w:val="center"/>
              <w:rPr>
                <w:rFonts w:ascii="宋体" w:hAnsi="宋体"/>
                <w:b/>
                <w:szCs w:val="21"/>
              </w:rPr>
            </w:pPr>
          </w:p>
        </w:tc>
      </w:tr>
    </w:tbl>
    <w:p w14:paraId="7C7E0698">
      <w:pPr>
        <w:rPr>
          <w:rFonts w:ascii="宋体" w:hAnsi="宋体"/>
          <w:sz w:val="24"/>
        </w:rPr>
      </w:pPr>
    </w:p>
    <w:p w14:paraId="6B2A5C4B">
      <w:pPr>
        <w:spacing w:line="360" w:lineRule="auto"/>
        <w:rPr>
          <w:rFonts w:asciiTheme="minorEastAsia" w:hAnsiTheme="minorEastAsia" w:eastAsiaTheme="minorEastAsia"/>
          <w:sz w:val="24"/>
        </w:rPr>
      </w:pPr>
      <w:r>
        <w:rPr>
          <w:rFonts w:hint="eastAsia" w:asciiTheme="minorEastAsia" w:hAnsiTheme="minorEastAsia" w:eastAsiaTheme="minorEastAsia"/>
          <w:sz w:val="24"/>
        </w:rPr>
        <w:t xml:space="preserve">投标单位（公章）： </w:t>
      </w:r>
    </w:p>
    <w:p w14:paraId="1F179896">
      <w:pPr>
        <w:snapToGrid w:val="0"/>
        <w:spacing w:line="360" w:lineRule="auto"/>
        <w:rPr>
          <w:rFonts w:asciiTheme="minorEastAsia" w:hAnsiTheme="minorEastAsia" w:eastAsiaTheme="minorEastAsia"/>
          <w:sz w:val="24"/>
        </w:rPr>
      </w:pPr>
    </w:p>
    <w:p w14:paraId="1A734357">
      <w:pPr>
        <w:snapToGrid w:val="0"/>
        <w:spacing w:line="360" w:lineRule="auto"/>
        <w:rPr>
          <w:rFonts w:asciiTheme="minorEastAsia" w:hAnsiTheme="minorEastAsia" w:eastAsiaTheme="minorEastAsia"/>
          <w:sz w:val="24"/>
        </w:rPr>
      </w:pPr>
      <w:r>
        <w:rPr>
          <w:rFonts w:hint="eastAsia" w:asciiTheme="minorEastAsia" w:hAnsiTheme="minorEastAsia" w:eastAsiaTheme="minorEastAsia"/>
          <w:sz w:val="24"/>
        </w:rPr>
        <w:t>注：1.起止页码需与投标文件的自然页码相对照；若投标文件中没有项，页码可填写0 ；不准确可能造成评委无法直观定位应标内容而做出不利判断；</w:t>
      </w:r>
    </w:p>
    <w:p w14:paraId="6EA1FE3D">
      <w:pPr>
        <w:snapToGrid w:val="0"/>
        <w:spacing w:line="360" w:lineRule="auto"/>
        <w:ind w:left="420" w:leftChars="200"/>
        <w:rPr>
          <w:rFonts w:asciiTheme="minorEastAsia" w:hAnsiTheme="minorEastAsia" w:eastAsiaTheme="minorEastAsia"/>
          <w:sz w:val="24"/>
        </w:rPr>
      </w:pPr>
      <w:r>
        <w:rPr>
          <w:rFonts w:hint="eastAsia" w:asciiTheme="minorEastAsia" w:hAnsiTheme="minorEastAsia" w:eastAsiaTheme="minorEastAsia"/>
          <w:sz w:val="24"/>
        </w:rPr>
        <w:t>2.此表为表样，行数可自行添加，但表式不变。</w:t>
      </w:r>
    </w:p>
    <w:p w14:paraId="2F9E2BE9">
      <w:pPr>
        <w:snapToGrid w:val="0"/>
        <w:spacing w:line="360" w:lineRule="auto"/>
        <w:ind w:left="420" w:leftChars="200"/>
        <w:rPr>
          <w:rFonts w:asciiTheme="minorEastAsia" w:hAnsiTheme="minorEastAsia" w:eastAsiaTheme="minorEastAsia"/>
          <w:sz w:val="24"/>
        </w:rPr>
      </w:pPr>
      <w:r>
        <w:rPr>
          <w:rFonts w:hint="eastAsia" w:asciiTheme="minorEastAsia" w:hAnsiTheme="minorEastAsia" w:eastAsiaTheme="minorEastAsia"/>
          <w:sz w:val="24"/>
        </w:rPr>
        <w:t>3.“响应情况”用符号“+、=、-”分别表示优于、等于、低于（偏离）招标文件资格</w:t>
      </w:r>
    </w:p>
    <w:p w14:paraId="6BE17986">
      <w:pPr>
        <w:snapToGrid w:val="0"/>
        <w:spacing w:line="360" w:lineRule="auto"/>
      </w:pPr>
      <w:r>
        <w:rPr>
          <w:rFonts w:hint="eastAsia" w:asciiTheme="minorEastAsia" w:hAnsiTheme="minorEastAsia" w:eastAsiaTheme="minorEastAsia"/>
          <w:sz w:val="24"/>
        </w:rPr>
        <w:t>性审查条款描述，必须逐项对应响应。</w:t>
      </w:r>
    </w:p>
    <w:p w14:paraId="70A6C23F">
      <w:pPr>
        <w:rPr>
          <w:rFonts w:hint="eastAsia" w:ascii="宋体" w:hAnsi="宋体" w:cs="Lucida Sans Unicode"/>
          <w:b/>
          <w:sz w:val="36"/>
          <w:szCs w:val="36"/>
        </w:rPr>
      </w:pPr>
      <w:r>
        <w:rPr>
          <w:rFonts w:hint="eastAsia" w:ascii="宋体" w:hAnsi="宋体" w:cs="Lucida Sans Unicode"/>
          <w:b/>
          <w:sz w:val="36"/>
          <w:szCs w:val="36"/>
        </w:rPr>
        <w:br w:type="page"/>
      </w:r>
    </w:p>
    <w:p w14:paraId="7E98ACFF">
      <w:pPr>
        <w:spacing w:line="560" w:lineRule="exact"/>
        <w:jc w:val="center"/>
        <w:rPr>
          <w:rFonts w:hint="default" w:ascii="宋体" w:hAnsi="宋体" w:eastAsia="宋体" w:cs="Lucida Sans Unicode"/>
          <w:b/>
          <w:sz w:val="36"/>
          <w:szCs w:val="36"/>
          <w:lang w:val="en-US" w:eastAsia="zh-CN"/>
        </w:rPr>
        <w:sectPr>
          <w:pgSz w:w="11906" w:h="16838"/>
          <w:pgMar w:top="1440" w:right="1800" w:bottom="1440" w:left="1800" w:header="851" w:footer="992" w:gutter="0"/>
          <w:cols w:space="720" w:num="1"/>
          <w:docGrid w:type="lines" w:linePitch="312" w:charSpace="0"/>
        </w:sectPr>
      </w:pPr>
      <w:r>
        <w:rPr>
          <w:rFonts w:hint="eastAsia" w:ascii="宋体" w:hAnsi="宋体" w:cs="Lucida Sans Unicode"/>
          <w:b/>
          <w:sz w:val="36"/>
          <w:szCs w:val="36"/>
        </w:rPr>
        <w:t xml:space="preserve"> </w:t>
      </w:r>
      <w:r>
        <w:rPr>
          <w:rFonts w:hint="eastAsia" w:ascii="宋体" w:hAnsi="宋体" w:cs="Lucida Sans Unicode"/>
          <w:b/>
          <w:sz w:val="36"/>
          <w:szCs w:val="36"/>
          <w:lang w:val="en-US" w:eastAsia="zh-CN"/>
        </w:rPr>
        <w:t>一、</w:t>
      </w:r>
      <w:r>
        <w:rPr>
          <w:rFonts w:hint="eastAsia" w:ascii="宋体" w:hAnsi="宋体" w:cs="Lucida Sans Unicode"/>
          <w:b/>
          <w:sz w:val="36"/>
          <w:szCs w:val="36"/>
        </w:rPr>
        <w:t>“申请人的资格要求”中要求</w:t>
      </w:r>
      <w:r>
        <w:rPr>
          <w:rFonts w:ascii="宋体" w:hAnsi="宋体" w:cs="Lucida Sans Unicode"/>
          <w:b/>
          <w:sz w:val="36"/>
          <w:szCs w:val="36"/>
        </w:rPr>
        <w:t>的</w:t>
      </w:r>
      <w:r>
        <w:rPr>
          <w:rFonts w:hint="eastAsia" w:ascii="宋体" w:hAnsi="宋体" w:cs="Lucida Sans Unicode"/>
          <w:b/>
          <w:sz w:val="36"/>
          <w:szCs w:val="36"/>
          <w:lang w:val="en-US" w:eastAsia="zh-CN"/>
        </w:rPr>
        <w:t>证明材料</w:t>
      </w:r>
    </w:p>
    <w:p w14:paraId="119ECD5C">
      <w:pPr>
        <w:spacing w:line="560" w:lineRule="exact"/>
        <w:jc w:val="center"/>
        <w:rPr>
          <w:rFonts w:ascii="宋体" w:hAnsi="宋体" w:cs="Lucida Sans Unicode"/>
          <w:b/>
          <w:sz w:val="44"/>
          <w:szCs w:val="44"/>
        </w:rPr>
      </w:pPr>
      <w:r>
        <w:rPr>
          <w:rFonts w:hint="eastAsia" w:ascii="宋体" w:hAnsi="宋体" w:cs="Lucida Sans Unicode"/>
          <w:b/>
          <w:sz w:val="44"/>
          <w:szCs w:val="44"/>
        </w:rPr>
        <w:t>法定代表人资格证明书</w:t>
      </w:r>
    </w:p>
    <w:p w14:paraId="3EB4CF40">
      <w:pPr>
        <w:spacing w:line="560" w:lineRule="exact"/>
        <w:jc w:val="center"/>
        <w:rPr>
          <w:rFonts w:ascii="宋体" w:hAnsi="宋体" w:cs="Lucida Sans Unicode"/>
          <w:sz w:val="24"/>
        </w:rPr>
      </w:pPr>
      <w:r>
        <w:rPr>
          <w:rFonts w:hint="eastAsia" w:ascii="宋体" w:hAnsi="宋体" w:cs="Lucida Sans Unicode"/>
          <w:sz w:val="24"/>
        </w:rPr>
        <w:t>（法定代表人参加投标的，出具此证明书；若联合体投标，牵头单位提供）</w:t>
      </w:r>
    </w:p>
    <w:p w14:paraId="31E156EF">
      <w:pPr>
        <w:spacing w:line="480" w:lineRule="exact"/>
        <w:rPr>
          <w:rFonts w:ascii="宋体" w:hAnsi="宋体" w:cs="Lucida Sans Unicode"/>
          <w:sz w:val="24"/>
        </w:rPr>
      </w:pPr>
    </w:p>
    <w:p w14:paraId="0A6D86B2">
      <w:pPr>
        <w:spacing w:before="100" w:beforeAutospacing="1" w:after="100" w:afterAutospacing="1" w:line="360" w:lineRule="auto"/>
        <w:rPr>
          <w:rFonts w:hint="eastAsia" w:ascii="宋体" w:hAnsi="宋体" w:eastAsia="宋体" w:cs="Lucida Sans Unicode"/>
          <w:b/>
          <w:sz w:val="28"/>
          <w:lang w:eastAsia="zh-CN"/>
        </w:rPr>
      </w:pPr>
      <w:r>
        <w:rPr>
          <w:rFonts w:ascii="宋体" w:hAnsi="宋体" w:cs="Lucida Sans Unicode"/>
          <w:b/>
          <w:sz w:val="28"/>
        </w:rPr>
        <w:t>致：</w:t>
      </w:r>
      <w:r>
        <w:rPr>
          <w:rFonts w:hint="eastAsia" w:ascii="宋体" w:hAnsi="宋体" w:cs="Lucida Sans Unicode"/>
          <w:b/>
          <w:sz w:val="28"/>
          <w:lang w:eastAsia="zh-CN"/>
        </w:rPr>
        <w:t>海南省发展和改革委员会</w:t>
      </w:r>
    </w:p>
    <w:p w14:paraId="3128CB7E">
      <w:pPr>
        <w:spacing w:before="100" w:beforeAutospacing="1" w:after="100" w:afterAutospacing="1" w:line="360" w:lineRule="auto"/>
        <w:ind w:firstLine="480" w:firstLineChars="200"/>
        <w:rPr>
          <w:rFonts w:ascii="宋体" w:hAnsi="宋体" w:cs="Lucida Sans Unicode"/>
          <w:sz w:val="24"/>
        </w:rPr>
      </w:pPr>
      <w:r>
        <w:rPr>
          <w:rFonts w:hint="eastAsia" w:ascii="宋体" w:hAnsi="宋体" w:cs="Lucida Sans Unicode"/>
          <w:sz w:val="24"/>
          <w:u w:val="single"/>
        </w:rPr>
        <w:t xml:space="preserve"> 法定代表人姓名 </w:t>
      </w:r>
      <w:r>
        <w:rPr>
          <w:rFonts w:hint="eastAsia" w:ascii="宋体" w:hAnsi="宋体" w:cs="Lucida Sans Unicode"/>
          <w:sz w:val="24"/>
        </w:rPr>
        <w:t>在我公司/单位担任</w:t>
      </w:r>
      <w:r>
        <w:rPr>
          <w:rFonts w:hint="eastAsia" w:ascii="宋体" w:hAnsi="宋体" w:cs="Lucida Sans Unicode"/>
          <w:sz w:val="24"/>
          <w:u w:val="single"/>
        </w:rPr>
        <w:t xml:space="preserve"> 职务名称 </w:t>
      </w:r>
      <w:r>
        <w:rPr>
          <w:rFonts w:hint="eastAsia" w:ascii="宋体" w:hAnsi="宋体" w:cs="Lucida Sans Unicode"/>
          <w:sz w:val="24"/>
        </w:rPr>
        <w:t>职务，是</w:t>
      </w:r>
      <w:r>
        <w:rPr>
          <w:rFonts w:hint="eastAsia" w:ascii="宋体" w:hAnsi="宋体" w:cs="Lucida Sans Unicode"/>
          <w:sz w:val="24"/>
          <w:u w:val="single"/>
        </w:rPr>
        <w:t xml:space="preserve">  公司全称  </w:t>
      </w:r>
      <w:r>
        <w:rPr>
          <w:rFonts w:hint="eastAsia" w:ascii="宋体" w:hAnsi="宋体" w:cs="Lucida Sans Unicode"/>
          <w:sz w:val="24"/>
        </w:rPr>
        <w:t>的法定代表人，拟将参加你单位组织的</w:t>
      </w:r>
      <w:r>
        <w:rPr>
          <w:rFonts w:hint="eastAsia" w:ascii="宋体" w:hAnsi="宋体" w:cs="Lucida Sans Unicode"/>
          <w:sz w:val="24"/>
          <w:u w:val="single"/>
        </w:rPr>
        <w:t xml:space="preserve"> </w:t>
      </w:r>
      <w:r>
        <w:rPr>
          <w:rFonts w:ascii="宋体" w:hAnsi="宋体" w:cs="Lucida Sans Unicode"/>
          <w:b/>
          <w:sz w:val="24"/>
          <w:u w:val="single"/>
        </w:rPr>
        <w:t>采购项目</w:t>
      </w:r>
      <w:r>
        <w:rPr>
          <w:rFonts w:hint="eastAsia" w:ascii="宋体" w:hAnsi="宋体" w:cs="Lucida Sans Unicode"/>
          <w:b/>
          <w:sz w:val="24"/>
          <w:u w:val="single"/>
        </w:rPr>
        <w:t xml:space="preserve">名称（项目编号:） </w:t>
      </w:r>
      <w:r>
        <w:rPr>
          <w:rFonts w:hint="eastAsia" w:ascii="宋体" w:hAnsi="宋体" w:cs="Lucida Sans Unicode"/>
          <w:sz w:val="24"/>
        </w:rPr>
        <w:t>的投标活动并签署相关文件。</w:t>
      </w:r>
    </w:p>
    <w:p w14:paraId="2AFB440D">
      <w:pPr>
        <w:spacing w:before="100" w:beforeAutospacing="1" w:after="100" w:afterAutospacing="1" w:line="360" w:lineRule="auto"/>
        <w:ind w:firstLine="480" w:firstLineChars="200"/>
        <w:rPr>
          <w:rFonts w:ascii="宋体" w:hAnsi="宋体" w:cs="Lucida Sans Unicode"/>
          <w:sz w:val="24"/>
        </w:rPr>
      </w:pPr>
      <w:r>
        <w:rPr>
          <w:rFonts w:hint="eastAsia" w:ascii="宋体" w:hAnsi="宋体" w:cs="Lucida Sans Unicode"/>
          <w:sz w:val="24"/>
        </w:rPr>
        <w:t>特此证明。</w:t>
      </w:r>
    </w:p>
    <w:p w14:paraId="4BD8175A">
      <w:pPr>
        <w:spacing w:line="360" w:lineRule="auto"/>
        <w:jc w:val="center"/>
        <w:rPr>
          <w:rFonts w:ascii="宋体" w:hAnsi="宋体" w:cs="Lucida Sans Unicode"/>
          <w:b/>
          <w:sz w:val="36"/>
          <w:szCs w:val="36"/>
        </w:rPr>
      </w:pPr>
      <w:r>
        <w:rPr>
          <w:rFonts w:ascii="宋体" w:hAnsi="宋体" w:cs="Lucida Sans Unicode"/>
          <w:kern w:val="0"/>
          <w:sz w:val="24"/>
        </w:rPr>
        <mc:AlternateContent>
          <mc:Choice Requires="wps">
            <w:drawing>
              <wp:anchor distT="0" distB="0" distL="114300" distR="114300" simplePos="0" relativeHeight="251659264" behindDoc="0" locked="0" layoutInCell="1" allowOverlap="1">
                <wp:simplePos x="0" y="0"/>
                <wp:positionH relativeFrom="column">
                  <wp:posOffset>454660</wp:posOffset>
                </wp:positionH>
                <wp:positionV relativeFrom="paragraph">
                  <wp:posOffset>300355</wp:posOffset>
                </wp:positionV>
                <wp:extent cx="4895850" cy="3011170"/>
                <wp:effectExtent l="6350" t="6350" r="8890" b="7620"/>
                <wp:wrapTight wrapText="bothSides">
                  <wp:wrapPolygon>
                    <wp:start x="20600" y="-2"/>
                    <wp:lineTo x="991" y="0"/>
                    <wp:lineTo x="0" y="1611"/>
                    <wp:lineTo x="0" y="3599"/>
                    <wp:lineTo x="0" y="18000"/>
                    <wp:lineTo x="0" y="19988"/>
                    <wp:lineTo x="991" y="21600"/>
                    <wp:lineTo x="20600" y="21602"/>
                    <wp:lineTo x="999" y="21602"/>
                    <wp:lineTo x="20608" y="21600"/>
                    <wp:lineTo x="21599" y="19988"/>
                    <wp:lineTo x="21599" y="18000"/>
                    <wp:lineTo x="21599" y="3599"/>
                    <wp:lineTo x="21599" y="1611"/>
                    <wp:lineTo x="20608" y="0"/>
                    <wp:lineTo x="999" y="-2"/>
                    <wp:lineTo x="20600" y="-2"/>
                  </wp:wrapPolygon>
                </wp:wrapTight>
                <wp:docPr id="2" name="圆角矩形 2"/>
                <wp:cNvGraphicFramePr/>
                <a:graphic xmlns:a="http://schemas.openxmlformats.org/drawingml/2006/main">
                  <a:graphicData uri="http://schemas.microsoft.com/office/word/2010/wordprocessingShape">
                    <wps:wsp>
                      <wps:cNvSpPr/>
                      <wps:spPr>
                        <a:xfrm>
                          <a:off x="0" y="0"/>
                          <a:ext cx="4895850" cy="3011170"/>
                        </a:xfrm>
                        <a:prstGeom prst="roundRect">
                          <a:avLst>
                            <a:gd name="adj" fmla="val 16667"/>
                          </a:avLst>
                        </a:prstGeom>
                        <a:solidFill>
                          <a:srgbClr val="FFFFFF"/>
                        </a:solidFill>
                        <a:ln w="12700" cap="flat" cmpd="sng">
                          <a:solidFill>
                            <a:srgbClr val="000000"/>
                          </a:solidFill>
                          <a:prstDash val="dash"/>
                          <a:headEnd type="none" w="med" len="med"/>
                          <a:tailEnd type="none" w="med" len="med"/>
                        </a:ln>
                        <a:effectLst/>
                      </wps:spPr>
                      <wps:txbx>
                        <w:txbxContent>
                          <w:p w14:paraId="2A2488B5">
                            <w:pPr>
                              <w:jc w:val="center"/>
                              <w:rPr>
                                <w:b/>
                              </w:rPr>
                            </w:pPr>
                          </w:p>
                          <w:p w14:paraId="1983A05E">
                            <w:pPr>
                              <w:jc w:val="center"/>
                              <w:rPr>
                                <w:b/>
                              </w:rPr>
                            </w:pPr>
                          </w:p>
                          <w:p w14:paraId="47CEC66F">
                            <w:pPr>
                              <w:jc w:val="center"/>
                              <w:rPr>
                                <w:b/>
                              </w:rPr>
                            </w:pPr>
                            <w:r>
                              <w:rPr>
                                <w:rFonts w:hint="eastAsia"/>
                                <w:b/>
                              </w:rPr>
                              <w:t>(</w:t>
                            </w:r>
                            <w:r>
                              <w:rPr>
                                <w:b/>
                              </w:rPr>
                              <w:t>*此处粘贴法定代表人的身份证</w:t>
                            </w:r>
                            <w:r>
                              <w:rPr>
                                <w:rFonts w:hint="eastAsia"/>
                                <w:b/>
                              </w:rPr>
                              <w:t>正反面</w:t>
                            </w:r>
                            <w:r>
                              <w:rPr>
                                <w:b/>
                              </w:rPr>
                              <w:t>图像或复印件</w:t>
                            </w:r>
                            <w:r>
                              <w:rPr>
                                <w:rFonts w:hint="eastAsia"/>
                                <w:b/>
                              </w:rPr>
                              <w:t>)</w:t>
                            </w:r>
                          </w:p>
                        </w:txbxContent>
                      </wps:txbx>
                      <wps:bodyPr upright="1"/>
                    </wps:wsp>
                  </a:graphicData>
                </a:graphic>
              </wp:anchor>
            </w:drawing>
          </mc:Choice>
          <mc:Fallback>
            <w:pict>
              <v:roundrect id="_x0000_s1026" o:spid="_x0000_s1026" o:spt="2" style="position:absolute;left:0pt;margin-left:35.8pt;margin-top:23.65pt;height:237.1pt;width:385.5pt;mso-wrap-distance-left:9pt;mso-wrap-distance-right:9pt;z-index:251659264;mso-width-relative:page;mso-height-relative:page;" fillcolor="#FFFFFF" filled="t" stroked="t" coordsize="21600,21600" wrapcoords="20600 -2 991 0 0 1611 0 3599 0 18000 0 19988 991 21600 20600 21602 999 21602 20608 21600 21599 19988 21599 18000 21599 3599 21599 1611 20608 0 999 -2 20600 -2" arcsize="0.166666666666667" o:gfxdata="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B05lSfZAAAACQEAAA8AAAAAAAAAAQAgAAAAIgAAAGRycy9kb3ducmV2LnhtbFBLAQIU&#10;ABQAAAAIAIdO4kD7ZXqHKwIAAGUEAAAOAAAAAAAAAAEAIAAAACgBAABkcnMvZTJvRG9jLnhtbFBL&#10;BQYAAAAABgAGAFkBAADFBQAAAAA=&#10;">
                <v:fill on="t" focussize="0,0"/>
                <v:stroke weight="1pt" color="#000000" joinstyle="round" dashstyle="dash"/>
                <v:imagedata o:title=""/>
                <o:lock v:ext="edit" aspectratio="f"/>
                <v:textbox>
                  <w:txbxContent>
                    <w:p w14:paraId="2A2488B5">
                      <w:pPr>
                        <w:jc w:val="center"/>
                        <w:rPr>
                          <w:b/>
                        </w:rPr>
                      </w:pPr>
                    </w:p>
                    <w:p w14:paraId="1983A05E">
                      <w:pPr>
                        <w:jc w:val="center"/>
                        <w:rPr>
                          <w:b/>
                        </w:rPr>
                      </w:pPr>
                    </w:p>
                    <w:p w14:paraId="47CEC66F">
                      <w:pPr>
                        <w:jc w:val="center"/>
                        <w:rPr>
                          <w:b/>
                        </w:rPr>
                      </w:pPr>
                      <w:r>
                        <w:rPr>
                          <w:rFonts w:hint="eastAsia"/>
                          <w:b/>
                        </w:rPr>
                        <w:t>(</w:t>
                      </w:r>
                      <w:r>
                        <w:rPr>
                          <w:b/>
                        </w:rPr>
                        <w:t>*此处粘贴法定代表人的身份证</w:t>
                      </w:r>
                      <w:r>
                        <w:rPr>
                          <w:rFonts w:hint="eastAsia"/>
                          <w:b/>
                        </w:rPr>
                        <w:t>正反面</w:t>
                      </w:r>
                      <w:r>
                        <w:rPr>
                          <w:b/>
                        </w:rPr>
                        <w:t>图像或复印件</w:t>
                      </w:r>
                      <w:r>
                        <w:rPr>
                          <w:rFonts w:hint="eastAsia"/>
                          <w:b/>
                        </w:rPr>
                        <w:t>)</w:t>
                      </w:r>
                    </w:p>
                  </w:txbxContent>
                </v:textbox>
                <w10:wrap type="tight"/>
              </v:roundrect>
            </w:pict>
          </mc:Fallback>
        </mc:AlternateContent>
      </w:r>
    </w:p>
    <w:p w14:paraId="1C3C815B">
      <w:pPr>
        <w:spacing w:beforeLines="100" w:afterLines="100" w:line="480" w:lineRule="exact"/>
        <w:jc w:val="center"/>
        <w:rPr>
          <w:rFonts w:ascii="宋体" w:hAnsi="宋体" w:cs="Lucida Sans Unicode"/>
          <w:b/>
          <w:sz w:val="36"/>
          <w:szCs w:val="36"/>
        </w:rPr>
      </w:pPr>
    </w:p>
    <w:p w14:paraId="62364A1B">
      <w:pPr>
        <w:spacing w:line="480" w:lineRule="exact"/>
        <w:jc w:val="right"/>
        <w:rPr>
          <w:rFonts w:ascii="宋体" w:hAnsi="宋体" w:cs="Lucida Sans Unicode"/>
          <w:kern w:val="0"/>
          <w:sz w:val="24"/>
        </w:rPr>
      </w:pPr>
    </w:p>
    <w:p w14:paraId="3744D853">
      <w:pPr>
        <w:spacing w:line="480" w:lineRule="exact"/>
        <w:jc w:val="right"/>
        <w:rPr>
          <w:rFonts w:ascii="宋体" w:hAnsi="宋体" w:cs="Lucida Sans Unicode"/>
          <w:kern w:val="0"/>
          <w:sz w:val="24"/>
        </w:rPr>
      </w:pPr>
    </w:p>
    <w:p w14:paraId="40ED7069">
      <w:pPr>
        <w:spacing w:line="480" w:lineRule="exact"/>
        <w:ind w:right="240"/>
        <w:jc w:val="right"/>
        <w:rPr>
          <w:rFonts w:ascii="宋体" w:hAnsi="宋体" w:cs="Lucida Sans Unicode"/>
          <w:kern w:val="0"/>
          <w:sz w:val="24"/>
        </w:rPr>
      </w:pPr>
    </w:p>
    <w:p w14:paraId="1FA9C80E">
      <w:pPr>
        <w:spacing w:line="480" w:lineRule="exact"/>
        <w:ind w:right="240"/>
        <w:jc w:val="right"/>
        <w:rPr>
          <w:rFonts w:ascii="宋体" w:hAnsi="宋体" w:cs="Lucida Sans Unicode"/>
          <w:kern w:val="0"/>
          <w:sz w:val="24"/>
        </w:rPr>
      </w:pPr>
    </w:p>
    <w:p w14:paraId="65EC7D61">
      <w:pPr>
        <w:spacing w:line="480" w:lineRule="exact"/>
        <w:ind w:right="240"/>
        <w:jc w:val="right"/>
        <w:rPr>
          <w:rFonts w:ascii="宋体" w:hAnsi="宋体" w:cs="Lucida Sans Unicode"/>
          <w:kern w:val="0"/>
          <w:sz w:val="24"/>
        </w:rPr>
      </w:pPr>
    </w:p>
    <w:p w14:paraId="078E54AE">
      <w:pPr>
        <w:spacing w:line="480" w:lineRule="exact"/>
        <w:ind w:right="240"/>
        <w:jc w:val="right"/>
        <w:rPr>
          <w:rFonts w:ascii="宋体" w:hAnsi="宋体" w:cs="Lucida Sans Unicode"/>
          <w:kern w:val="0"/>
          <w:sz w:val="24"/>
        </w:rPr>
      </w:pPr>
    </w:p>
    <w:p w14:paraId="4BB5ECE1">
      <w:pPr>
        <w:spacing w:before="100" w:beforeAutospacing="1" w:after="100" w:afterAutospacing="1" w:line="360" w:lineRule="auto"/>
        <w:ind w:left="1050" w:leftChars="500" w:firstLine="482" w:firstLineChars="200"/>
        <w:rPr>
          <w:rFonts w:ascii="宋体" w:hAnsi="宋体" w:cs="Lucida Sans Unicode"/>
          <w:b/>
          <w:sz w:val="24"/>
        </w:rPr>
      </w:pPr>
    </w:p>
    <w:p w14:paraId="0E14B0C2">
      <w:pPr>
        <w:spacing w:before="100" w:beforeAutospacing="1" w:after="100" w:afterAutospacing="1" w:line="360" w:lineRule="auto"/>
        <w:ind w:left="1050" w:leftChars="500" w:firstLine="482" w:firstLineChars="200"/>
        <w:rPr>
          <w:rFonts w:ascii="宋体" w:hAnsi="宋体" w:cs="Lucida Sans Unicode"/>
          <w:b/>
          <w:sz w:val="24"/>
        </w:rPr>
      </w:pPr>
    </w:p>
    <w:p w14:paraId="3E903264">
      <w:pPr>
        <w:spacing w:before="100" w:beforeAutospacing="1" w:after="100" w:afterAutospacing="1" w:line="360" w:lineRule="auto"/>
        <w:ind w:left="1050" w:leftChars="500" w:firstLine="482" w:firstLineChars="200"/>
        <w:rPr>
          <w:rFonts w:ascii="宋体" w:hAnsi="宋体" w:cs="Lucida Sans Unicode"/>
          <w:b/>
          <w:sz w:val="24"/>
          <w:u w:val="single"/>
        </w:rPr>
      </w:pPr>
      <w:r>
        <w:rPr>
          <w:rFonts w:hint="eastAsia" w:ascii="宋体" w:hAnsi="宋体" w:cs="Lucida Sans Unicode"/>
          <w:b/>
          <w:sz w:val="24"/>
        </w:rPr>
        <w:t>法定代表人：</w:t>
      </w:r>
      <w:r>
        <w:rPr>
          <w:rFonts w:hint="eastAsia" w:ascii="宋体" w:hAnsi="宋体" w:cs="Lucida Sans Unicode"/>
          <w:b/>
          <w:sz w:val="24"/>
          <w:u w:val="single"/>
        </w:rPr>
        <w:t xml:space="preserve">(签名)     </w:t>
      </w:r>
      <w:r>
        <w:rPr>
          <w:rFonts w:hint="eastAsia" w:ascii="宋体" w:hAnsi="宋体" w:cs="Lucida Sans Unicode"/>
          <w:b/>
          <w:sz w:val="24"/>
        </w:rPr>
        <w:t xml:space="preserve">  签署日期：</w:t>
      </w:r>
    </w:p>
    <w:p w14:paraId="608B3B01">
      <w:pPr>
        <w:spacing w:before="100" w:beforeAutospacing="1" w:after="100" w:afterAutospacing="1" w:line="360" w:lineRule="auto"/>
        <w:ind w:left="1050" w:leftChars="500" w:firstLine="482" w:firstLineChars="200"/>
        <w:rPr>
          <w:rFonts w:ascii="宋体" w:hAnsi="宋体" w:cs="Lucida Sans Unicode"/>
          <w:b/>
          <w:sz w:val="24"/>
          <w:u w:val="single"/>
        </w:rPr>
      </w:pPr>
      <w:r>
        <w:rPr>
          <w:rFonts w:hint="eastAsia" w:ascii="宋体" w:hAnsi="宋体" w:cs="Lucida Sans Unicode"/>
          <w:b/>
          <w:sz w:val="24"/>
        </w:rPr>
        <w:t>投标单位：</w:t>
      </w:r>
      <w:r>
        <w:rPr>
          <w:rFonts w:hint="eastAsia" w:ascii="宋体" w:hAnsi="宋体" w:cs="Lucida Sans Unicode"/>
          <w:b/>
          <w:sz w:val="24"/>
          <w:u w:val="single"/>
        </w:rPr>
        <w:t xml:space="preserve">（加盖公章）                                  </w:t>
      </w:r>
    </w:p>
    <w:p w14:paraId="629D59A6">
      <w:pPr>
        <w:pStyle w:val="28"/>
      </w:pPr>
    </w:p>
    <w:p w14:paraId="47D76D92">
      <w:pPr>
        <w:jc w:val="center"/>
        <w:rPr>
          <w:rFonts w:ascii="宋体" w:hAnsi="宋体" w:cs="Lucida Sans Unicode"/>
          <w:b/>
          <w:sz w:val="44"/>
          <w:szCs w:val="44"/>
        </w:rPr>
      </w:pPr>
      <w:r>
        <w:rPr>
          <w:rFonts w:hint="eastAsia" w:ascii="宋体" w:hAnsi="宋体" w:cs="Lucida Sans Unicode"/>
          <w:b/>
          <w:sz w:val="44"/>
          <w:szCs w:val="44"/>
        </w:rPr>
        <w:t>法定代表人授权委托书</w:t>
      </w:r>
    </w:p>
    <w:p w14:paraId="1AF25A91">
      <w:pPr>
        <w:spacing w:line="360" w:lineRule="auto"/>
        <w:jc w:val="center"/>
        <w:rPr>
          <w:rFonts w:ascii="宋体" w:hAnsi="宋体" w:cs="Lucida Sans Unicode"/>
          <w:sz w:val="24"/>
        </w:rPr>
      </w:pPr>
      <w:r>
        <w:rPr>
          <w:rFonts w:hint="eastAsia" w:ascii="宋体" w:hAnsi="宋体" w:cs="Lucida Sans Unicode"/>
          <w:sz w:val="24"/>
        </w:rPr>
        <w:t>（非法定代表人参加投标的，出具此授权委托书；若联合体投标，牵头单位提供）</w:t>
      </w:r>
    </w:p>
    <w:p w14:paraId="08757DC3">
      <w:pPr>
        <w:spacing w:line="360" w:lineRule="auto"/>
        <w:ind w:firstLine="480" w:firstLineChars="200"/>
        <w:rPr>
          <w:rFonts w:ascii="宋体" w:hAnsi="宋体" w:cs="Lucida Sans Unicode"/>
          <w:sz w:val="24"/>
        </w:rPr>
      </w:pPr>
    </w:p>
    <w:p w14:paraId="090C9C4A">
      <w:pPr>
        <w:spacing w:afterLines="50" w:line="360" w:lineRule="auto"/>
        <w:rPr>
          <w:rFonts w:hint="eastAsia" w:ascii="宋体" w:hAnsi="宋体" w:eastAsia="宋体" w:cs="Lucida Sans Unicode"/>
          <w:b/>
          <w:sz w:val="24"/>
          <w:lang w:eastAsia="zh-CN"/>
        </w:rPr>
      </w:pPr>
      <w:r>
        <w:rPr>
          <w:rFonts w:ascii="宋体" w:hAnsi="宋体" w:cs="Lucida Sans Unicode"/>
          <w:b/>
          <w:sz w:val="24"/>
        </w:rPr>
        <w:t>致：</w:t>
      </w:r>
      <w:r>
        <w:rPr>
          <w:rFonts w:hint="eastAsia" w:ascii="宋体" w:hAnsi="宋体" w:cs="Lucida Sans Unicode"/>
          <w:b/>
          <w:sz w:val="24"/>
          <w:lang w:eastAsia="zh-CN"/>
        </w:rPr>
        <w:t>海南省发展和改革委员会</w:t>
      </w:r>
    </w:p>
    <w:p w14:paraId="54F440B6">
      <w:pPr>
        <w:spacing w:after="100" w:afterAutospacing="1" w:line="360" w:lineRule="auto"/>
        <w:ind w:firstLine="600" w:firstLineChars="250"/>
        <w:rPr>
          <w:rFonts w:ascii="宋体" w:hAnsi="宋体" w:cs="Lucida Sans Unicode"/>
          <w:sz w:val="24"/>
        </w:rPr>
      </w:pPr>
      <w:r>
        <w:rPr>
          <w:rFonts w:ascii="宋体" w:hAnsi="宋体" w:cs="Lucida Sans Unicode"/>
          <w:sz w:val="24"/>
        </w:rPr>
        <w:t>本授权书宣告：</w:t>
      </w:r>
      <w:r>
        <w:rPr>
          <w:rFonts w:hint="eastAsia" w:ascii="宋体" w:hAnsi="宋体" w:cs="Lucida Sans Unicode"/>
          <w:sz w:val="24"/>
          <w:u w:val="single"/>
        </w:rPr>
        <w:t xml:space="preserve">   投标人</w:t>
      </w:r>
      <w:r>
        <w:rPr>
          <w:rFonts w:ascii="宋体" w:hAnsi="宋体" w:cs="Lucida Sans Unicode"/>
          <w:sz w:val="24"/>
          <w:u w:val="single"/>
        </w:rPr>
        <w:t>公司全称</w:t>
      </w:r>
      <w:r>
        <w:rPr>
          <w:rFonts w:ascii="宋体" w:hAnsi="宋体" w:cs="Lucida Sans Unicode"/>
          <w:sz w:val="24"/>
        </w:rPr>
        <w:t>之</w:t>
      </w:r>
      <w:r>
        <w:rPr>
          <w:rFonts w:ascii="宋体" w:hAnsi="宋体" w:cs="Lucida Sans Unicode"/>
          <w:sz w:val="24"/>
          <w:u w:val="single"/>
        </w:rPr>
        <w:t>法定代表人姓名</w:t>
      </w:r>
      <w:r>
        <w:rPr>
          <w:rFonts w:hint="eastAsia" w:ascii="宋体" w:hAnsi="宋体" w:cs="Lucida Sans Unicode"/>
          <w:sz w:val="24"/>
          <w:u w:val="single"/>
        </w:rPr>
        <w:t xml:space="preserve"> (</w:t>
      </w:r>
      <w:r>
        <w:rPr>
          <w:rFonts w:ascii="宋体" w:hAnsi="宋体" w:cs="Lucida Sans Unicode"/>
          <w:sz w:val="24"/>
          <w:u w:val="single"/>
        </w:rPr>
        <w:t>职务）</w:t>
      </w:r>
      <w:r>
        <w:rPr>
          <w:rFonts w:ascii="宋体" w:hAnsi="宋体" w:cs="Lucida Sans Unicode"/>
          <w:sz w:val="24"/>
        </w:rPr>
        <w:t>合法地代表我公司，授权</w:t>
      </w:r>
      <w:r>
        <w:rPr>
          <w:rFonts w:hint="eastAsia" w:ascii="宋体" w:hAnsi="宋体" w:cs="Lucida Sans Unicode"/>
          <w:sz w:val="24"/>
          <w:u w:val="single"/>
        </w:rPr>
        <w:t xml:space="preserve"> 被授权人</w:t>
      </w:r>
      <w:r>
        <w:rPr>
          <w:rFonts w:ascii="宋体" w:hAnsi="宋体" w:cs="Lucida Sans Unicode"/>
          <w:sz w:val="24"/>
          <w:u w:val="single"/>
        </w:rPr>
        <w:t>姓名（职务）</w:t>
      </w:r>
      <w:r>
        <w:rPr>
          <w:rFonts w:hint="eastAsia" w:ascii="宋体" w:hAnsi="宋体" w:cs="Lucida Sans Unicode"/>
          <w:sz w:val="24"/>
          <w:u w:val="single"/>
        </w:rPr>
        <w:t xml:space="preserve"> </w:t>
      </w:r>
      <w:r>
        <w:rPr>
          <w:rFonts w:ascii="宋体" w:hAnsi="宋体" w:cs="Lucida Sans Unicode"/>
          <w:sz w:val="24"/>
        </w:rPr>
        <w:t>为我</w:t>
      </w:r>
      <w:r>
        <w:rPr>
          <w:rFonts w:hint="eastAsia" w:ascii="宋体" w:hAnsi="宋体" w:cs="Lucida Sans Unicode"/>
          <w:sz w:val="24"/>
        </w:rPr>
        <w:t>公司的投标</w:t>
      </w:r>
      <w:r>
        <w:rPr>
          <w:rFonts w:ascii="宋体" w:hAnsi="宋体" w:cs="Lucida Sans Unicode"/>
          <w:sz w:val="24"/>
        </w:rPr>
        <w:t>代理人，该代理人有权在</w:t>
      </w:r>
      <w:r>
        <w:rPr>
          <w:rFonts w:ascii="宋体" w:hAnsi="宋体" w:cs="Lucida Sans Unicode"/>
          <w:b/>
          <w:sz w:val="24"/>
          <w:u w:val="single"/>
        </w:rPr>
        <w:t>采购项目</w:t>
      </w:r>
      <w:r>
        <w:rPr>
          <w:rFonts w:hint="eastAsia" w:ascii="宋体" w:hAnsi="宋体" w:cs="Lucida Sans Unicode"/>
          <w:b/>
          <w:sz w:val="24"/>
          <w:u w:val="single"/>
        </w:rPr>
        <w:t xml:space="preserve">名称（项目编号:） </w:t>
      </w:r>
      <w:r>
        <w:rPr>
          <w:rFonts w:ascii="宋体" w:hAnsi="宋体" w:cs="Lucida Sans Unicode"/>
          <w:sz w:val="24"/>
        </w:rPr>
        <w:t>的</w:t>
      </w:r>
      <w:r>
        <w:rPr>
          <w:rFonts w:hint="eastAsia" w:ascii="宋体" w:hAnsi="宋体" w:cs="Lucida Sans Unicode"/>
          <w:sz w:val="24"/>
        </w:rPr>
        <w:t>投标</w:t>
      </w:r>
      <w:r>
        <w:rPr>
          <w:rFonts w:ascii="宋体" w:hAnsi="宋体" w:cs="Lucida Sans Unicode"/>
          <w:sz w:val="24"/>
        </w:rPr>
        <w:t>活动中，以我公司的名义签署</w:t>
      </w:r>
      <w:r>
        <w:rPr>
          <w:rFonts w:hint="eastAsia" w:ascii="宋体" w:hAnsi="宋体" w:cs="Lucida Sans Unicode"/>
          <w:sz w:val="24"/>
        </w:rPr>
        <w:t>投标文件</w:t>
      </w:r>
      <w:r>
        <w:rPr>
          <w:rFonts w:ascii="宋体" w:hAnsi="宋体" w:cs="Lucida Sans Unicode"/>
          <w:sz w:val="24"/>
        </w:rPr>
        <w:t>、签订合同协议书等一切与此活动相关的文件，及处理</w:t>
      </w:r>
      <w:r>
        <w:rPr>
          <w:rFonts w:hint="eastAsia" w:ascii="宋体" w:hAnsi="宋体" w:cs="Lucida Sans Unicode"/>
          <w:sz w:val="24"/>
        </w:rPr>
        <w:t>投标</w:t>
      </w:r>
      <w:r>
        <w:rPr>
          <w:rFonts w:ascii="宋体" w:hAnsi="宋体" w:cs="Lucida Sans Unicode"/>
          <w:sz w:val="24"/>
        </w:rPr>
        <w:t>过程中其他相关事项。</w:t>
      </w:r>
    </w:p>
    <w:p w14:paraId="7D887127">
      <w:pPr>
        <w:spacing w:after="100" w:afterAutospacing="1" w:line="360" w:lineRule="auto"/>
        <w:ind w:firstLine="480" w:firstLineChars="200"/>
        <w:rPr>
          <w:rFonts w:ascii="宋体" w:hAnsi="宋体" w:cs="Lucida Sans Unicode"/>
          <w:sz w:val="24"/>
        </w:rPr>
      </w:pPr>
      <w:r>
        <w:rPr>
          <w:rFonts w:hint="eastAsia" w:ascii="宋体" w:hAnsi="宋体" w:cs="Lucida Sans Unicode"/>
          <w:sz w:val="24"/>
        </w:rPr>
        <w:t>本授权书无转授权，并于签字盖章日生效，特此声明。</w:t>
      </w:r>
    </w:p>
    <w:p w14:paraId="31AF6676">
      <w:pPr>
        <w:spacing w:line="360" w:lineRule="auto"/>
        <w:jc w:val="center"/>
        <w:rPr>
          <w:rFonts w:ascii="宋体" w:hAnsi="宋体" w:cs="Lucida Sans Unicode"/>
          <w:sz w:val="24"/>
        </w:rPr>
      </w:pPr>
      <w:r>
        <w:rPr>
          <w:rFonts w:ascii="宋体" w:hAnsi="宋体" w:cs="Lucida Sans Unicode"/>
          <w:kern w:val="0"/>
          <w:sz w:val="24"/>
        </w:rPr>
        <mc:AlternateContent>
          <mc:Choice Requires="wps">
            <w:drawing>
              <wp:anchor distT="0" distB="0" distL="114300" distR="114300" simplePos="0" relativeHeight="251660288" behindDoc="0" locked="0" layoutInCell="1" allowOverlap="1">
                <wp:simplePos x="0" y="0"/>
                <wp:positionH relativeFrom="column">
                  <wp:posOffset>-331470</wp:posOffset>
                </wp:positionH>
                <wp:positionV relativeFrom="paragraph">
                  <wp:posOffset>168275</wp:posOffset>
                </wp:positionV>
                <wp:extent cx="2771775" cy="2336800"/>
                <wp:effectExtent l="6350" t="6350" r="6985" b="7620"/>
                <wp:wrapTight wrapText="bothSides">
                  <wp:wrapPolygon>
                    <wp:start x="20232" y="-2"/>
                    <wp:lineTo x="1358" y="0"/>
                    <wp:lineTo x="0" y="1611"/>
                    <wp:lineTo x="0" y="3600"/>
                    <wp:lineTo x="0" y="18000"/>
                    <wp:lineTo x="0" y="19988"/>
                    <wp:lineTo x="1358" y="21600"/>
                    <wp:lineTo x="20232" y="21602"/>
                    <wp:lineTo x="1366" y="21602"/>
                    <wp:lineTo x="20240" y="21600"/>
                    <wp:lineTo x="21599" y="19988"/>
                    <wp:lineTo x="21599" y="18000"/>
                    <wp:lineTo x="21599" y="3600"/>
                    <wp:lineTo x="21599" y="1611"/>
                    <wp:lineTo x="20240" y="0"/>
                    <wp:lineTo x="1366" y="-2"/>
                    <wp:lineTo x="20232" y="-2"/>
                  </wp:wrapPolygon>
                </wp:wrapTight>
                <wp:docPr id="4" name="自选图形 8"/>
                <wp:cNvGraphicFramePr/>
                <a:graphic xmlns:a="http://schemas.openxmlformats.org/drawingml/2006/main">
                  <a:graphicData uri="http://schemas.microsoft.com/office/word/2010/wordprocessingShape">
                    <wps:wsp>
                      <wps:cNvSpPr/>
                      <wps:spPr>
                        <a:xfrm>
                          <a:off x="0" y="0"/>
                          <a:ext cx="2771775" cy="2336800"/>
                        </a:xfrm>
                        <a:prstGeom prst="roundRect">
                          <a:avLst>
                            <a:gd name="adj" fmla="val 16667"/>
                          </a:avLst>
                        </a:prstGeom>
                        <a:solidFill>
                          <a:srgbClr val="FFFFFF"/>
                        </a:solidFill>
                        <a:ln w="12700" cap="flat" cmpd="sng">
                          <a:solidFill>
                            <a:srgbClr val="000000"/>
                          </a:solidFill>
                          <a:prstDash val="dash"/>
                          <a:headEnd type="none" w="med" len="med"/>
                          <a:tailEnd type="none" w="med" len="med"/>
                        </a:ln>
                        <a:effectLst/>
                      </wps:spPr>
                      <wps:txbx>
                        <w:txbxContent>
                          <w:p w14:paraId="4EB843CD">
                            <w:pPr>
                              <w:jc w:val="center"/>
                              <w:rPr>
                                <w:b/>
                              </w:rPr>
                            </w:pPr>
                          </w:p>
                          <w:p w14:paraId="5786F694">
                            <w:pPr>
                              <w:jc w:val="center"/>
                              <w:rPr>
                                <w:b/>
                              </w:rPr>
                            </w:pPr>
                          </w:p>
                          <w:p w14:paraId="6A17777E">
                            <w:pPr>
                              <w:jc w:val="center"/>
                              <w:rPr>
                                <w:b/>
                              </w:rPr>
                            </w:pPr>
                            <w:r>
                              <w:rPr>
                                <w:rFonts w:hint="eastAsia"/>
                                <w:b/>
                              </w:rPr>
                              <w:t>(</w:t>
                            </w:r>
                            <w:r>
                              <w:rPr>
                                <w:b/>
                              </w:rPr>
                              <w:t>*此处粘贴法定代表人的身份证</w:t>
                            </w:r>
                            <w:r>
                              <w:rPr>
                                <w:rFonts w:hint="eastAsia"/>
                                <w:b/>
                              </w:rPr>
                              <w:t>正反面</w:t>
                            </w:r>
                            <w:r>
                              <w:rPr>
                                <w:b/>
                              </w:rPr>
                              <w:t>图像或复印件</w:t>
                            </w:r>
                            <w:r>
                              <w:rPr>
                                <w:rFonts w:hint="eastAsia"/>
                                <w:b/>
                              </w:rPr>
                              <w:t>)</w:t>
                            </w:r>
                          </w:p>
                        </w:txbxContent>
                      </wps:txbx>
                      <wps:bodyPr upright="1"/>
                    </wps:wsp>
                  </a:graphicData>
                </a:graphic>
              </wp:anchor>
            </w:drawing>
          </mc:Choice>
          <mc:Fallback>
            <w:pict>
              <v:roundrect id="自选图形 8" o:spid="_x0000_s1026" o:spt="2" style="position:absolute;left:0pt;margin-left:-26.1pt;margin-top:13.25pt;height:184pt;width:218.25pt;mso-wrap-distance-left:9pt;mso-wrap-distance-right:9pt;z-index:251660288;mso-width-relative:page;mso-height-relative:page;" fillcolor="#FFFFFF" filled="t" stroked="t" coordsize="21600,21600" wrapcoords="20232 -2 1358 0 0 1611 0 3600 0 18000 0 19988 1358 21600 20232 21602 1366 21602 20240 21600 21599 19988 21599 18000 21599 3600 21599 1611 20240 0 1366 -2 20232 -2" arcsize="0.166666666666667" o:gfxdata="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ATkp1s2gAAAAoBAAAPAAAAAAAAAAEAIAAAACIAAABkcnMvZG93bnJldi54bWxQSwEC&#10;FAAUAAAACACHTuJAEHatlSsCAABlBAAADgAAAAAAAAABACAAAAApAQAAZHJzL2Uyb0RvYy54bWxQ&#10;SwUGAAAAAAYABgBZAQAAxgUAAAAA&#10;">
                <v:fill on="t" focussize="0,0"/>
                <v:stroke weight="1pt" color="#000000" joinstyle="round" dashstyle="dash"/>
                <v:imagedata o:title=""/>
                <o:lock v:ext="edit" aspectratio="f"/>
                <v:textbox>
                  <w:txbxContent>
                    <w:p w14:paraId="4EB843CD">
                      <w:pPr>
                        <w:jc w:val="center"/>
                        <w:rPr>
                          <w:b/>
                        </w:rPr>
                      </w:pPr>
                    </w:p>
                    <w:p w14:paraId="5786F694">
                      <w:pPr>
                        <w:jc w:val="center"/>
                        <w:rPr>
                          <w:b/>
                        </w:rPr>
                      </w:pPr>
                    </w:p>
                    <w:p w14:paraId="6A17777E">
                      <w:pPr>
                        <w:jc w:val="center"/>
                        <w:rPr>
                          <w:b/>
                        </w:rPr>
                      </w:pPr>
                      <w:r>
                        <w:rPr>
                          <w:rFonts w:hint="eastAsia"/>
                          <w:b/>
                        </w:rPr>
                        <w:t>(</w:t>
                      </w:r>
                      <w:r>
                        <w:rPr>
                          <w:b/>
                        </w:rPr>
                        <w:t>*此处粘贴法定代表人的身份证</w:t>
                      </w:r>
                      <w:r>
                        <w:rPr>
                          <w:rFonts w:hint="eastAsia"/>
                          <w:b/>
                        </w:rPr>
                        <w:t>正反面</w:t>
                      </w:r>
                      <w:r>
                        <w:rPr>
                          <w:b/>
                        </w:rPr>
                        <w:t>图像或复印件</w:t>
                      </w:r>
                      <w:r>
                        <w:rPr>
                          <w:rFonts w:hint="eastAsia"/>
                          <w:b/>
                        </w:rPr>
                        <w:t>)</w:t>
                      </w:r>
                    </w:p>
                  </w:txbxContent>
                </v:textbox>
                <w10:wrap type="tight"/>
              </v:roundrect>
            </w:pict>
          </mc:Fallback>
        </mc:AlternateContent>
      </w:r>
      <w:r>
        <w:rPr>
          <w:rFonts w:ascii="宋体" w:hAnsi="宋体" w:cs="Lucida Sans Unicode"/>
          <w:sz w:val="24"/>
        </w:rPr>
        <mc:AlternateContent>
          <mc:Choice Requires="wps">
            <w:drawing>
              <wp:anchor distT="0" distB="0" distL="114300" distR="114300" simplePos="0" relativeHeight="251660288" behindDoc="1" locked="0" layoutInCell="1" allowOverlap="1">
                <wp:simplePos x="0" y="0"/>
                <wp:positionH relativeFrom="column">
                  <wp:posOffset>2900045</wp:posOffset>
                </wp:positionH>
                <wp:positionV relativeFrom="paragraph">
                  <wp:posOffset>167005</wp:posOffset>
                </wp:positionV>
                <wp:extent cx="2732405" cy="2313305"/>
                <wp:effectExtent l="6350" t="6350" r="8255" b="8255"/>
                <wp:wrapTight wrapText="bothSides">
                  <wp:wrapPolygon>
                    <wp:start x="20227" y="-2"/>
                    <wp:lineTo x="1364" y="0"/>
                    <wp:lineTo x="0" y="1611"/>
                    <wp:lineTo x="0" y="3599"/>
                    <wp:lineTo x="0" y="17999"/>
                    <wp:lineTo x="0" y="19988"/>
                    <wp:lineTo x="1364" y="21599"/>
                    <wp:lineTo x="20227" y="21601"/>
                    <wp:lineTo x="1372" y="21601"/>
                    <wp:lineTo x="20235" y="21599"/>
                    <wp:lineTo x="21599" y="19988"/>
                    <wp:lineTo x="21599" y="17999"/>
                    <wp:lineTo x="21599" y="3599"/>
                    <wp:lineTo x="21599" y="1611"/>
                    <wp:lineTo x="20235" y="0"/>
                    <wp:lineTo x="1372" y="-2"/>
                    <wp:lineTo x="20227" y="-2"/>
                  </wp:wrapPolygon>
                </wp:wrapTight>
                <wp:docPr id="5" name="自选图形 9"/>
                <wp:cNvGraphicFramePr/>
                <a:graphic xmlns:a="http://schemas.openxmlformats.org/drawingml/2006/main">
                  <a:graphicData uri="http://schemas.microsoft.com/office/word/2010/wordprocessingShape">
                    <wps:wsp>
                      <wps:cNvSpPr/>
                      <wps:spPr>
                        <a:xfrm>
                          <a:off x="0" y="0"/>
                          <a:ext cx="2732405" cy="2313305"/>
                        </a:xfrm>
                        <a:prstGeom prst="roundRect">
                          <a:avLst>
                            <a:gd name="adj" fmla="val 16667"/>
                          </a:avLst>
                        </a:prstGeom>
                        <a:solidFill>
                          <a:srgbClr val="FFFFFF"/>
                        </a:solidFill>
                        <a:ln w="12700" cap="flat" cmpd="sng">
                          <a:solidFill>
                            <a:srgbClr val="000000"/>
                          </a:solidFill>
                          <a:prstDash val="dash"/>
                          <a:headEnd type="none" w="med" len="med"/>
                          <a:tailEnd type="none" w="med" len="med"/>
                        </a:ln>
                        <a:effectLst/>
                      </wps:spPr>
                      <wps:txbx>
                        <w:txbxContent>
                          <w:p w14:paraId="599B745A">
                            <w:pPr>
                              <w:jc w:val="center"/>
                              <w:rPr>
                                <w:b/>
                              </w:rPr>
                            </w:pPr>
                          </w:p>
                          <w:p w14:paraId="64AE0D5C">
                            <w:pPr>
                              <w:jc w:val="center"/>
                              <w:rPr>
                                <w:b/>
                              </w:rPr>
                            </w:pPr>
                          </w:p>
                          <w:p w14:paraId="2B531B1B">
                            <w:pPr>
                              <w:jc w:val="center"/>
                              <w:rPr>
                                <w:b/>
                              </w:rPr>
                            </w:pPr>
                            <w:r>
                              <w:rPr>
                                <w:rFonts w:hint="eastAsia"/>
                                <w:b/>
                              </w:rPr>
                              <w:t>(</w:t>
                            </w:r>
                            <w:r>
                              <w:rPr>
                                <w:b/>
                              </w:rPr>
                              <w:t>*此处粘贴被授权人的身份证</w:t>
                            </w:r>
                            <w:r>
                              <w:rPr>
                                <w:rFonts w:hint="eastAsia"/>
                                <w:b/>
                              </w:rPr>
                              <w:t>正反面</w:t>
                            </w:r>
                            <w:r>
                              <w:rPr>
                                <w:b/>
                              </w:rPr>
                              <w:t>图像或复印件</w:t>
                            </w:r>
                            <w:r>
                              <w:rPr>
                                <w:rFonts w:hint="eastAsia"/>
                                <w:b/>
                              </w:rPr>
                              <w:t>)</w:t>
                            </w:r>
                          </w:p>
                        </w:txbxContent>
                      </wps:txbx>
                      <wps:bodyPr upright="1"/>
                    </wps:wsp>
                  </a:graphicData>
                </a:graphic>
              </wp:anchor>
            </w:drawing>
          </mc:Choice>
          <mc:Fallback>
            <w:pict>
              <v:roundrect id="自选图形 9" o:spid="_x0000_s1026" o:spt="2" style="position:absolute;left:0pt;margin-left:228.35pt;margin-top:13.15pt;height:182.15pt;width:215.15pt;mso-wrap-distance-left:9pt;mso-wrap-distance-right:9pt;z-index:-251656192;mso-width-relative:page;mso-height-relative:page;" fillcolor="#FFFFFF" filled="t" stroked="t" coordsize="21600,21600" wrapcoords="20227 -2 1364 0 0 1611 0 3599 0 17999 0 19988 1364 21599 20227 21601 1372 21601 20235 21599 21599 19988 21599 17999 21599 3599 21599 1611 20235 0 1372 -2 20227 -2" arcsize="0.166666666666667" o:gfxdata="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HjSc9NoAAAAKAQAADwAAAAAAAAABACAAAAAiAAAAZHJzL2Rvd25yZXYueG1sUEsBAhQA&#10;FAAAAAgAh07iQJK9ScEpAgAAZQQAAA4AAAAAAAAAAQAgAAAAKQEAAGRycy9lMm9Eb2MueG1sUEsF&#10;BgAAAAAGAAYAWQEAAMQFAAAAAA==&#10;">
                <v:fill on="t" focussize="0,0"/>
                <v:stroke weight="1pt" color="#000000" joinstyle="round" dashstyle="dash"/>
                <v:imagedata o:title=""/>
                <o:lock v:ext="edit" aspectratio="f"/>
                <v:textbox>
                  <w:txbxContent>
                    <w:p w14:paraId="599B745A">
                      <w:pPr>
                        <w:jc w:val="center"/>
                        <w:rPr>
                          <w:b/>
                        </w:rPr>
                      </w:pPr>
                    </w:p>
                    <w:p w14:paraId="64AE0D5C">
                      <w:pPr>
                        <w:jc w:val="center"/>
                        <w:rPr>
                          <w:b/>
                        </w:rPr>
                      </w:pPr>
                    </w:p>
                    <w:p w14:paraId="2B531B1B">
                      <w:pPr>
                        <w:jc w:val="center"/>
                        <w:rPr>
                          <w:b/>
                        </w:rPr>
                      </w:pPr>
                      <w:r>
                        <w:rPr>
                          <w:rFonts w:hint="eastAsia"/>
                          <w:b/>
                        </w:rPr>
                        <w:t>(</w:t>
                      </w:r>
                      <w:r>
                        <w:rPr>
                          <w:b/>
                        </w:rPr>
                        <w:t>*此处粘贴被授权人的身份证</w:t>
                      </w:r>
                      <w:r>
                        <w:rPr>
                          <w:rFonts w:hint="eastAsia"/>
                          <w:b/>
                        </w:rPr>
                        <w:t>正反面</w:t>
                      </w:r>
                      <w:r>
                        <w:rPr>
                          <w:b/>
                        </w:rPr>
                        <w:t>图像或复印件</w:t>
                      </w:r>
                      <w:r>
                        <w:rPr>
                          <w:rFonts w:hint="eastAsia"/>
                          <w:b/>
                        </w:rPr>
                        <w:t>)</w:t>
                      </w:r>
                    </w:p>
                  </w:txbxContent>
                </v:textbox>
                <w10:wrap type="tight"/>
              </v:roundrect>
            </w:pict>
          </mc:Fallback>
        </mc:AlternateContent>
      </w:r>
    </w:p>
    <w:p w14:paraId="3B0795FB">
      <w:pPr>
        <w:spacing w:before="100" w:beforeAutospacing="1" w:after="100" w:afterAutospacing="1" w:line="360" w:lineRule="auto"/>
        <w:rPr>
          <w:rFonts w:ascii="宋体" w:hAnsi="宋体" w:cs="Lucida Sans Unicode"/>
          <w:b/>
          <w:sz w:val="24"/>
        </w:rPr>
      </w:pPr>
    </w:p>
    <w:p w14:paraId="0FBE9200">
      <w:pPr>
        <w:spacing w:before="100" w:beforeAutospacing="1" w:after="100" w:afterAutospacing="1" w:line="360" w:lineRule="auto"/>
        <w:ind w:left="1050" w:leftChars="500" w:firstLine="482" w:firstLineChars="200"/>
        <w:rPr>
          <w:rFonts w:ascii="宋体" w:hAnsi="宋体" w:cs="Lucida Sans Unicode"/>
          <w:b/>
          <w:sz w:val="24"/>
        </w:rPr>
      </w:pPr>
    </w:p>
    <w:p w14:paraId="5D2EE2EA">
      <w:pPr>
        <w:spacing w:before="100" w:beforeAutospacing="1" w:after="100" w:afterAutospacing="1" w:line="360" w:lineRule="auto"/>
        <w:ind w:left="1050" w:leftChars="500" w:firstLine="482" w:firstLineChars="200"/>
        <w:rPr>
          <w:rFonts w:ascii="宋体" w:hAnsi="宋体" w:cs="Lucida Sans Unicode"/>
          <w:b/>
          <w:sz w:val="24"/>
        </w:rPr>
      </w:pPr>
    </w:p>
    <w:p w14:paraId="6F9F2377">
      <w:pPr>
        <w:spacing w:line="360" w:lineRule="auto"/>
        <w:ind w:left="1050" w:leftChars="500" w:firstLine="482" w:firstLineChars="200"/>
        <w:rPr>
          <w:rFonts w:ascii="宋体" w:hAnsi="宋体" w:cs="Lucida Sans Unicode"/>
          <w:b/>
          <w:sz w:val="24"/>
        </w:rPr>
      </w:pPr>
    </w:p>
    <w:p w14:paraId="7F641301">
      <w:pPr>
        <w:spacing w:line="360" w:lineRule="auto"/>
        <w:ind w:left="1050" w:leftChars="500" w:firstLine="482" w:firstLineChars="200"/>
        <w:rPr>
          <w:rFonts w:ascii="宋体" w:hAnsi="宋体" w:cs="Lucida Sans Unicode"/>
          <w:b/>
          <w:sz w:val="24"/>
        </w:rPr>
      </w:pPr>
    </w:p>
    <w:p w14:paraId="4AC7743A">
      <w:pPr>
        <w:spacing w:before="100" w:beforeAutospacing="1" w:after="100" w:afterAutospacing="1" w:line="360" w:lineRule="auto"/>
        <w:rPr>
          <w:rFonts w:ascii="宋体" w:hAnsi="宋体" w:cs="Lucida Sans Unicode"/>
          <w:b/>
          <w:sz w:val="24"/>
        </w:rPr>
      </w:pPr>
    </w:p>
    <w:p w14:paraId="300CA9A7">
      <w:pPr>
        <w:spacing w:before="100" w:beforeAutospacing="1" w:after="100" w:afterAutospacing="1" w:line="360" w:lineRule="auto"/>
        <w:ind w:left="1050" w:leftChars="500" w:firstLine="482" w:firstLineChars="200"/>
        <w:rPr>
          <w:rFonts w:ascii="宋体" w:hAnsi="宋体" w:cs="Lucida Sans Unicode"/>
          <w:b/>
          <w:sz w:val="24"/>
        </w:rPr>
      </w:pPr>
    </w:p>
    <w:p w14:paraId="77BED4C3">
      <w:pPr>
        <w:spacing w:before="100" w:beforeAutospacing="1" w:after="100" w:afterAutospacing="1" w:line="360" w:lineRule="auto"/>
        <w:rPr>
          <w:rFonts w:ascii="宋体" w:hAnsi="宋体" w:cs="Lucida Sans Unicode"/>
          <w:b/>
          <w:sz w:val="24"/>
        </w:rPr>
      </w:pPr>
      <w:r>
        <w:rPr>
          <w:rFonts w:hint="eastAsia" w:ascii="宋体" w:hAnsi="宋体" w:cs="Lucida Sans Unicode"/>
          <w:b/>
          <w:sz w:val="24"/>
        </w:rPr>
        <w:t>被授权人：</w:t>
      </w:r>
      <w:r>
        <w:rPr>
          <w:rFonts w:hint="eastAsia" w:ascii="宋体" w:hAnsi="宋体" w:cs="Lucida Sans Unicode"/>
          <w:b/>
          <w:sz w:val="24"/>
          <w:u w:val="single"/>
        </w:rPr>
        <w:t xml:space="preserve">(签名)          </w:t>
      </w:r>
      <w:r>
        <w:rPr>
          <w:rFonts w:hint="eastAsia" w:ascii="宋体" w:hAnsi="宋体" w:cs="Lucida Sans Unicode"/>
          <w:b/>
          <w:sz w:val="24"/>
        </w:rPr>
        <w:t xml:space="preserve">  联系电话：</w:t>
      </w:r>
    </w:p>
    <w:p w14:paraId="4F46AC3E">
      <w:pPr>
        <w:spacing w:before="100" w:beforeAutospacing="1" w:after="100" w:afterAutospacing="1" w:line="360" w:lineRule="auto"/>
        <w:rPr>
          <w:rFonts w:ascii="宋体" w:hAnsi="宋体" w:cs="Lucida Sans Unicode"/>
          <w:b/>
          <w:sz w:val="24"/>
          <w:u w:val="single"/>
        </w:rPr>
      </w:pPr>
      <w:r>
        <w:rPr>
          <w:rFonts w:hint="eastAsia" w:ascii="宋体" w:hAnsi="宋体" w:cs="Lucida Sans Unicode"/>
          <w:b/>
          <w:sz w:val="24"/>
        </w:rPr>
        <w:t>法定代表人：</w:t>
      </w:r>
      <w:r>
        <w:rPr>
          <w:rFonts w:hint="eastAsia" w:ascii="宋体" w:hAnsi="宋体" w:cs="Lucida Sans Unicode"/>
          <w:b/>
          <w:sz w:val="24"/>
          <w:u w:val="single"/>
        </w:rPr>
        <w:t xml:space="preserve">(签名)     </w:t>
      </w:r>
      <w:r>
        <w:rPr>
          <w:rFonts w:hint="eastAsia" w:ascii="宋体" w:hAnsi="宋体" w:cs="Lucida Sans Unicode"/>
          <w:b/>
          <w:sz w:val="24"/>
        </w:rPr>
        <w:t xml:space="preserve">  签署日期：</w:t>
      </w:r>
    </w:p>
    <w:p w14:paraId="2E843FED">
      <w:pPr>
        <w:spacing w:before="100" w:beforeAutospacing="1" w:after="100" w:afterAutospacing="1" w:line="360" w:lineRule="auto"/>
        <w:rPr>
          <w:rFonts w:ascii="宋体" w:hAnsi="宋体" w:cs="Lucida Sans Unicode"/>
          <w:b/>
          <w:sz w:val="24"/>
          <w:u w:val="single"/>
        </w:rPr>
      </w:pPr>
      <w:r>
        <w:rPr>
          <w:rFonts w:hint="eastAsia" w:ascii="宋体" w:hAnsi="宋体" w:cs="Lucida Sans Unicode"/>
          <w:b/>
          <w:sz w:val="24"/>
        </w:rPr>
        <w:t>投标单位：</w:t>
      </w:r>
      <w:r>
        <w:rPr>
          <w:rFonts w:hint="eastAsia" w:ascii="宋体" w:hAnsi="宋体" w:cs="Lucida Sans Unicode"/>
          <w:b/>
          <w:sz w:val="24"/>
          <w:u w:val="single"/>
        </w:rPr>
        <w:t xml:space="preserve">（加盖公章）                                  </w:t>
      </w:r>
    </w:p>
    <w:p w14:paraId="23756E9D">
      <w:pPr>
        <w:pStyle w:val="28"/>
      </w:pPr>
    </w:p>
    <w:p w14:paraId="56B3ADF5">
      <w:pPr>
        <w:spacing w:beforeLines="50"/>
        <w:jc w:val="center"/>
        <w:rPr>
          <w:rFonts w:ascii="宋体" w:hAnsi="宋体" w:cs="Lucida Sans Unicode"/>
          <w:b/>
          <w:sz w:val="44"/>
          <w:szCs w:val="44"/>
        </w:rPr>
        <w:sectPr>
          <w:pgSz w:w="11906" w:h="16838"/>
          <w:pgMar w:top="1440" w:right="1800" w:bottom="1440" w:left="1800" w:header="851" w:footer="992" w:gutter="0"/>
          <w:cols w:space="720" w:num="1"/>
          <w:docGrid w:type="lines" w:linePitch="312" w:charSpace="0"/>
        </w:sectPr>
      </w:pPr>
    </w:p>
    <w:p w14:paraId="7DB460A4">
      <w:pPr>
        <w:spacing w:beforeLines="100" w:afterLines="100"/>
        <w:jc w:val="center"/>
        <w:rPr>
          <w:rFonts w:ascii="宋体" w:hAnsi="宋体" w:cs="Lucida Sans Unicode"/>
          <w:b/>
          <w:sz w:val="44"/>
          <w:szCs w:val="44"/>
        </w:rPr>
      </w:pPr>
      <w:r>
        <w:rPr>
          <w:rFonts w:hint="eastAsia" w:ascii="宋体" w:hAnsi="宋体" w:cs="Lucida Sans Unicode"/>
          <w:b/>
          <w:sz w:val="44"/>
          <w:szCs w:val="44"/>
        </w:rPr>
        <w:t>承诺函</w:t>
      </w:r>
    </w:p>
    <w:p w14:paraId="74E44B36">
      <w:pPr>
        <w:spacing w:afterLines="50" w:line="360" w:lineRule="auto"/>
        <w:rPr>
          <w:rFonts w:ascii="宋体" w:hAnsi="宋体" w:cs="Lucida Sans Unicode"/>
          <w:b/>
          <w:sz w:val="24"/>
        </w:rPr>
      </w:pPr>
      <w:r>
        <w:rPr>
          <w:rFonts w:hint="eastAsia" w:ascii="宋体" w:hAnsi="宋体" w:cs="Lucida Sans Unicode"/>
          <w:b/>
          <w:sz w:val="24"/>
          <w:lang w:eastAsia="zh-CN"/>
        </w:rPr>
        <w:t>海南省发展和改革委员会</w:t>
      </w:r>
      <w:r>
        <w:rPr>
          <w:rFonts w:hint="eastAsia" w:ascii="宋体" w:hAnsi="宋体" w:cs="Lucida Sans Unicode"/>
          <w:b/>
          <w:sz w:val="24"/>
        </w:rPr>
        <w:t>：</w:t>
      </w:r>
    </w:p>
    <w:p w14:paraId="35A4B1CA">
      <w:pPr>
        <w:spacing w:line="312" w:lineRule="auto"/>
        <w:ind w:firstLine="480" w:firstLineChars="200"/>
        <w:rPr>
          <w:rFonts w:ascii="宋体" w:hAnsi="宋体" w:cs="Lucida Sans Unicode"/>
          <w:sz w:val="24"/>
        </w:rPr>
      </w:pPr>
      <w:r>
        <w:rPr>
          <w:rFonts w:hint="eastAsia" w:ascii="宋体" w:hAnsi="宋体" w:cs="Lucida Sans Unicode"/>
          <w:sz w:val="24"/>
          <w:u w:val="single"/>
        </w:rPr>
        <w:t xml:space="preserve"> 投标人名称 </w:t>
      </w:r>
      <w:r>
        <w:rPr>
          <w:rFonts w:hint="eastAsia" w:ascii="宋体" w:hAnsi="宋体" w:cs="Lucida Sans Unicode"/>
          <w:sz w:val="24"/>
        </w:rPr>
        <w:t>授权</w:t>
      </w:r>
      <w:r>
        <w:rPr>
          <w:rFonts w:hint="eastAsia" w:ascii="宋体" w:hAnsi="宋体" w:cs="Lucida Sans Unicode"/>
          <w:sz w:val="24"/>
          <w:u w:val="single"/>
        </w:rPr>
        <w:t xml:space="preserve"> 投标人代表姓名、职务 </w:t>
      </w:r>
      <w:r>
        <w:rPr>
          <w:rFonts w:hint="eastAsia" w:ascii="宋体" w:hAnsi="宋体" w:cs="Lucida Sans Unicode"/>
          <w:sz w:val="24"/>
        </w:rPr>
        <w:t>为我方代表，参加你单位组织的</w:t>
      </w:r>
    </w:p>
    <w:p w14:paraId="6F99B30E">
      <w:pPr>
        <w:spacing w:line="312" w:lineRule="auto"/>
        <w:rPr>
          <w:rFonts w:ascii="宋体" w:hAnsi="宋体" w:cs="Lucida Sans Unicode"/>
          <w:sz w:val="24"/>
        </w:rPr>
      </w:pPr>
      <w:r>
        <w:rPr>
          <w:rFonts w:hint="eastAsia" w:ascii="宋体" w:hAnsi="宋体" w:cs="Lucida Sans Unicode"/>
          <w:b/>
          <w:sz w:val="24"/>
          <w:u w:val="single"/>
        </w:rPr>
        <w:t>项目名称 (项目编号： )</w:t>
      </w:r>
      <w:r>
        <w:rPr>
          <w:rFonts w:hint="eastAsia" w:ascii="宋体" w:hAnsi="宋体" w:cs="Lucida Sans Unicode"/>
          <w:sz w:val="24"/>
        </w:rPr>
        <w:t>的采购活动。我方接受招标文件及澄清、修改部分（如有）的全部条款且无任何异议，现向贵单位递交投标文件参与投标。</w:t>
      </w:r>
    </w:p>
    <w:p w14:paraId="119EDBA5">
      <w:pPr>
        <w:spacing w:line="312" w:lineRule="auto"/>
        <w:ind w:firstLine="480" w:firstLineChars="200"/>
        <w:rPr>
          <w:rFonts w:ascii="宋体" w:hAnsi="宋体" w:cs="Lucida Sans Unicode"/>
          <w:sz w:val="24"/>
        </w:rPr>
      </w:pPr>
      <w:r>
        <w:rPr>
          <w:rFonts w:hint="eastAsia" w:ascii="宋体" w:hAnsi="宋体" w:cs="Lucida Sans Unicode"/>
          <w:sz w:val="24"/>
        </w:rPr>
        <w:t>一、我方已按招标文件要求递交了</w:t>
      </w:r>
      <w:r>
        <w:rPr>
          <w:rFonts w:hint="eastAsia" w:ascii="宋体" w:hAnsi="宋体" w:cs="Lucida Sans Unicode"/>
          <w:b/>
          <w:bCs/>
          <w:sz w:val="24"/>
        </w:rPr>
        <w:t>电子投标文件、纸质投标文件</w:t>
      </w:r>
      <w:r>
        <w:rPr>
          <w:rFonts w:hint="eastAsia" w:ascii="宋体" w:hAnsi="宋体" w:cs="Lucida Sans Unicode"/>
          <w:sz w:val="24"/>
        </w:rPr>
        <w:t>，其中所有响应内容一致、真实有效。</w:t>
      </w:r>
    </w:p>
    <w:p w14:paraId="71BE5CCE">
      <w:pPr>
        <w:spacing w:line="312" w:lineRule="auto"/>
        <w:ind w:firstLine="480" w:firstLineChars="200"/>
        <w:rPr>
          <w:rFonts w:ascii="宋体" w:hAnsi="宋体" w:cs="Lucida Sans Unicode"/>
          <w:sz w:val="24"/>
        </w:rPr>
      </w:pPr>
      <w:r>
        <w:rPr>
          <w:rFonts w:hint="eastAsia" w:ascii="宋体" w:hAnsi="宋体" w:cs="Lucida Sans Unicode"/>
          <w:sz w:val="24"/>
        </w:rPr>
        <w:t>二、我方保证遵守招标文件的规定，如果本公司违反招标文件要求，我方的</w:t>
      </w:r>
      <w:r>
        <w:rPr>
          <w:rFonts w:hint="eastAsia" w:ascii="宋体" w:hAnsi="宋体" w:cs="Lucida Sans Unicode"/>
          <w:sz w:val="24"/>
          <w:lang w:val="en-US" w:eastAsia="zh-CN"/>
        </w:rPr>
        <w:t>履约</w:t>
      </w:r>
      <w:r>
        <w:rPr>
          <w:rFonts w:hint="eastAsia" w:ascii="宋体" w:hAnsi="宋体" w:cs="Lucida Sans Unicode"/>
          <w:sz w:val="24"/>
        </w:rPr>
        <w:t>保证金可以被你单位没收。</w:t>
      </w:r>
    </w:p>
    <w:p w14:paraId="476A9880">
      <w:pPr>
        <w:spacing w:line="312" w:lineRule="auto"/>
        <w:ind w:firstLine="480" w:firstLineChars="200"/>
        <w:rPr>
          <w:rFonts w:ascii="宋体" w:hAnsi="宋体" w:cs="Lucida Sans Unicode"/>
          <w:sz w:val="24"/>
        </w:rPr>
      </w:pPr>
      <w:r>
        <w:rPr>
          <w:rFonts w:hint="eastAsia" w:ascii="宋体" w:hAnsi="宋体" w:cs="Lucida Sans Unicode"/>
          <w:sz w:val="24"/>
        </w:rPr>
        <w:t>三、我方承诺已经具备招标文件中规定的参加采购活动的投标人应当具备的条件。我方愿意向你单位提供任何与本采购项目招投标有关的数据、情况和技术资料，并根据需要提供一切承诺的证明材料，并保证其真实、合法、有效。</w:t>
      </w:r>
    </w:p>
    <w:p w14:paraId="167AACB3">
      <w:pPr>
        <w:pStyle w:val="11"/>
        <w:tabs>
          <w:tab w:val="left" w:pos="5580"/>
        </w:tabs>
        <w:spacing w:line="240" w:lineRule="atLeast"/>
        <w:ind w:firstLine="482" w:firstLineChars="200"/>
        <w:rPr>
          <w:rFonts w:hAnsi="宋体" w:cs="Lucida Sans Unicode"/>
          <w:b/>
          <w:sz w:val="24"/>
        </w:rPr>
      </w:pPr>
      <w:r>
        <w:rPr>
          <w:rFonts w:hint="eastAsia" w:hAnsi="宋体" w:cs="Lucida Sans Unicode"/>
          <w:b/>
          <w:sz w:val="24"/>
        </w:rPr>
        <w:t>四、如果我方中标，我方承诺在领取中标通知书的同时按招标文件规定的形式，向贵单位一次性支付中标服务费。</w:t>
      </w:r>
    </w:p>
    <w:p w14:paraId="689968AE">
      <w:pPr>
        <w:spacing w:line="312" w:lineRule="auto"/>
        <w:ind w:firstLine="482" w:firstLineChars="200"/>
        <w:rPr>
          <w:rFonts w:ascii="宋体" w:hAnsi="宋体" w:cs="Lucida Sans Unicode"/>
          <w:b/>
          <w:sz w:val="24"/>
        </w:rPr>
      </w:pPr>
      <w:r>
        <w:rPr>
          <w:rFonts w:hint="eastAsia" w:ascii="宋体" w:hAnsi="宋体" w:cs="Lucida Sans Unicode"/>
          <w:b/>
          <w:sz w:val="24"/>
        </w:rPr>
        <w:t>五、我方承诺接受招标文件中采购合同条款的全部条款且无任何异议。如果我方中标，我们将按招标文件的规定，保证忠实地履行双方所签订的采购合同，并承担采购合同规定的责任和义务。</w:t>
      </w:r>
    </w:p>
    <w:p w14:paraId="7AC677D1">
      <w:pPr>
        <w:spacing w:line="312" w:lineRule="auto"/>
        <w:ind w:firstLine="480" w:firstLineChars="200"/>
        <w:rPr>
          <w:rFonts w:ascii="宋体" w:hAnsi="宋体" w:cs="Lucida Sans Unicode"/>
          <w:sz w:val="24"/>
        </w:rPr>
      </w:pPr>
      <w:r>
        <w:rPr>
          <w:rFonts w:hint="eastAsia" w:ascii="宋体" w:hAnsi="宋体" w:cs="Lucida Sans Unicode"/>
          <w:sz w:val="24"/>
        </w:rPr>
        <w:t>六、我方承诺采购单位若需追加采购本项目招标文件所列货物及相关服务的，在不改变采购合同其它实质性条款的前提下，按相同或更优惠的价格保证供货和服务。</w:t>
      </w:r>
    </w:p>
    <w:p w14:paraId="41874629">
      <w:pPr>
        <w:spacing w:line="312" w:lineRule="auto"/>
        <w:ind w:firstLine="480" w:firstLineChars="200"/>
        <w:rPr>
          <w:rFonts w:ascii="宋体" w:hAnsi="宋体" w:cs="Lucida Sans Unicode"/>
          <w:sz w:val="24"/>
        </w:rPr>
      </w:pPr>
      <w:r>
        <w:rPr>
          <w:rFonts w:hint="eastAsia" w:ascii="宋体" w:hAnsi="宋体" w:cs="Lucida Sans Unicode"/>
          <w:sz w:val="24"/>
        </w:rPr>
        <w:t>七、我方将严格遵守《中华人民共和国政府采购法》的有关规定，若有下列情形之一的，接受你单位及政府采购监督管理部门对我方施以采购金额5‰以上10‰以下的违约处罚，列入不良行为记录名单，在1至3年内禁止参加政府采购活动；有违法所得的，提请政府有关行政部门没收违法所得；情节严重的，提请工商行政管理机关吊销营业执照；构成犯罪的，提请司法部门依法追究刑事责任：</w:t>
      </w:r>
    </w:p>
    <w:p w14:paraId="76109EE0">
      <w:pPr>
        <w:spacing w:line="312" w:lineRule="auto"/>
        <w:ind w:firstLine="480" w:firstLineChars="200"/>
        <w:rPr>
          <w:rFonts w:ascii="宋体" w:hAnsi="宋体" w:cs="Lucida Sans Unicode"/>
          <w:sz w:val="24"/>
        </w:rPr>
      </w:pPr>
      <w:r>
        <w:rPr>
          <w:rFonts w:hint="eastAsia" w:ascii="宋体" w:hAnsi="宋体" w:cs="Lucida Sans Unicode"/>
          <w:sz w:val="24"/>
        </w:rPr>
        <w:t>（1）提供虚假材料谋取中标的；</w:t>
      </w:r>
    </w:p>
    <w:p w14:paraId="2D96C7F8">
      <w:pPr>
        <w:spacing w:line="312" w:lineRule="auto"/>
        <w:ind w:firstLine="480" w:firstLineChars="200"/>
        <w:rPr>
          <w:rFonts w:ascii="宋体" w:hAnsi="宋体" w:cs="Lucida Sans Unicode"/>
          <w:sz w:val="24"/>
        </w:rPr>
      </w:pPr>
      <w:r>
        <w:rPr>
          <w:rFonts w:hint="eastAsia" w:ascii="宋体" w:hAnsi="宋体" w:cs="Lucida Sans Unicode"/>
          <w:sz w:val="24"/>
        </w:rPr>
        <w:t>（2）向采购单位、采购代理机构行贿或者提供其它不正当利益的；</w:t>
      </w:r>
    </w:p>
    <w:p w14:paraId="1D6A976B">
      <w:pPr>
        <w:spacing w:line="312" w:lineRule="auto"/>
        <w:ind w:firstLine="480" w:firstLineChars="200"/>
        <w:rPr>
          <w:rFonts w:ascii="宋体" w:hAnsi="宋体" w:cs="Lucida Sans Unicode"/>
          <w:sz w:val="24"/>
        </w:rPr>
      </w:pPr>
      <w:r>
        <w:rPr>
          <w:rFonts w:hint="eastAsia" w:ascii="宋体" w:hAnsi="宋体" w:cs="Lucida Sans Unicode"/>
          <w:sz w:val="24"/>
        </w:rPr>
        <w:t xml:space="preserve">（3）拒绝有关部门监督检查或提供虚假情况的。 </w:t>
      </w:r>
    </w:p>
    <w:p w14:paraId="65733147">
      <w:pPr>
        <w:spacing w:before="100" w:beforeAutospacing="1" w:line="360" w:lineRule="auto"/>
        <w:ind w:left="630" w:leftChars="300" w:firstLine="2253" w:firstLineChars="935"/>
        <w:rPr>
          <w:rFonts w:ascii="宋体" w:hAnsi="宋体" w:cs="Lucida Sans Unicode"/>
          <w:b/>
          <w:sz w:val="24"/>
          <w:u w:val="single"/>
        </w:rPr>
      </w:pPr>
      <w:r>
        <w:rPr>
          <w:rFonts w:hint="eastAsia" w:ascii="宋体" w:hAnsi="宋体" w:cs="Lucida Sans Unicode"/>
          <w:b/>
          <w:sz w:val="24"/>
        </w:rPr>
        <w:t>投标单位（加盖公章）：</w:t>
      </w:r>
    </w:p>
    <w:p w14:paraId="386A1A37">
      <w:pPr>
        <w:spacing w:before="100" w:beforeAutospacing="1" w:line="360" w:lineRule="auto"/>
        <w:ind w:left="630" w:leftChars="300" w:firstLine="2843" w:firstLineChars="1180"/>
        <w:rPr>
          <w:rFonts w:ascii="宋体" w:hAnsi="宋体" w:cs="Lucida Sans Unicode"/>
          <w:b/>
          <w:sz w:val="24"/>
          <w:u w:val="single"/>
        </w:rPr>
      </w:pPr>
      <w:r>
        <w:rPr>
          <w:rFonts w:hint="eastAsia" w:ascii="宋体" w:hAnsi="宋体" w:cs="Lucida Sans Unicode"/>
          <w:b/>
          <w:sz w:val="24"/>
        </w:rPr>
        <w:t>签署日期：</w:t>
      </w:r>
    </w:p>
    <w:p w14:paraId="59BC7DAA">
      <w:pPr>
        <w:spacing w:line="560" w:lineRule="exact"/>
        <w:jc w:val="center"/>
        <w:rPr>
          <w:rFonts w:ascii="宋体" w:hAnsi="宋体" w:cs="Lucida Sans Unicode"/>
          <w:sz w:val="24"/>
        </w:rPr>
        <w:sectPr>
          <w:pgSz w:w="11906" w:h="16838"/>
          <w:pgMar w:top="1440" w:right="1800" w:bottom="1440" w:left="1800" w:header="851" w:footer="992" w:gutter="0"/>
          <w:cols w:space="720" w:num="1"/>
          <w:docGrid w:type="lines" w:linePitch="312" w:charSpace="0"/>
        </w:sectPr>
      </w:pPr>
    </w:p>
    <w:p w14:paraId="0C551573">
      <w:pPr>
        <w:spacing w:line="560" w:lineRule="exact"/>
        <w:jc w:val="center"/>
        <w:rPr>
          <w:rFonts w:ascii="宋体" w:hAnsi="宋体" w:cs="宋体"/>
          <w:b/>
          <w:kern w:val="0"/>
          <w:sz w:val="44"/>
          <w:szCs w:val="44"/>
        </w:rPr>
      </w:pPr>
      <w:r>
        <w:rPr>
          <w:rFonts w:hint="eastAsia" w:ascii="宋体" w:hAnsi="宋体" w:cs="宋体"/>
          <w:b/>
          <w:kern w:val="0"/>
          <w:sz w:val="44"/>
          <w:szCs w:val="44"/>
        </w:rPr>
        <w:t>开标一览表</w:t>
      </w:r>
    </w:p>
    <w:p w14:paraId="1D68AA22">
      <w:pPr>
        <w:spacing w:line="560" w:lineRule="exact"/>
        <w:jc w:val="center"/>
        <w:rPr>
          <w:rFonts w:ascii="宋体" w:hAnsi="宋体" w:cs="宋体"/>
          <w:b/>
          <w:kern w:val="0"/>
          <w:sz w:val="44"/>
          <w:szCs w:val="44"/>
        </w:rPr>
      </w:pPr>
    </w:p>
    <w:p w14:paraId="32997E90">
      <w:pPr>
        <w:pStyle w:val="18"/>
        <w:widowControl/>
        <w:shd w:val="clear" w:color="auto" w:fill="FFFFFF"/>
        <w:spacing w:before="0" w:beforeAutospacing="0" w:after="0" w:afterAutospacing="0" w:line="360" w:lineRule="auto"/>
        <w:rPr>
          <w:rFonts w:ascii="微软雅黑" w:hAnsi="微软雅黑" w:eastAsia="微软雅黑" w:cs="微软雅黑"/>
        </w:rPr>
      </w:pPr>
      <w:r>
        <w:rPr>
          <w:rFonts w:hint="eastAsia" w:ascii="宋体" w:hAnsi="宋体" w:cs="宋体"/>
          <w:shd w:val="clear" w:color="auto" w:fill="FFFFFF"/>
        </w:rPr>
        <w:t>项目名称：</w:t>
      </w:r>
      <w:r>
        <w:rPr>
          <w:rFonts w:hint="eastAsia" w:ascii="宋体" w:hAnsi="宋体" w:cs="宋体"/>
          <w:u w:val="single"/>
          <w:shd w:val="clear" w:color="auto" w:fill="FFFFFF"/>
        </w:rPr>
        <w:t>        </w:t>
      </w:r>
    </w:p>
    <w:p w14:paraId="08A572EA">
      <w:pPr>
        <w:pStyle w:val="18"/>
        <w:widowControl/>
        <w:shd w:val="clear" w:color="auto" w:fill="FFFFFF"/>
        <w:spacing w:before="0" w:beforeAutospacing="0" w:after="0" w:afterAutospacing="0" w:line="360" w:lineRule="auto"/>
        <w:rPr>
          <w:rFonts w:ascii="微软雅黑" w:hAnsi="微软雅黑" w:eastAsia="微软雅黑" w:cs="微软雅黑"/>
        </w:rPr>
      </w:pPr>
      <w:r>
        <w:rPr>
          <w:rFonts w:hint="eastAsia" w:ascii="宋体" w:hAnsi="宋体" w:cs="宋体"/>
          <w:shd w:val="clear" w:color="auto" w:fill="FFFFFF"/>
        </w:rPr>
        <w:t>项目编号：</w:t>
      </w:r>
      <w:r>
        <w:rPr>
          <w:rFonts w:hint="eastAsia" w:ascii="宋体" w:hAnsi="宋体" w:cs="宋体"/>
          <w:u w:val="single"/>
          <w:shd w:val="clear" w:color="auto" w:fill="FFFFFF"/>
        </w:rPr>
        <w:t>        </w:t>
      </w:r>
    </w:p>
    <w:p w14:paraId="68448520">
      <w:pPr>
        <w:widowControl/>
        <w:jc w:val="right"/>
        <w:rPr>
          <w:sz w:val="24"/>
        </w:rPr>
      </w:pPr>
    </w:p>
    <w:p w14:paraId="2879484A">
      <w:pPr>
        <w:widowControl/>
        <w:jc w:val="right"/>
        <w:rPr>
          <w:sz w:val="24"/>
        </w:rPr>
      </w:pPr>
      <w:r>
        <w:rPr>
          <w:rFonts w:hint="eastAsia"/>
          <w:sz w:val="24"/>
        </w:rPr>
        <w:t>单位：元</w:t>
      </w:r>
    </w:p>
    <w:p w14:paraId="64C371F8">
      <w:pPr>
        <w:rPr>
          <w:vanish/>
          <w:sz w:val="24"/>
        </w:rPr>
      </w:pPr>
    </w:p>
    <w:tbl>
      <w:tblPr>
        <w:tblStyle w:val="1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1"/>
        <w:gridCol w:w="4261"/>
      </w:tblGrid>
      <w:tr w14:paraId="4719CA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261" w:type="dxa"/>
            <w:vAlign w:val="center"/>
          </w:tcPr>
          <w:p w14:paraId="34EE6E35">
            <w:pPr>
              <w:widowControl/>
              <w:rPr>
                <w:rFonts w:ascii="宋体" w:hAnsi="宋体" w:cs="宋体"/>
                <w:kern w:val="0"/>
                <w:sz w:val="24"/>
              </w:rPr>
            </w:pPr>
            <w:r>
              <w:rPr>
                <w:rFonts w:hint="eastAsia" w:ascii="宋体" w:hAnsi="宋体" w:cs="宋体"/>
                <w:kern w:val="0"/>
                <w:sz w:val="24"/>
              </w:rPr>
              <w:t>列名称</w:t>
            </w:r>
          </w:p>
        </w:tc>
        <w:tc>
          <w:tcPr>
            <w:tcW w:w="4261" w:type="dxa"/>
            <w:vAlign w:val="center"/>
          </w:tcPr>
          <w:p w14:paraId="52F8565E">
            <w:pPr>
              <w:widowControl/>
              <w:rPr>
                <w:rFonts w:ascii="宋体" w:hAnsi="宋体" w:cs="宋体"/>
                <w:kern w:val="0"/>
                <w:sz w:val="24"/>
              </w:rPr>
            </w:pPr>
            <w:r>
              <w:rPr>
                <w:rFonts w:hint="eastAsia" w:ascii="宋体" w:hAnsi="宋体" w:cs="宋体"/>
                <w:kern w:val="0"/>
                <w:sz w:val="24"/>
              </w:rPr>
              <w:t>列内容</w:t>
            </w:r>
          </w:p>
        </w:tc>
      </w:tr>
      <w:tr w14:paraId="659F4D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261" w:type="dxa"/>
            <w:vAlign w:val="center"/>
          </w:tcPr>
          <w:p w14:paraId="1C932B95">
            <w:pPr>
              <w:widowControl/>
              <w:rPr>
                <w:sz w:val="24"/>
              </w:rPr>
            </w:pPr>
            <w:r>
              <w:rPr>
                <w:rFonts w:hint="eastAsia" w:ascii="宋体" w:hAnsi="宋体" w:cs="宋体"/>
                <w:kern w:val="0"/>
                <w:sz w:val="24"/>
              </w:rPr>
              <w:t>投标单位名称</w:t>
            </w:r>
          </w:p>
        </w:tc>
        <w:tc>
          <w:tcPr>
            <w:tcW w:w="4261" w:type="dxa"/>
            <w:vAlign w:val="center"/>
          </w:tcPr>
          <w:p w14:paraId="6BD02913">
            <w:pPr>
              <w:widowControl/>
              <w:rPr>
                <w:sz w:val="24"/>
              </w:rPr>
            </w:pPr>
          </w:p>
        </w:tc>
      </w:tr>
      <w:tr w14:paraId="36CCB3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5" w:hRule="atLeast"/>
        </w:trPr>
        <w:tc>
          <w:tcPr>
            <w:tcW w:w="4261" w:type="dxa"/>
            <w:vAlign w:val="center"/>
          </w:tcPr>
          <w:p w14:paraId="363863D4">
            <w:pPr>
              <w:widowControl/>
              <w:rPr>
                <w:rFonts w:hint="default" w:ascii="宋体" w:hAnsi="宋体" w:eastAsia="宋体" w:cs="宋体"/>
                <w:kern w:val="0"/>
                <w:sz w:val="24"/>
                <w:lang w:val="en-US" w:eastAsia="zh-CN"/>
              </w:rPr>
            </w:pPr>
            <w:r>
              <w:rPr>
                <w:rFonts w:hint="eastAsia" w:ascii="宋体" w:hAnsi="宋体" w:cs="宋体"/>
                <w:kern w:val="0"/>
                <w:sz w:val="24"/>
                <w:lang w:val="en-US" w:eastAsia="zh-CN"/>
              </w:rPr>
              <w:t>投标报价</w:t>
            </w:r>
          </w:p>
        </w:tc>
        <w:tc>
          <w:tcPr>
            <w:tcW w:w="4261" w:type="dxa"/>
            <w:vAlign w:val="center"/>
          </w:tcPr>
          <w:p w14:paraId="4E28F477">
            <w:pPr>
              <w:widowControl/>
              <w:rPr>
                <w:rFonts w:hint="eastAsia"/>
                <w:sz w:val="24"/>
                <w:lang w:val="en-US" w:eastAsia="zh-CN"/>
              </w:rPr>
            </w:pPr>
            <w:r>
              <w:rPr>
                <w:rFonts w:hint="eastAsia"/>
                <w:sz w:val="24"/>
                <w:lang w:val="en-US" w:eastAsia="zh-CN"/>
              </w:rPr>
              <w:t>大写：</w:t>
            </w:r>
          </w:p>
          <w:p w14:paraId="038DC34F">
            <w:pPr>
              <w:widowControl/>
              <w:rPr>
                <w:rFonts w:hint="default" w:eastAsia="宋体"/>
                <w:sz w:val="24"/>
                <w:lang w:val="en-US" w:eastAsia="zh-CN"/>
              </w:rPr>
            </w:pPr>
            <w:r>
              <w:rPr>
                <w:rFonts w:hint="eastAsia"/>
                <w:sz w:val="24"/>
                <w:lang w:val="en-US" w:eastAsia="zh-CN"/>
              </w:rPr>
              <w:t>小写：</w:t>
            </w:r>
          </w:p>
        </w:tc>
      </w:tr>
      <w:tr w14:paraId="0510FE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261" w:type="dxa"/>
            <w:vAlign w:val="center"/>
          </w:tcPr>
          <w:p w14:paraId="62F016AE">
            <w:pPr>
              <w:widowControl/>
              <w:rPr>
                <w:sz w:val="24"/>
              </w:rPr>
            </w:pPr>
            <w:r>
              <w:rPr>
                <w:rFonts w:hint="eastAsia" w:ascii="宋体" w:hAnsi="宋体" w:cs="宋体"/>
                <w:kern w:val="0"/>
                <w:sz w:val="24"/>
              </w:rPr>
              <w:t>合同履行期限（</w:t>
            </w:r>
            <w:r>
              <w:rPr>
                <w:rFonts w:hint="eastAsia" w:ascii="宋体" w:hAnsi="宋体" w:cs="宋体"/>
                <w:kern w:val="0"/>
                <w:sz w:val="24"/>
                <w:lang w:val="en-US" w:eastAsia="zh-CN"/>
              </w:rPr>
              <w:t>服务期限</w:t>
            </w:r>
            <w:r>
              <w:rPr>
                <w:rFonts w:hint="eastAsia" w:ascii="宋体" w:hAnsi="宋体" w:cs="宋体"/>
                <w:kern w:val="0"/>
                <w:sz w:val="24"/>
              </w:rPr>
              <w:t>）</w:t>
            </w:r>
          </w:p>
        </w:tc>
        <w:tc>
          <w:tcPr>
            <w:tcW w:w="4261" w:type="dxa"/>
            <w:vAlign w:val="center"/>
          </w:tcPr>
          <w:p w14:paraId="3A809651">
            <w:pPr>
              <w:widowControl/>
              <w:rPr>
                <w:sz w:val="24"/>
              </w:rPr>
            </w:pPr>
          </w:p>
        </w:tc>
      </w:tr>
      <w:tr w14:paraId="27A8B6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261" w:type="dxa"/>
            <w:vAlign w:val="center"/>
          </w:tcPr>
          <w:p w14:paraId="1982B86E">
            <w:pPr>
              <w:widowControl/>
              <w:rPr>
                <w:sz w:val="24"/>
              </w:rPr>
            </w:pPr>
            <w:r>
              <w:rPr>
                <w:rFonts w:hint="eastAsia" w:ascii="宋体" w:hAnsi="宋体" w:cs="宋体"/>
                <w:kern w:val="0"/>
                <w:sz w:val="24"/>
              </w:rPr>
              <w:t>投标有效期</w:t>
            </w:r>
          </w:p>
        </w:tc>
        <w:tc>
          <w:tcPr>
            <w:tcW w:w="4261" w:type="dxa"/>
            <w:vAlign w:val="center"/>
          </w:tcPr>
          <w:p w14:paraId="0542F4A0">
            <w:pPr>
              <w:widowControl/>
              <w:rPr>
                <w:sz w:val="24"/>
              </w:rPr>
            </w:pPr>
            <w:r>
              <w:rPr>
                <w:rFonts w:hint="eastAsia"/>
                <w:sz w:val="24"/>
              </w:rPr>
              <w:t>从递交投标文件的截止之日起60天</w:t>
            </w:r>
          </w:p>
        </w:tc>
      </w:tr>
      <w:tr w14:paraId="553497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261" w:type="dxa"/>
            <w:vAlign w:val="center"/>
          </w:tcPr>
          <w:p w14:paraId="291EACEA">
            <w:pPr>
              <w:widowControl/>
              <w:rPr>
                <w:sz w:val="24"/>
              </w:rPr>
            </w:pPr>
            <w:r>
              <w:rPr>
                <w:rFonts w:hint="eastAsia" w:ascii="宋体" w:hAnsi="宋体" w:cs="宋体"/>
                <w:kern w:val="0"/>
                <w:sz w:val="24"/>
              </w:rPr>
              <w:t>项目实施地点</w:t>
            </w:r>
          </w:p>
        </w:tc>
        <w:tc>
          <w:tcPr>
            <w:tcW w:w="4261" w:type="dxa"/>
            <w:vAlign w:val="center"/>
          </w:tcPr>
          <w:p w14:paraId="7A85F870">
            <w:pPr>
              <w:widowControl/>
              <w:rPr>
                <w:sz w:val="24"/>
              </w:rPr>
            </w:pPr>
          </w:p>
        </w:tc>
      </w:tr>
      <w:tr w14:paraId="1AFDCE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261" w:type="dxa"/>
            <w:vAlign w:val="center"/>
          </w:tcPr>
          <w:p w14:paraId="3EE43E09">
            <w:pPr>
              <w:widowControl/>
              <w:rPr>
                <w:sz w:val="24"/>
              </w:rPr>
            </w:pPr>
            <w:r>
              <w:rPr>
                <w:rFonts w:hint="eastAsia" w:ascii="宋体" w:hAnsi="宋体" w:cs="宋体"/>
                <w:kern w:val="0"/>
                <w:sz w:val="24"/>
              </w:rPr>
              <w:t>备注</w:t>
            </w:r>
          </w:p>
        </w:tc>
        <w:tc>
          <w:tcPr>
            <w:tcW w:w="4261" w:type="dxa"/>
            <w:vAlign w:val="center"/>
          </w:tcPr>
          <w:p w14:paraId="33724337">
            <w:pPr>
              <w:widowControl/>
              <w:rPr>
                <w:sz w:val="24"/>
              </w:rPr>
            </w:pPr>
          </w:p>
        </w:tc>
      </w:tr>
    </w:tbl>
    <w:p w14:paraId="2E915CFC">
      <w:pPr>
        <w:widowControl/>
        <w:spacing w:after="240"/>
        <w:jc w:val="left"/>
        <w:rPr>
          <w:sz w:val="24"/>
        </w:rPr>
      </w:pPr>
    </w:p>
    <w:p w14:paraId="48A46721">
      <w:pPr>
        <w:pStyle w:val="18"/>
        <w:widowControl/>
        <w:shd w:val="clear" w:color="auto" w:fill="FFFFFF"/>
        <w:spacing w:before="0" w:beforeAutospacing="0" w:after="0" w:afterAutospacing="0" w:line="360" w:lineRule="auto"/>
        <w:rPr>
          <w:rFonts w:ascii="微软雅黑" w:hAnsi="微软雅黑" w:eastAsia="微软雅黑" w:cs="微软雅黑"/>
        </w:rPr>
      </w:pPr>
      <w:r>
        <w:rPr>
          <w:rFonts w:hint="eastAsia" w:ascii="宋体" w:hAnsi="宋体" w:cs="宋体"/>
          <w:shd w:val="clear" w:color="auto" w:fill="FFFFFF"/>
        </w:rPr>
        <w:t>投标单位：</w:t>
      </w:r>
      <w:r>
        <w:rPr>
          <w:rFonts w:hint="eastAsia" w:ascii="宋体" w:hAnsi="宋体" w:cs="宋体"/>
          <w:u w:val="single"/>
          <w:shd w:val="clear" w:color="auto" w:fill="FFFFFF"/>
        </w:rPr>
        <w:t>        </w:t>
      </w:r>
      <w:r>
        <w:rPr>
          <w:rFonts w:hint="eastAsia" w:ascii="宋体" w:hAnsi="宋体" w:cs="宋体"/>
          <w:shd w:val="clear" w:color="auto" w:fill="FFFFFF"/>
        </w:rPr>
        <w:t>（公章）    </w:t>
      </w:r>
    </w:p>
    <w:p w14:paraId="7BBCE4F2">
      <w:pPr>
        <w:pStyle w:val="18"/>
        <w:widowControl/>
        <w:shd w:val="clear" w:color="auto" w:fill="FFFFFF"/>
        <w:spacing w:before="0" w:beforeAutospacing="0" w:after="0" w:afterAutospacing="0" w:line="360" w:lineRule="auto"/>
        <w:rPr>
          <w:rFonts w:ascii="微软雅黑" w:hAnsi="微软雅黑" w:eastAsia="微软雅黑" w:cs="微软雅黑"/>
        </w:rPr>
      </w:pPr>
      <w:r>
        <w:rPr>
          <w:rFonts w:hint="eastAsia" w:ascii="宋体" w:hAnsi="宋体" w:cs="宋体"/>
          <w:shd w:val="clear" w:color="auto" w:fill="FFFFFF"/>
        </w:rPr>
        <w:t>    </w:t>
      </w:r>
    </w:p>
    <w:p w14:paraId="0B04D701">
      <w:pPr>
        <w:widowControl/>
        <w:spacing w:line="360" w:lineRule="auto"/>
        <w:jc w:val="left"/>
        <w:rPr>
          <w:sz w:val="24"/>
        </w:rPr>
      </w:pPr>
      <w:r>
        <w:rPr>
          <w:rFonts w:hint="eastAsia"/>
          <w:sz w:val="24"/>
        </w:rPr>
        <w:t>法定代表人（或授权代理人）</w:t>
      </w:r>
      <w:r>
        <w:rPr>
          <w:rFonts w:hint="eastAsia" w:ascii="宋体" w:hAnsi="宋体" w:cs="宋体"/>
          <w:sz w:val="24"/>
          <w:shd w:val="clear" w:color="auto" w:fill="FFFFFF"/>
        </w:rPr>
        <w:t>：</w:t>
      </w:r>
      <w:r>
        <w:rPr>
          <w:rFonts w:hint="eastAsia" w:ascii="宋体" w:hAnsi="宋体" w:cs="宋体"/>
          <w:sz w:val="24"/>
          <w:u w:val="single"/>
          <w:shd w:val="clear" w:color="auto" w:fill="FFFFFF"/>
        </w:rPr>
        <w:t>     （签字或盖章） </w:t>
      </w:r>
      <w:r>
        <w:rPr>
          <w:rFonts w:hint="eastAsia" w:ascii="宋体" w:hAnsi="宋体" w:cs="宋体"/>
          <w:sz w:val="24"/>
          <w:shd w:val="clear" w:color="auto" w:fill="FFFFFF"/>
        </w:rPr>
        <w:t> </w:t>
      </w:r>
    </w:p>
    <w:p w14:paraId="5CC74BB7">
      <w:pPr>
        <w:pStyle w:val="18"/>
        <w:widowControl/>
        <w:shd w:val="clear" w:color="auto" w:fill="FFFFFF"/>
        <w:spacing w:before="0" w:beforeAutospacing="0" w:after="0" w:afterAutospacing="0" w:line="360" w:lineRule="auto"/>
        <w:rPr>
          <w:rFonts w:ascii="宋体" w:hAnsi="宋体" w:cs="宋体"/>
          <w:shd w:val="clear" w:color="auto" w:fill="FFFFFF"/>
        </w:rPr>
      </w:pPr>
    </w:p>
    <w:p w14:paraId="2329E595">
      <w:pPr>
        <w:pStyle w:val="18"/>
        <w:widowControl/>
        <w:shd w:val="clear" w:color="auto" w:fill="FFFFFF"/>
        <w:spacing w:before="0" w:beforeAutospacing="0" w:after="0" w:afterAutospacing="0" w:line="360" w:lineRule="auto"/>
        <w:rPr>
          <w:rFonts w:ascii="微软雅黑" w:hAnsi="微软雅黑" w:eastAsia="微软雅黑" w:cs="微软雅黑"/>
        </w:rPr>
      </w:pPr>
      <w:r>
        <w:rPr>
          <w:rFonts w:hint="eastAsia" w:ascii="宋体" w:hAnsi="宋体" w:cs="宋体"/>
          <w:shd w:val="clear" w:color="auto" w:fill="FFFFFF"/>
        </w:rPr>
        <w:t>日期：</w:t>
      </w:r>
      <w:r>
        <w:rPr>
          <w:rFonts w:hint="eastAsia" w:ascii="宋体" w:hAnsi="宋体" w:cs="宋体"/>
          <w:u w:val="single"/>
          <w:shd w:val="clear" w:color="auto" w:fill="FFFFFF"/>
        </w:rPr>
        <w:t>        </w:t>
      </w:r>
      <w:r>
        <w:rPr>
          <w:rFonts w:hint="eastAsia" w:ascii="宋体" w:hAnsi="宋体" w:cs="宋体"/>
          <w:shd w:val="clear" w:color="auto" w:fill="FFFFFF"/>
        </w:rPr>
        <w:t>     </w:t>
      </w:r>
    </w:p>
    <w:p w14:paraId="5072EE31">
      <w:pPr>
        <w:widowControl/>
        <w:spacing w:line="360" w:lineRule="auto"/>
        <w:jc w:val="left"/>
        <w:rPr>
          <w:sz w:val="24"/>
        </w:rPr>
      </w:pPr>
    </w:p>
    <w:p w14:paraId="03CCB9AF">
      <w:pPr>
        <w:topLinePunct/>
        <w:snapToGrid w:val="0"/>
        <w:spacing w:before="4" w:line="360" w:lineRule="auto"/>
        <w:ind w:firstLine="480" w:firstLineChars="200"/>
        <w:rPr>
          <w:rFonts w:ascii="仿宋_GB2312" w:hAnsi="仿宋" w:eastAsia="仿宋_GB2312"/>
          <w:sz w:val="24"/>
        </w:rPr>
      </w:pPr>
    </w:p>
    <w:p w14:paraId="06AF21C9">
      <w:pPr>
        <w:snapToGrid w:val="0"/>
        <w:jc w:val="center"/>
        <w:rPr>
          <w:rFonts w:ascii="宋体" w:hAnsi="宋体" w:cs="Lucida Sans Unicode"/>
          <w:b/>
          <w:sz w:val="44"/>
          <w:szCs w:val="44"/>
        </w:rPr>
        <w:sectPr>
          <w:pgSz w:w="11906" w:h="16838"/>
          <w:pgMar w:top="1440" w:right="1800" w:bottom="1246" w:left="1800" w:header="851" w:footer="992" w:gutter="0"/>
          <w:cols w:space="720" w:num="1"/>
          <w:titlePg/>
          <w:docGrid w:type="lines" w:linePitch="312" w:charSpace="0"/>
        </w:sectPr>
      </w:pPr>
    </w:p>
    <w:p w14:paraId="4C3C4236">
      <w:pPr>
        <w:spacing w:line="560" w:lineRule="exact"/>
        <w:jc w:val="center"/>
        <w:rPr>
          <w:rFonts w:ascii="宋体" w:hAnsi="宋体" w:cs="Lucida Sans Unicode"/>
          <w:b/>
          <w:sz w:val="36"/>
          <w:szCs w:val="36"/>
        </w:rPr>
      </w:pPr>
      <w:r>
        <w:rPr>
          <w:rFonts w:hint="eastAsia" w:ascii="宋体" w:hAnsi="宋体" w:cs="Lucida Sans Unicode"/>
          <w:b/>
          <w:sz w:val="36"/>
          <w:szCs w:val="36"/>
        </w:rPr>
        <w:t>符合性审查响应表</w:t>
      </w:r>
    </w:p>
    <w:p w14:paraId="747BF3D7">
      <w:pPr>
        <w:spacing w:line="360" w:lineRule="auto"/>
        <w:ind w:firstLine="480" w:firstLineChars="200"/>
        <w:rPr>
          <w:rFonts w:ascii="宋体" w:hAnsi="宋体"/>
          <w:sz w:val="24"/>
        </w:rPr>
      </w:pPr>
    </w:p>
    <w:p w14:paraId="0FF51111">
      <w:pPr>
        <w:spacing w:line="360" w:lineRule="auto"/>
        <w:ind w:firstLine="480" w:firstLineChars="200"/>
        <w:rPr>
          <w:rFonts w:ascii="宋体" w:hAnsi="宋体"/>
          <w:b/>
          <w:sz w:val="24"/>
        </w:rPr>
      </w:pPr>
      <w:r>
        <w:rPr>
          <w:rFonts w:hint="eastAsia" w:ascii="宋体" w:hAnsi="宋体"/>
          <w:sz w:val="24"/>
        </w:rPr>
        <w:t>说明：供应商必须仔细阅读招标文件中所有符合性审查内容，对所有符合性审查条款的响应情况逐项列入下表，并对其响应情况进行说明。未列入下表的视作供应商不响应。</w:t>
      </w:r>
    </w:p>
    <w:p w14:paraId="429BD29B">
      <w:pPr>
        <w:spacing w:line="360" w:lineRule="auto"/>
        <w:ind w:firstLine="482" w:firstLineChars="200"/>
        <w:rPr>
          <w:rFonts w:ascii="宋体" w:hAnsi="宋体"/>
          <w:b/>
          <w:sz w:val="24"/>
        </w:rPr>
      </w:pPr>
    </w:p>
    <w:tbl>
      <w:tblPr>
        <w:tblStyle w:val="19"/>
        <w:tblW w:w="87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4"/>
        <w:gridCol w:w="1215"/>
        <w:gridCol w:w="1729"/>
        <w:gridCol w:w="921"/>
        <w:gridCol w:w="751"/>
        <w:gridCol w:w="2254"/>
        <w:gridCol w:w="1140"/>
      </w:tblGrid>
      <w:tr w14:paraId="13FB51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754" w:type="dxa"/>
            <w:tcBorders>
              <w:top w:val="single" w:color="auto" w:sz="4" w:space="0"/>
              <w:left w:val="single" w:color="auto" w:sz="4" w:space="0"/>
              <w:bottom w:val="single" w:color="auto" w:sz="4" w:space="0"/>
              <w:right w:val="single" w:color="auto" w:sz="4" w:space="0"/>
            </w:tcBorders>
          </w:tcPr>
          <w:p w14:paraId="777B31B9">
            <w:pPr>
              <w:spacing w:line="480" w:lineRule="exact"/>
              <w:jc w:val="center"/>
              <w:rPr>
                <w:rFonts w:ascii="宋体" w:hAnsi="宋体"/>
                <w:b/>
                <w:szCs w:val="21"/>
              </w:rPr>
            </w:pPr>
            <w:r>
              <w:rPr>
                <w:rFonts w:hint="eastAsia" w:ascii="宋体" w:hAnsi="宋体"/>
                <w:b/>
                <w:szCs w:val="21"/>
              </w:rPr>
              <w:t>序号</w:t>
            </w:r>
          </w:p>
        </w:tc>
        <w:tc>
          <w:tcPr>
            <w:tcW w:w="1215" w:type="dxa"/>
            <w:tcBorders>
              <w:top w:val="single" w:color="auto" w:sz="4" w:space="0"/>
              <w:left w:val="single" w:color="auto" w:sz="4" w:space="0"/>
              <w:bottom w:val="single" w:color="auto" w:sz="4" w:space="0"/>
              <w:right w:val="single" w:color="auto" w:sz="4" w:space="0"/>
            </w:tcBorders>
          </w:tcPr>
          <w:p w14:paraId="1CBDC686">
            <w:pPr>
              <w:spacing w:line="480" w:lineRule="exact"/>
              <w:jc w:val="center"/>
              <w:rPr>
                <w:rFonts w:ascii="宋体" w:hAnsi="宋体"/>
                <w:b/>
                <w:szCs w:val="21"/>
              </w:rPr>
            </w:pPr>
            <w:r>
              <w:rPr>
                <w:rFonts w:hint="eastAsia" w:ascii="宋体" w:hAnsi="宋体"/>
                <w:b/>
                <w:szCs w:val="21"/>
              </w:rPr>
              <w:t>评审因素</w:t>
            </w:r>
          </w:p>
        </w:tc>
        <w:tc>
          <w:tcPr>
            <w:tcW w:w="1729" w:type="dxa"/>
            <w:tcBorders>
              <w:top w:val="single" w:color="auto" w:sz="4" w:space="0"/>
              <w:left w:val="single" w:color="auto" w:sz="4" w:space="0"/>
              <w:bottom w:val="single" w:color="auto" w:sz="4" w:space="0"/>
              <w:right w:val="single" w:color="auto" w:sz="4" w:space="0"/>
            </w:tcBorders>
          </w:tcPr>
          <w:p w14:paraId="7D890484">
            <w:pPr>
              <w:spacing w:line="480" w:lineRule="exact"/>
              <w:jc w:val="center"/>
              <w:rPr>
                <w:rFonts w:ascii="宋体" w:hAnsi="宋体"/>
                <w:b/>
                <w:szCs w:val="21"/>
              </w:rPr>
            </w:pPr>
            <w:r>
              <w:rPr>
                <w:rFonts w:hint="eastAsia" w:ascii="宋体" w:hAnsi="宋体"/>
                <w:b/>
                <w:szCs w:val="21"/>
              </w:rPr>
              <w:t>评审标准</w:t>
            </w:r>
          </w:p>
        </w:tc>
        <w:tc>
          <w:tcPr>
            <w:tcW w:w="921" w:type="dxa"/>
            <w:tcBorders>
              <w:top w:val="single" w:color="auto" w:sz="4" w:space="0"/>
              <w:left w:val="single" w:color="auto" w:sz="4" w:space="0"/>
              <w:bottom w:val="single" w:color="auto" w:sz="4" w:space="0"/>
              <w:right w:val="single" w:color="auto" w:sz="4" w:space="0"/>
            </w:tcBorders>
          </w:tcPr>
          <w:p w14:paraId="63EEDAE7">
            <w:pPr>
              <w:spacing w:line="480" w:lineRule="exact"/>
              <w:jc w:val="center"/>
              <w:rPr>
                <w:rFonts w:ascii="宋体" w:hAnsi="宋体"/>
                <w:b/>
                <w:szCs w:val="21"/>
              </w:rPr>
            </w:pPr>
            <w:r>
              <w:rPr>
                <w:rFonts w:hint="eastAsia" w:ascii="宋体" w:hAnsi="宋体"/>
                <w:b/>
                <w:szCs w:val="21"/>
              </w:rPr>
              <w:t>起页</w:t>
            </w:r>
          </w:p>
        </w:tc>
        <w:tc>
          <w:tcPr>
            <w:tcW w:w="751" w:type="dxa"/>
            <w:tcBorders>
              <w:top w:val="single" w:color="auto" w:sz="4" w:space="0"/>
              <w:left w:val="single" w:color="auto" w:sz="4" w:space="0"/>
              <w:bottom w:val="single" w:color="auto" w:sz="4" w:space="0"/>
              <w:right w:val="single" w:color="auto" w:sz="4" w:space="0"/>
            </w:tcBorders>
          </w:tcPr>
          <w:p w14:paraId="6C70F815">
            <w:pPr>
              <w:spacing w:line="480" w:lineRule="exact"/>
              <w:jc w:val="center"/>
              <w:rPr>
                <w:rFonts w:ascii="宋体" w:hAnsi="宋体"/>
                <w:b/>
                <w:szCs w:val="21"/>
              </w:rPr>
            </w:pPr>
            <w:r>
              <w:rPr>
                <w:rFonts w:hint="eastAsia" w:ascii="宋体" w:hAnsi="宋体"/>
                <w:b/>
                <w:szCs w:val="21"/>
              </w:rPr>
              <w:t>止页</w:t>
            </w:r>
          </w:p>
        </w:tc>
        <w:tc>
          <w:tcPr>
            <w:tcW w:w="2254" w:type="dxa"/>
            <w:tcBorders>
              <w:top w:val="single" w:color="auto" w:sz="4" w:space="0"/>
              <w:left w:val="single" w:color="auto" w:sz="4" w:space="0"/>
              <w:bottom w:val="single" w:color="auto" w:sz="4" w:space="0"/>
              <w:right w:val="single" w:color="auto" w:sz="4" w:space="0"/>
            </w:tcBorders>
          </w:tcPr>
          <w:p w14:paraId="325E3864">
            <w:pPr>
              <w:spacing w:line="480" w:lineRule="exact"/>
              <w:jc w:val="center"/>
              <w:rPr>
                <w:rFonts w:ascii="宋体" w:hAnsi="宋体"/>
                <w:b/>
                <w:szCs w:val="21"/>
              </w:rPr>
            </w:pPr>
            <w:r>
              <w:rPr>
                <w:rFonts w:hint="eastAsia" w:ascii="宋体" w:hAnsi="宋体"/>
                <w:b/>
                <w:szCs w:val="21"/>
              </w:rPr>
              <w:t>响应情况</w:t>
            </w:r>
            <w:r>
              <w:rPr>
                <w:rFonts w:hint="eastAsia" w:ascii="宋体" w:hAnsi="宋体"/>
                <w:szCs w:val="21"/>
              </w:rPr>
              <w:t>（＋/-/=）</w:t>
            </w:r>
          </w:p>
        </w:tc>
        <w:tc>
          <w:tcPr>
            <w:tcW w:w="1140" w:type="dxa"/>
            <w:tcBorders>
              <w:top w:val="single" w:color="auto" w:sz="4" w:space="0"/>
              <w:left w:val="single" w:color="auto" w:sz="4" w:space="0"/>
              <w:bottom w:val="single" w:color="auto" w:sz="4" w:space="0"/>
              <w:right w:val="single" w:color="auto" w:sz="4" w:space="0"/>
            </w:tcBorders>
          </w:tcPr>
          <w:p w14:paraId="6C35FB85">
            <w:pPr>
              <w:spacing w:line="480" w:lineRule="exact"/>
              <w:jc w:val="center"/>
              <w:rPr>
                <w:rFonts w:ascii="宋体" w:hAnsi="宋体"/>
                <w:b/>
                <w:szCs w:val="21"/>
              </w:rPr>
            </w:pPr>
            <w:r>
              <w:rPr>
                <w:rFonts w:hint="eastAsia" w:ascii="宋体" w:hAnsi="宋体"/>
                <w:b/>
                <w:szCs w:val="21"/>
              </w:rPr>
              <w:t>备注</w:t>
            </w:r>
          </w:p>
        </w:tc>
      </w:tr>
      <w:tr w14:paraId="13CA2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jc w:val="center"/>
        </w:trPr>
        <w:tc>
          <w:tcPr>
            <w:tcW w:w="754" w:type="dxa"/>
            <w:tcBorders>
              <w:top w:val="single" w:color="auto" w:sz="4" w:space="0"/>
              <w:left w:val="single" w:color="auto" w:sz="4" w:space="0"/>
              <w:bottom w:val="single" w:color="auto" w:sz="4" w:space="0"/>
              <w:right w:val="single" w:color="auto" w:sz="4" w:space="0"/>
            </w:tcBorders>
            <w:vAlign w:val="center"/>
          </w:tcPr>
          <w:p w14:paraId="1785B475">
            <w:pPr>
              <w:spacing w:line="320" w:lineRule="exact"/>
              <w:jc w:val="center"/>
              <w:rPr>
                <w:rFonts w:ascii="宋体" w:hAnsi="宋体"/>
                <w:b/>
                <w:szCs w:val="21"/>
              </w:rPr>
            </w:pPr>
            <w:r>
              <w:rPr>
                <w:rFonts w:hint="eastAsia" w:ascii="宋体" w:hAnsi="宋体"/>
                <w:b/>
                <w:szCs w:val="21"/>
              </w:rPr>
              <w:t>1</w:t>
            </w:r>
          </w:p>
        </w:tc>
        <w:tc>
          <w:tcPr>
            <w:tcW w:w="1215" w:type="dxa"/>
            <w:tcBorders>
              <w:top w:val="single" w:color="auto" w:sz="4" w:space="0"/>
              <w:left w:val="single" w:color="auto" w:sz="4" w:space="0"/>
              <w:right w:val="single" w:color="auto" w:sz="4" w:space="0"/>
            </w:tcBorders>
            <w:vAlign w:val="center"/>
          </w:tcPr>
          <w:p w14:paraId="488F6902">
            <w:pPr>
              <w:spacing w:line="480" w:lineRule="exact"/>
              <w:jc w:val="center"/>
              <w:rPr>
                <w:rFonts w:ascii="宋体" w:hAnsi="宋体"/>
                <w:b/>
                <w:szCs w:val="21"/>
              </w:rPr>
            </w:pPr>
          </w:p>
        </w:tc>
        <w:tc>
          <w:tcPr>
            <w:tcW w:w="1729" w:type="dxa"/>
            <w:tcBorders>
              <w:top w:val="single" w:color="auto" w:sz="4" w:space="0"/>
              <w:left w:val="single" w:color="auto" w:sz="4" w:space="0"/>
              <w:bottom w:val="single" w:color="auto" w:sz="4" w:space="0"/>
              <w:right w:val="single" w:color="auto" w:sz="4" w:space="0"/>
            </w:tcBorders>
          </w:tcPr>
          <w:p w14:paraId="1AF38D6D">
            <w:pPr>
              <w:spacing w:line="320" w:lineRule="exact"/>
              <w:rPr>
                <w:rFonts w:ascii="宋体" w:hAnsi="宋体" w:cs="宋体"/>
                <w:kern w:val="0"/>
                <w:sz w:val="20"/>
                <w:szCs w:val="20"/>
              </w:rPr>
            </w:pPr>
          </w:p>
        </w:tc>
        <w:tc>
          <w:tcPr>
            <w:tcW w:w="921" w:type="dxa"/>
            <w:tcBorders>
              <w:top w:val="single" w:color="auto" w:sz="4" w:space="0"/>
              <w:left w:val="single" w:color="auto" w:sz="4" w:space="0"/>
              <w:bottom w:val="single" w:color="auto" w:sz="4" w:space="0"/>
              <w:right w:val="single" w:color="auto" w:sz="4" w:space="0"/>
            </w:tcBorders>
          </w:tcPr>
          <w:p w14:paraId="0873715C">
            <w:pPr>
              <w:spacing w:line="480" w:lineRule="exact"/>
              <w:jc w:val="center"/>
              <w:rPr>
                <w:rFonts w:ascii="宋体" w:hAnsi="宋体"/>
                <w:b/>
                <w:szCs w:val="21"/>
              </w:rPr>
            </w:pPr>
          </w:p>
        </w:tc>
        <w:tc>
          <w:tcPr>
            <w:tcW w:w="751" w:type="dxa"/>
            <w:tcBorders>
              <w:top w:val="single" w:color="auto" w:sz="4" w:space="0"/>
              <w:left w:val="single" w:color="auto" w:sz="4" w:space="0"/>
              <w:bottom w:val="single" w:color="auto" w:sz="4" w:space="0"/>
              <w:right w:val="single" w:color="auto" w:sz="4" w:space="0"/>
            </w:tcBorders>
          </w:tcPr>
          <w:p w14:paraId="4A9499B4">
            <w:pPr>
              <w:spacing w:line="480" w:lineRule="exact"/>
              <w:jc w:val="center"/>
              <w:rPr>
                <w:rFonts w:ascii="宋体" w:hAnsi="宋体"/>
                <w:b/>
                <w:szCs w:val="21"/>
              </w:rPr>
            </w:pPr>
          </w:p>
        </w:tc>
        <w:tc>
          <w:tcPr>
            <w:tcW w:w="2254" w:type="dxa"/>
            <w:tcBorders>
              <w:top w:val="single" w:color="auto" w:sz="4" w:space="0"/>
              <w:left w:val="single" w:color="auto" w:sz="4" w:space="0"/>
              <w:bottom w:val="single" w:color="auto" w:sz="4" w:space="0"/>
              <w:right w:val="single" w:color="auto" w:sz="4" w:space="0"/>
            </w:tcBorders>
          </w:tcPr>
          <w:p w14:paraId="24FFB42D">
            <w:pPr>
              <w:spacing w:line="480" w:lineRule="exact"/>
              <w:jc w:val="center"/>
              <w:rPr>
                <w:rFonts w:ascii="宋体" w:hAnsi="宋体"/>
                <w:b/>
                <w:szCs w:val="21"/>
              </w:rPr>
            </w:pPr>
          </w:p>
        </w:tc>
        <w:tc>
          <w:tcPr>
            <w:tcW w:w="1140" w:type="dxa"/>
            <w:tcBorders>
              <w:top w:val="single" w:color="auto" w:sz="4" w:space="0"/>
              <w:left w:val="single" w:color="auto" w:sz="4" w:space="0"/>
              <w:bottom w:val="single" w:color="auto" w:sz="4" w:space="0"/>
              <w:right w:val="single" w:color="auto" w:sz="4" w:space="0"/>
            </w:tcBorders>
          </w:tcPr>
          <w:p w14:paraId="4CE6A4F2">
            <w:pPr>
              <w:spacing w:line="480" w:lineRule="exact"/>
              <w:jc w:val="center"/>
              <w:rPr>
                <w:rFonts w:ascii="宋体" w:hAnsi="宋体"/>
                <w:b/>
                <w:szCs w:val="21"/>
              </w:rPr>
            </w:pPr>
          </w:p>
        </w:tc>
      </w:tr>
      <w:tr w14:paraId="6A2C24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jc w:val="center"/>
        </w:trPr>
        <w:tc>
          <w:tcPr>
            <w:tcW w:w="754" w:type="dxa"/>
            <w:tcBorders>
              <w:top w:val="single" w:color="auto" w:sz="4" w:space="0"/>
              <w:left w:val="single" w:color="auto" w:sz="4" w:space="0"/>
              <w:bottom w:val="single" w:color="auto" w:sz="4" w:space="0"/>
              <w:right w:val="single" w:color="auto" w:sz="4" w:space="0"/>
            </w:tcBorders>
            <w:vAlign w:val="center"/>
          </w:tcPr>
          <w:p w14:paraId="221FE6C8">
            <w:pPr>
              <w:spacing w:line="320" w:lineRule="exact"/>
              <w:jc w:val="center"/>
              <w:rPr>
                <w:rFonts w:ascii="宋体" w:hAnsi="宋体"/>
                <w:b/>
                <w:szCs w:val="21"/>
              </w:rPr>
            </w:pPr>
            <w:r>
              <w:rPr>
                <w:rFonts w:hint="eastAsia" w:ascii="宋体" w:hAnsi="宋体"/>
                <w:b/>
                <w:szCs w:val="21"/>
              </w:rPr>
              <w:t>2</w:t>
            </w:r>
          </w:p>
        </w:tc>
        <w:tc>
          <w:tcPr>
            <w:tcW w:w="1215" w:type="dxa"/>
            <w:tcBorders>
              <w:left w:val="single" w:color="auto" w:sz="4" w:space="0"/>
              <w:right w:val="single" w:color="auto" w:sz="4" w:space="0"/>
            </w:tcBorders>
            <w:vAlign w:val="center"/>
          </w:tcPr>
          <w:p w14:paraId="254FB1D2">
            <w:pPr>
              <w:spacing w:line="480" w:lineRule="exact"/>
              <w:jc w:val="center"/>
              <w:rPr>
                <w:rFonts w:ascii="宋体" w:hAnsi="宋体"/>
                <w:b/>
                <w:szCs w:val="21"/>
              </w:rPr>
            </w:pPr>
          </w:p>
        </w:tc>
        <w:tc>
          <w:tcPr>
            <w:tcW w:w="1729" w:type="dxa"/>
            <w:tcBorders>
              <w:top w:val="single" w:color="auto" w:sz="4" w:space="0"/>
              <w:left w:val="single" w:color="auto" w:sz="4" w:space="0"/>
              <w:bottom w:val="single" w:color="auto" w:sz="4" w:space="0"/>
              <w:right w:val="single" w:color="auto" w:sz="4" w:space="0"/>
            </w:tcBorders>
          </w:tcPr>
          <w:p w14:paraId="6494BBBF">
            <w:pPr>
              <w:spacing w:line="320" w:lineRule="exact"/>
              <w:rPr>
                <w:rFonts w:ascii="宋体" w:hAnsi="宋体" w:cs="宋体"/>
                <w:kern w:val="0"/>
                <w:sz w:val="20"/>
                <w:szCs w:val="20"/>
              </w:rPr>
            </w:pPr>
          </w:p>
        </w:tc>
        <w:tc>
          <w:tcPr>
            <w:tcW w:w="921" w:type="dxa"/>
            <w:tcBorders>
              <w:top w:val="single" w:color="auto" w:sz="4" w:space="0"/>
              <w:left w:val="single" w:color="auto" w:sz="4" w:space="0"/>
              <w:bottom w:val="single" w:color="auto" w:sz="4" w:space="0"/>
              <w:right w:val="single" w:color="auto" w:sz="4" w:space="0"/>
            </w:tcBorders>
          </w:tcPr>
          <w:p w14:paraId="62CA0F03">
            <w:pPr>
              <w:spacing w:line="480" w:lineRule="exact"/>
              <w:jc w:val="center"/>
              <w:rPr>
                <w:rFonts w:ascii="宋体" w:hAnsi="宋体"/>
                <w:b/>
                <w:szCs w:val="21"/>
              </w:rPr>
            </w:pPr>
          </w:p>
        </w:tc>
        <w:tc>
          <w:tcPr>
            <w:tcW w:w="751" w:type="dxa"/>
            <w:tcBorders>
              <w:top w:val="single" w:color="auto" w:sz="4" w:space="0"/>
              <w:left w:val="single" w:color="auto" w:sz="4" w:space="0"/>
              <w:bottom w:val="single" w:color="auto" w:sz="4" w:space="0"/>
              <w:right w:val="single" w:color="auto" w:sz="4" w:space="0"/>
            </w:tcBorders>
          </w:tcPr>
          <w:p w14:paraId="57A378F1">
            <w:pPr>
              <w:spacing w:line="480" w:lineRule="exact"/>
              <w:jc w:val="center"/>
              <w:rPr>
                <w:rFonts w:ascii="宋体" w:hAnsi="宋体"/>
                <w:b/>
                <w:szCs w:val="21"/>
              </w:rPr>
            </w:pPr>
          </w:p>
        </w:tc>
        <w:tc>
          <w:tcPr>
            <w:tcW w:w="2254" w:type="dxa"/>
            <w:tcBorders>
              <w:top w:val="single" w:color="auto" w:sz="4" w:space="0"/>
              <w:left w:val="single" w:color="auto" w:sz="4" w:space="0"/>
              <w:bottom w:val="single" w:color="auto" w:sz="4" w:space="0"/>
              <w:right w:val="single" w:color="auto" w:sz="4" w:space="0"/>
            </w:tcBorders>
          </w:tcPr>
          <w:p w14:paraId="48925FD5">
            <w:pPr>
              <w:spacing w:line="480" w:lineRule="exact"/>
              <w:jc w:val="center"/>
              <w:rPr>
                <w:rFonts w:ascii="宋体" w:hAnsi="宋体"/>
                <w:b/>
                <w:szCs w:val="21"/>
              </w:rPr>
            </w:pPr>
          </w:p>
        </w:tc>
        <w:tc>
          <w:tcPr>
            <w:tcW w:w="1140" w:type="dxa"/>
            <w:tcBorders>
              <w:top w:val="single" w:color="auto" w:sz="4" w:space="0"/>
              <w:left w:val="single" w:color="auto" w:sz="4" w:space="0"/>
              <w:bottom w:val="single" w:color="auto" w:sz="4" w:space="0"/>
              <w:right w:val="single" w:color="auto" w:sz="4" w:space="0"/>
            </w:tcBorders>
          </w:tcPr>
          <w:p w14:paraId="09A9622E">
            <w:pPr>
              <w:spacing w:line="480" w:lineRule="exact"/>
              <w:jc w:val="center"/>
              <w:rPr>
                <w:rFonts w:ascii="宋体" w:hAnsi="宋体"/>
                <w:b/>
                <w:szCs w:val="21"/>
              </w:rPr>
            </w:pPr>
          </w:p>
        </w:tc>
      </w:tr>
      <w:tr w14:paraId="18A9D2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 w:hRule="atLeast"/>
          <w:jc w:val="center"/>
        </w:trPr>
        <w:tc>
          <w:tcPr>
            <w:tcW w:w="754" w:type="dxa"/>
            <w:tcBorders>
              <w:top w:val="single" w:color="auto" w:sz="4" w:space="0"/>
              <w:left w:val="single" w:color="auto" w:sz="4" w:space="0"/>
              <w:bottom w:val="single" w:color="auto" w:sz="4" w:space="0"/>
              <w:right w:val="single" w:color="auto" w:sz="4" w:space="0"/>
            </w:tcBorders>
            <w:vAlign w:val="center"/>
          </w:tcPr>
          <w:p w14:paraId="05FEB75F">
            <w:pPr>
              <w:spacing w:line="320" w:lineRule="exact"/>
              <w:jc w:val="center"/>
              <w:rPr>
                <w:rFonts w:ascii="宋体" w:hAnsi="宋体"/>
                <w:b/>
                <w:szCs w:val="21"/>
              </w:rPr>
            </w:pPr>
            <w:r>
              <w:rPr>
                <w:rFonts w:hint="eastAsia" w:ascii="宋体" w:hAnsi="宋体"/>
                <w:b/>
                <w:szCs w:val="21"/>
              </w:rPr>
              <w:t>3</w:t>
            </w:r>
          </w:p>
        </w:tc>
        <w:tc>
          <w:tcPr>
            <w:tcW w:w="1215" w:type="dxa"/>
            <w:tcBorders>
              <w:left w:val="single" w:color="auto" w:sz="4" w:space="0"/>
              <w:right w:val="single" w:color="auto" w:sz="4" w:space="0"/>
            </w:tcBorders>
            <w:vAlign w:val="center"/>
          </w:tcPr>
          <w:p w14:paraId="47850A7C">
            <w:pPr>
              <w:spacing w:line="480" w:lineRule="exact"/>
              <w:jc w:val="center"/>
              <w:rPr>
                <w:rFonts w:ascii="宋体" w:hAnsi="宋体"/>
                <w:b/>
                <w:szCs w:val="21"/>
              </w:rPr>
            </w:pPr>
          </w:p>
        </w:tc>
        <w:tc>
          <w:tcPr>
            <w:tcW w:w="1729" w:type="dxa"/>
            <w:tcBorders>
              <w:top w:val="single" w:color="auto" w:sz="4" w:space="0"/>
              <w:left w:val="single" w:color="auto" w:sz="4" w:space="0"/>
              <w:bottom w:val="single" w:color="auto" w:sz="4" w:space="0"/>
              <w:right w:val="single" w:color="auto" w:sz="4" w:space="0"/>
            </w:tcBorders>
          </w:tcPr>
          <w:p w14:paraId="19DE510E">
            <w:pPr>
              <w:spacing w:line="320" w:lineRule="exact"/>
              <w:rPr>
                <w:rFonts w:ascii="宋体" w:hAnsi="宋体" w:cs="宋体"/>
                <w:kern w:val="0"/>
                <w:sz w:val="20"/>
                <w:szCs w:val="20"/>
              </w:rPr>
            </w:pPr>
          </w:p>
        </w:tc>
        <w:tc>
          <w:tcPr>
            <w:tcW w:w="921" w:type="dxa"/>
            <w:tcBorders>
              <w:top w:val="single" w:color="auto" w:sz="4" w:space="0"/>
              <w:left w:val="single" w:color="auto" w:sz="4" w:space="0"/>
              <w:bottom w:val="single" w:color="auto" w:sz="4" w:space="0"/>
              <w:right w:val="single" w:color="auto" w:sz="4" w:space="0"/>
            </w:tcBorders>
          </w:tcPr>
          <w:p w14:paraId="4D5FFA1F">
            <w:pPr>
              <w:spacing w:line="480" w:lineRule="exact"/>
              <w:jc w:val="center"/>
              <w:rPr>
                <w:rFonts w:ascii="宋体" w:hAnsi="宋体"/>
                <w:b/>
                <w:szCs w:val="21"/>
              </w:rPr>
            </w:pPr>
          </w:p>
        </w:tc>
        <w:tc>
          <w:tcPr>
            <w:tcW w:w="751" w:type="dxa"/>
            <w:tcBorders>
              <w:top w:val="single" w:color="auto" w:sz="4" w:space="0"/>
              <w:left w:val="single" w:color="auto" w:sz="4" w:space="0"/>
              <w:bottom w:val="single" w:color="auto" w:sz="4" w:space="0"/>
              <w:right w:val="single" w:color="auto" w:sz="4" w:space="0"/>
            </w:tcBorders>
          </w:tcPr>
          <w:p w14:paraId="4F2945E4">
            <w:pPr>
              <w:spacing w:line="480" w:lineRule="exact"/>
              <w:jc w:val="center"/>
              <w:rPr>
                <w:rFonts w:ascii="宋体" w:hAnsi="宋体"/>
                <w:b/>
                <w:szCs w:val="21"/>
              </w:rPr>
            </w:pPr>
          </w:p>
        </w:tc>
        <w:tc>
          <w:tcPr>
            <w:tcW w:w="2254" w:type="dxa"/>
            <w:tcBorders>
              <w:top w:val="single" w:color="auto" w:sz="4" w:space="0"/>
              <w:left w:val="single" w:color="auto" w:sz="4" w:space="0"/>
              <w:bottom w:val="single" w:color="auto" w:sz="4" w:space="0"/>
              <w:right w:val="single" w:color="auto" w:sz="4" w:space="0"/>
            </w:tcBorders>
          </w:tcPr>
          <w:p w14:paraId="61D06FF6">
            <w:pPr>
              <w:spacing w:line="480" w:lineRule="exact"/>
              <w:jc w:val="center"/>
              <w:rPr>
                <w:rFonts w:ascii="宋体" w:hAnsi="宋体"/>
                <w:b/>
                <w:szCs w:val="21"/>
              </w:rPr>
            </w:pPr>
          </w:p>
        </w:tc>
        <w:tc>
          <w:tcPr>
            <w:tcW w:w="1140" w:type="dxa"/>
            <w:tcBorders>
              <w:top w:val="single" w:color="auto" w:sz="4" w:space="0"/>
              <w:left w:val="single" w:color="auto" w:sz="4" w:space="0"/>
              <w:bottom w:val="single" w:color="auto" w:sz="4" w:space="0"/>
              <w:right w:val="single" w:color="auto" w:sz="4" w:space="0"/>
            </w:tcBorders>
          </w:tcPr>
          <w:p w14:paraId="429203F7">
            <w:pPr>
              <w:spacing w:line="480" w:lineRule="exact"/>
              <w:jc w:val="center"/>
              <w:rPr>
                <w:rFonts w:ascii="宋体" w:hAnsi="宋体"/>
                <w:b/>
                <w:szCs w:val="21"/>
              </w:rPr>
            </w:pPr>
          </w:p>
        </w:tc>
      </w:tr>
      <w:tr w14:paraId="3774BB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754" w:type="dxa"/>
            <w:tcBorders>
              <w:top w:val="single" w:color="auto" w:sz="4" w:space="0"/>
              <w:left w:val="single" w:color="auto" w:sz="4" w:space="0"/>
              <w:bottom w:val="single" w:color="auto" w:sz="4" w:space="0"/>
              <w:right w:val="single" w:color="auto" w:sz="4" w:space="0"/>
            </w:tcBorders>
            <w:vAlign w:val="center"/>
          </w:tcPr>
          <w:p w14:paraId="2AC67522">
            <w:pPr>
              <w:spacing w:line="320" w:lineRule="exact"/>
              <w:jc w:val="center"/>
              <w:rPr>
                <w:rFonts w:ascii="宋体" w:hAnsi="宋体"/>
                <w:b/>
                <w:szCs w:val="21"/>
              </w:rPr>
            </w:pPr>
            <w:r>
              <w:rPr>
                <w:rFonts w:hint="eastAsia" w:ascii="宋体" w:hAnsi="宋体"/>
                <w:b/>
                <w:szCs w:val="21"/>
              </w:rPr>
              <w:t>....</w:t>
            </w:r>
          </w:p>
          <w:p w14:paraId="13B4151A">
            <w:pPr>
              <w:spacing w:line="320" w:lineRule="exact"/>
              <w:jc w:val="center"/>
              <w:rPr>
                <w:rFonts w:ascii="宋体" w:hAnsi="宋体"/>
                <w:b/>
                <w:szCs w:val="21"/>
              </w:rPr>
            </w:pPr>
            <w:r>
              <w:rPr>
                <w:rFonts w:hint="eastAsia" w:ascii="宋体" w:hAnsi="宋体"/>
                <w:b/>
                <w:szCs w:val="21"/>
              </w:rPr>
              <w:t>....</w:t>
            </w:r>
          </w:p>
        </w:tc>
        <w:tc>
          <w:tcPr>
            <w:tcW w:w="1215" w:type="dxa"/>
            <w:tcBorders>
              <w:left w:val="single" w:color="auto" w:sz="4" w:space="0"/>
              <w:right w:val="single" w:color="auto" w:sz="4" w:space="0"/>
            </w:tcBorders>
            <w:vAlign w:val="center"/>
          </w:tcPr>
          <w:p w14:paraId="7F4E6B84">
            <w:pPr>
              <w:spacing w:line="480" w:lineRule="exact"/>
              <w:jc w:val="center"/>
              <w:rPr>
                <w:rFonts w:ascii="宋体" w:hAnsi="宋体"/>
                <w:b/>
                <w:szCs w:val="21"/>
              </w:rPr>
            </w:pPr>
          </w:p>
        </w:tc>
        <w:tc>
          <w:tcPr>
            <w:tcW w:w="1729" w:type="dxa"/>
            <w:tcBorders>
              <w:top w:val="single" w:color="auto" w:sz="4" w:space="0"/>
              <w:left w:val="single" w:color="auto" w:sz="4" w:space="0"/>
              <w:bottom w:val="single" w:color="auto" w:sz="4" w:space="0"/>
              <w:right w:val="single" w:color="auto" w:sz="4" w:space="0"/>
            </w:tcBorders>
          </w:tcPr>
          <w:p w14:paraId="4465683A">
            <w:pPr>
              <w:spacing w:line="320" w:lineRule="exact"/>
              <w:rPr>
                <w:rFonts w:ascii="宋体" w:hAnsi="宋体" w:cs="宋体"/>
                <w:kern w:val="0"/>
                <w:sz w:val="20"/>
                <w:szCs w:val="20"/>
              </w:rPr>
            </w:pPr>
          </w:p>
        </w:tc>
        <w:tc>
          <w:tcPr>
            <w:tcW w:w="921" w:type="dxa"/>
            <w:tcBorders>
              <w:top w:val="single" w:color="auto" w:sz="4" w:space="0"/>
              <w:left w:val="single" w:color="auto" w:sz="4" w:space="0"/>
              <w:bottom w:val="single" w:color="auto" w:sz="4" w:space="0"/>
              <w:right w:val="single" w:color="auto" w:sz="4" w:space="0"/>
            </w:tcBorders>
          </w:tcPr>
          <w:p w14:paraId="5317AD11">
            <w:pPr>
              <w:spacing w:line="480" w:lineRule="exact"/>
              <w:jc w:val="center"/>
              <w:rPr>
                <w:rFonts w:ascii="宋体" w:hAnsi="宋体"/>
                <w:b/>
                <w:szCs w:val="21"/>
              </w:rPr>
            </w:pPr>
          </w:p>
        </w:tc>
        <w:tc>
          <w:tcPr>
            <w:tcW w:w="751" w:type="dxa"/>
            <w:tcBorders>
              <w:top w:val="single" w:color="auto" w:sz="4" w:space="0"/>
              <w:left w:val="single" w:color="auto" w:sz="4" w:space="0"/>
              <w:bottom w:val="single" w:color="auto" w:sz="4" w:space="0"/>
              <w:right w:val="single" w:color="auto" w:sz="4" w:space="0"/>
            </w:tcBorders>
          </w:tcPr>
          <w:p w14:paraId="08B06B05">
            <w:pPr>
              <w:spacing w:line="480" w:lineRule="exact"/>
              <w:jc w:val="center"/>
              <w:rPr>
                <w:rFonts w:ascii="宋体" w:hAnsi="宋体"/>
                <w:b/>
                <w:szCs w:val="21"/>
              </w:rPr>
            </w:pPr>
          </w:p>
        </w:tc>
        <w:tc>
          <w:tcPr>
            <w:tcW w:w="2254" w:type="dxa"/>
            <w:tcBorders>
              <w:top w:val="single" w:color="auto" w:sz="4" w:space="0"/>
              <w:left w:val="single" w:color="auto" w:sz="4" w:space="0"/>
              <w:bottom w:val="single" w:color="auto" w:sz="4" w:space="0"/>
              <w:right w:val="single" w:color="auto" w:sz="4" w:space="0"/>
            </w:tcBorders>
          </w:tcPr>
          <w:p w14:paraId="0BE4DCFE">
            <w:pPr>
              <w:spacing w:line="480" w:lineRule="exact"/>
              <w:jc w:val="center"/>
              <w:rPr>
                <w:rFonts w:ascii="宋体" w:hAnsi="宋体"/>
                <w:b/>
                <w:szCs w:val="21"/>
              </w:rPr>
            </w:pPr>
          </w:p>
        </w:tc>
        <w:tc>
          <w:tcPr>
            <w:tcW w:w="1140" w:type="dxa"/>
            <w:tcBorders>
              <w:top w:val="single" w:color="auto" w:sz="4" w:space="0"/>
              <w:left w:val="single" w:color="auto" w:sz="4" w:space="0"/>
              <w:bottom w:val="single" w:color="auto" w:sz="4" w:space="0"/>
              <w:right w:val="single" w:color="auto" w:sz="4" w:space="0"/>
            </w:tcBorders>
          </w:tcPr>
          <w:p w14:paraId="056F08E4">
            <w:pPr>
              <w:spacing w:line="480" w:lineRule="exact"/>
              <w:jc w:val="center"/>
              <w:rPr>
                <w:rFonts w:ascii="宋体" w:hAnsi="宋体"/>
                <w:b/>
                <w:szCs w:val="21"/>
              </w:rPr>
            </w:pPr>
          </w:p>
        </w:tc>
      </w:tr>
    </w:tbl>
    <w:p w14:paraId="579851EB">
      <w:pPr>
        <w:rPr>
          <w:rFonts w:ascii="宋体" w:hAnsi="宋体"/>
          <w:sz w:val="24"/>
        </w:rPr>
      </w:pPr>
    </w:p>
    <w:p w14:paraId="4CCE8959">
      <w:pPr>
        <w:spacing w:line="360" w:lineRule="auto"/>
        <w:rPr>
          <w:rFonts w:asciiTheme="minorEastAsia" w:hAnsiTheme="minorEastAsia" w:eastAsiaTheme="minorEastAsia"/>
          <w:sz w:val="24"/>
        </w:rPr>
      </w:pPr>
      <w:r>
        <w:rPr>
          <w:rFonts w:hint="eastAsia" w:asciiTheme="minorEastAsia" w:hAnsiTheme="minorEastAsia" w:eastAsiaTheme="minorEastAsia"/>
          <w:sz w:val="24"/>
        </w:rPr>
        <w:t xml:space="preserve">投标单位（公章）： </w:t>
      </w:r>
    </w:p>
    <w:p w14:paraId="02B82217">
      <w:pPr>
        <w:spacing w:line="360" w:lineRule="auto"/>
        <w:rPr>
          <w:rFonts w:asciiTheme="minorEastAsia" w:hAnsiTheme="minorEastAsia" w:eastAsiaTheme="minorEastAsia"/>
          <w:sz w:val="24"/>
        </w:rPr>
      </w:pPr>
    </w:p>
    <w:p w14:paraId="2673FD2B">
      <w:pPr>
        <w:snapToGrid w:val="0"/>
        <w:spacing w:line="360" w:lineRule="auto"/>
        <w:rPr>
          <w:rFonts w:asciiTheme="minorEastAsia" w:hAnsiTheme="minorEastAsia" w:eastAsiaTheme="minorEastAsia"/>
          <w:sz w:val="24"/>
        </w:rPr>
      </w:pPr>
      <w:r>
        <w:rPr>
          <w:rFonts w:hint="eastAsia" w:asciiTheme="minorEastAsia" w:hAnsiTheme="minorEastAsia" w:eastAsiaTheme="minorEastAsia"/>
          <w:sz w:val="24"/>
        </w:rPr>
        <w:t>注：1.起止页码需与投标文件的自然页码相对照；若投标文件中没有项，页码可填写0 ；不准确可能造成评委无法直观定位应标内容而做出不利判断；</w:t>
      </w:r>
    </w:p>
    <w:p w14:paraId="33826115">
      <w:pPr>
        <w:snapToGrid w:val="0"/>
        <w:spacing w:line="360" w:lineRule="auto"/>
        <w:ind w:left="420" w:leftChars="200"/>
        <w:rPr>
          <w:rFonts w:asciiTheme="minorEastAsia" w:hAnsiTheme="minorEastAsia" w:eastAsiaTheme="minorEastAsia"/>
          <w:sz w:val="24"/>
        </w:rPr>
      </w:pPr>
      <w:r>
        <w:rPr>
          <w:rFonts w:hint="eastAsia" w:asciiTheme="minorEastAsia" w:hAnsiTheme="minorEastAsia" w:eastAsiaTheme="minorEastAsia"/>
          <w:sz w:val="24"/>
        </w:rPr>
        <w:t>2.此表为表样，行数可自行添加，但表式不变。</w:t>
      </w:r>
    </w:p>
    <w:p w14:paraId="3382A446">
      <w:pPr>
        <w:snapToGrid w:val="0"/>
        <w:spacing w:line="360" w:lineRule="auto"/>
        <w:ind w:left="420" w:leftChars="200"/>
        <w:rPr>
          <w:rFonts w:asciiTheme="minorEastAsia" w:hAnsiTheme="minorEastAsia" w:eastAsiaTheme="minorEastAsia"/>
          <w:sz w:val="24"/>
        </w:rPr>
      </w:pPr>
      <w:r>
        <w:rPr>
          <w:rFonts w:hint="eastAsia" w:asciiTheme="minorEastAsia" w:hAnsiTheme="minorEastAsia" w:eastAsiaTheme="minorEastAsia"/>
          <w:sz w:val="24"/>
        </w:rPr>
        <w:t>3.“响应情况”用符号“+、=、-”分别表示优于、等于、低于（偏离）招标文件符合</w:t>
      </w:r>
    </w:p>
    <w:p w14:paraId="55E130DB">
      <w:pPr>
        <w:snapToGrid w:val="0"/>
        <w:spacing w:line="360" w:lineRule="auto"/>
      </w:pPr>
      <w:r>
        <w:rPr>
          <w:rFonts w:hint="eastAsia" w:asciiTheme="minorEastAsia" w:hAnsiTheme="minorEastAsia" w:eastAsiaTheme="minorEastAsia"/>
          <w:sz w:val="24"/>
        </w:rPr>
        <w:t>性审查条款描述，必须逐项对应响应。</w:t>
      </w:r>
    </w:p>
    <w:p w14:paraId="5647534F">
      <w:pPr>
        <w:spacing w:line="560" w:lineRule="exact"/>
        <w:jc w:val="center"/>
        <w:rPr>
          <w:rFonts w:ascii="宋体" w:hAnsi="宋体" w:cs="Lucida Sans Unicode"/>
          <w:b/>
          <w:sz w:val="36"/>
          <w:szCs w:val="36"/>
        </w:rPr>
      </w:pPr>
    </w:p>
    <w:p w14:paraId="5FC7D520">
      <w:pPr>
        <w:spacing w:line="560" w:lineRule="exact"/>
        <w:jc w:val="center"/>
        <w:rPr>
          <w:rFonts w:ascii="宋体" w:hAnsi="宋体" w:cs="Lucida Sans Unicode"/>
          <w:b/>
          <w:sz w:val="36"/>
          <w:szCs w:val="36"/>
        </w:rPr>
      </w:pPr>
    </w:p>
    <w:p w14:paraId="3EDEC9CB">
      <w:pPr>
        <w:snapToGrid w:val="0"/>
        <w:jc w:val="center"/>
        <w:rPr>
          <w:rFonts w:ascii="宋体" w:hAnsi="宋体" w:cs="Lucida Sans Unicode"/>
          <w:b/>
          <w:sz w:val="44"/>
          <w:szCs w:val="44"/>
        </w:rPr>
        <w:sectPr>
          <w:pgSz w:w="11906" w:h="16838"/>
          <w:pgMar w:top="1440" w:right="1800" w:bottom="1440" w:left="1800" w:header="851" w:footer="992" w:gutter="0"/>
          <w:cols w:space="720" w:num="1"/>
          <w:docGrid w:type="lines" w:linePitch="312" w:charSpace="0"/>
        </w:sectPr>
      </w:pPr>
    </w:p>
    <w:p w14:paraId="3BC5C810">
      <w:pPr>
        <w:snapToGrid w:val="0"/>
        <w:jc w:val="center"/>
        <w:rPr>
          <w:rFonts w:ascii="宋体" w:hAnsi="宋体" w:cs="Lucida Sans Unicode"/>
          <w:b/>
          <w:sz w:val="44"/>
          <w:szCs w:val="44"/>
        </w:rPr>
      </w:pPr>
      <w:r>
        <w:rPr>
          <w:rFonts w:hint="eastAsia" w:ascii="宋体" w:hAnsi="宋体" w:cs="Lucida Sans Unicode"/>
          <w:b/>
          <w:sz w:val="44"/>
          <w:szCs w:val="44"/>
          <w:lang w:val="en-US" w:eastAsia="zh-CN"/>
        </w:rPr>
        <w:t>采购需求</w:t>
      </w:r>
      <w:r>
        <w:rPr>
          <w:rFonts w:hint="eastAsia" w:ascii="宋体" w:hAnsi="宋体" w:cs="Lucida Sans Unicode"/>
          <w:b/>
          <w:sz w:val="44"/>
          <w:szCs w:val="44"/>
        </w:rPr>
        <w:t>响应表</w:t>
      </w:r>
    </w:p>
    <w:p w14:paraId="7F2C4967">
      <w:pPr>
        <w:snapToGrid w:val="0"/>
        <w:ind w:firstLine="446" w:firstLineChars="148"/>
        <w:jc w:val="center"/>
        <w:rPr>
          <w:rFonts w:ascii="宋体" w:hAnsi="宋体"/>
          <w:b/>
          <w:sz w:val="30"/>
          <w:szCs w:val="30"/>
        </w:rPr>
      </w:pPr>
    </w:p>
    <w:p w14:paraId="0A0665C9">
      <w:pPr>
        <w:spacing w:line="360" w:lineRule="auto"/>
        <w:ind w:firstLine="480" w:firstLineChars="200"/>
        <w:rPr>
          <w:rFonts w:ascii="宋体" w:hAnsi="宋体"/>
          <w:sz w:val="24"/>
        </w:rPr>
      </w:pPr>
      <w:r>
        <w:rPr>
          <w:rFonts w:hint="eastAsia" w:ascii="宋体" w:hAnsi="宋体"/>
          <w:sz w:val="24"/>
        </w:rPr>
        <w:t>说明：投标人必须仔细阅读招标文件</w:t>
      </w:r>
      <w:r>
        <w:rPr>
          <w:rFonts w:hint="eastAsia" w:ascii="宋体" w:hAnsi="宋体"/>
          <w:sz w:val="24"/>
          <w:lang w:val="en-US" w:eastAsia="zh-CN"/>
        </w:rPr>
        <w:t>第三章</w:t>
      </w:r>
      <w:r>
        <w:rPr>
          <w:rFonts w:hint="eastAsia" w:ascii="宋体" w:hAnsi="宋体"/>
          <w:sz w:val="24"/>
          <w:lang w:eastAsia="zh-CN"/>
        </w:rPr>
        <w:t>《</w:t>
      </w:r>
      <w:r>
        <w:rPr>
          <w:rFonts w:hint="eastAsia" w:ascii="宋体" w:hAnsi="宋体"/>
          <w:sz w:val="24"/>
          <w:lang w:val="en-US" w:eastAsia="zh-CN"/>
        </w:rPr>
        <w:t>采购需求</w:t>
      </w:r>
      <w:r>
        <w:rPr>
          <w:rFonts w:hint="eastAsia" w:ascii="宋体" w:hAnsi="宋体"/>
          <w:sz w:val="24"/>
          <w:lang w:eastAsia="zh-CN"/>
        </w:rPr>
        <w:t>》</w:t>
      </w:r>
      <w:r>
        <w:rPr>
          <w:rFonts w:hint="eastAsia" w:ascii="宋体" w:hAnsi="宋体"/>
          <w:sz w:val="24"/>
        </w:rPr>
        <w:t>中所有条款，对所有条款的响应情况逐项列入下表，并对其响应情况进行说明。</w:t>
      </w:r>
      <w:r>
        <w:rPr>
          <w:rFonts w:hint="eastAsia" w:ascii="宋体" w:hAnsi="宋体"/>
          <w:b/>
          <w:bCs/>
          <w:sz w:val="24"/>
        </w:rPr>
        <w:t>未列入下表的视作投标人不响应</w:t>
      </w:r>
      <w:r>
        <w:rPr>
          <w:rFonts w:hint="eastAsia" w:ascii="宋体" w:hAnsi="宋体"/>
          <w:sz w:val="24"/>
        </w:rPr>
        <w:t>。</w:t>
      </w:r>
      <w:r>
        <w:rPr>
          <w:rFonts w:hint="eastAsia" w:ascii="宋体" w:hAnsi="宋体"/>
          <w:b/>
          <w:sz w:val="24"/>
        </w:rPr>
        <w:t>投标人必须根据</w:t>
      </w:r>
      <w:r>
        <w:rPr>
          <w:rFonts w:hint="eastAsia" w:ascii="宋体" w:hAnsi="宋体"/>
          <w:b/>
          <w:sz w:val="24"/>
          <w:lang w:val="en-US" w:eastAsia="zh-CN"/>
        </w:rPr>
        <w:t>项目</w:t>
      </w:r>
      <w:r>
        <w:rPr>
          <w:rFonts w:hint="eastAsia" w:ascii="宋体" w:hAnsi="宋体"/>
          <w:b/>
          <w:sz w:val="24"/>
        </w:rPr>
        <w:t>的实际情况如实填写，评标委员会如发现有虚假描述的，该投标文件作无效投标文件处理。</w:t>
      </w:r>
    </w:p>
    <w:tbl>
      <w:tblPr>
        <w:tblStyle w:val="19"/>
        <w:tblW w:w="85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4"/>
        <w:gridCol w:w="824"/>
        <w:gridCol w:w="2251"/>
        <w:gridCol w:w="1902"/>
        <w:gridCol w:w="1685"/>
        <w:gridCol w:w="1323"/>
      </w:tblGrid>
      <w:tr w14:paraId="573B23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0" w:hRule="atLeast"/>
          <w:tblHeader/>
        </w:trPr>
        <w:tc>
          <w:tcPr>
            <w:tcW w:w="534" w:type="dxa"/>
            <w:tcBorders>
              <w:bottom w:val="single" w:color="auto" w:sz="4" w:space="0"/>
            </w:tcBorders>
            <w:shd w:val="clear" w:color="auto" w:fill="D9D9D9"/>
            <w:vAlign w:val="center"/>
          </w:tcPr>
          <w:p w14:paraId="67F32641">
            <w:pPr>
              <w:snapToGrid w:val="0"/>
              <w:spacing w:line="360" w:lineRule="auto"/>
              <w:jc w:val="center"/>
              <w:rPr>
                <w:rFonts w:ascii="宋体" w:hAnsi="宋体"/>
                <w:sz w:val="24"/>
              </w:rPr>
            </w:pPr>
            <w:r>
              <w:rPr>
                <w:rFonts w:hint="eastAsia" w:ascii="宋体" w:hAnsi="宋体"/>
                <w:sz w:val="24"/>
              </w:rPr>
              <w:t>序号</w:t>
            </w:r>
          </w:p>
        </w:tc>
        <w:tc>
          <w:tcPr>
            <w:tcW w:w="824" w:type="dxa"/>
            <w:tcBorders>
              <w:bottom w:val="single" w:color="auto" w:sz="4" w:space="0"/>
            </w:tcBorders>
            <w:shd w:val="clear" w:color="auto" w:fill="D9D9D9"/>
            <w:vAlign w:val="center"/>
          </w:tcPr>
          <w:p w14:paraId="4287D35C">
            <w:pPr>
              <w:snapToGrid w:val="0"/>
              <w:spacing w:line="360" w:lineRule="auto"/>
              <w:jc w:val="center"/>
              <w:rPr>
                <w:rFonts w:ascii="宋体" w:hAnsi="宋体"/>
                <w:sz w:val="24"/>
              </w:rPr>
            </w:pPr>
            <w:r>
              <w:rPr>
                <w:rFonts w:hint="eastAsia" w:ascii="宋体" w:hAnsi="宋体"/>
                <w:sz w:val="24"/>
              </w:rPr>
              <w:t>货物名称</w:t>
            </w:r>
          </w:p>
        </w:tc>
        <w:tc>
          <w:tcPr>
            <w:tcW w:w="2251" w:type="dxa"/>
            <w:tcBorders>
              <w:bottom w:val="single" w:color="auto" w:sz="4" w:space="0"/>
            </w:tcBorders>
            <w:shd w:val="clear" w:color="auto" w:fill="D9D9D9"/>
            <w:vAlign w:val="center"/>
          </w:tcPr>
          <w:p w14:paraId="29D39A3E">
            <w:pPr>
              <w:snapToGrid w:val="0"/>
              <w:spacing w:line="360" w:lineRule="auto"/>
              <w:jc w:val="center"/>
              <w:rPr>
                <w:rFonts w:ascii="宋体" w:hAnsi="宋体"/>
                <w:sz w:val="24"/>
              </w:rPr>
            </w:pPr>
            <w:r>
              <w:rPr>
                <w:rFonts w:hint="eastAsia" w:ascii="宋体" w:hAnsi="宋体"/>
                <w:sz w:val="24"/>
              </w:rPr>
              <w:t>招标文件</w:t>
            </w:r>
            <w:r>
              <w:rPr>
                <w:rFonts w:hint="eastAsia" w:ascii="宋体" w:hAnsi="宋体"/>
                <w:sz w:val="24"/>
                <w:lang w:eastAsia="zh-CN"/>
              </w:rPr>
              <w:t>“采购需求”</w:t>
            </w:r>
            <w:r>
              <w:rPr>
                <w:rFonts w:hint="eastAsia" w:ascii="宋体" w:hAnsi="宋体"/>
                <w:sz w:val="24"/>
              </w:rPr>
              <w:t>主要条款描述</w:t>
            </w:r>
          </w:p>
        </w:tc>
        <w:tc>
          <w:tcPr>
            <w:tcW w:w="1902" w:type="dxa"/>
            <w:tcBorders>
              <w:bottom w:val="single" w:color="auto" w:sz="4" w:space="0"/>
            </w:tcBorders>
            <w:shd w:val="clear" w:color="auto" w:fill="D9D9D9"/>
            <w:vAlign w:val="center"/>
          </w:tcPr>
          <w:p w14:paraId="482F029F">
            <w:pPr>
              <w:snapToGrid w:val="0"/>
              <w:spacing w:line="360" w:lineRule="auto"/>
              <w:jc w:val="center"/>
              <w:rPr>
                <w:rFonts w:ascii="宋体" w:hAnsi="宋体"/>
                <w:sz w:val="24"/>
              </w:rPr>
            </w:pPr>
            <w:r>
              <w:rPr>
                <w:rFonts w:hint="eastAsia" w:ascii="宋体" w:hAnsi="宋体"/>
                <w:sz w:val="24"/>
              </w:rPr>
              <w:t>投标人响应情况描述</w:t>
            </w:r>
          </w:p>
        </w:tc>
        <w:tc>
          <w:tcPr>
            <w:tcW w:w="1685" w:type="dxa"/>
            <w:tcBorders>
              <w:bottom w:val="single" w:color="auto" w:sz="4" w:space="0"/>
            </w:tcBorders>
            <w:shd w:val="clear" w:color="auto" w:fill="D9D9D9"/>
            <w:vAlign w:val="center"/>
          </w:tcPr>
          <w:p w14:paraId="07F485F0">
            <w:pPr>
              <w:snapToGrid w:val="0"/>
              <w:spacing w:line="360" w:lineRule="auto"/>
              <w:jc w:val="center"/>
              <w:rPr>
                <w:rFonts w:ascii="宋体" w:hAnsi="宋体"/>
                <w:sz w:val="24"/>
              </w:rPr>
            </w:pPr>
            <w:r>
              <w:rPr>
                <w:rFonts w:hint="eastAsia" w:ascii="宋体" w:hAnsi="宋体"/>
                <w:sz w:val="24"/>
              </w:rPr>
              <w:t>响应情况说明（＋/-/=）</w:t>
            </w:r>
          </w:p>
        </w:tc>
        <w:tc>
          <w:tcPr>
            <w:tcW w:w="1323" w:type="dxa"/>
            <w:tcBorders>
              <w:bottom w:val="single" w:color="auto" w:sz="4" w:space="0"/>
            </w:tcBorders>
            <w:shd w:val="clear" w:color="auto" w:fill="D9D9D9"/>
            <w:vAlign w:val="center"/>
          </w:tcPr>
          <w:p w14:paraId="4A6FE1A3">
            <w:pPr>
              <w:snapToGrid w:val="0"/>
              <w:spacing w:line="360" w:lineRule="auto"/>
              <w:jc w:val="center"/>
              <w:rPr>
                <w:rFonts w:ascii="宋体" w:hAnsi="宋体"/>
                <w:sz w:val="24"/>
              </w:rPr>
            </w:pPr>
            <w:r>
              <w:rPr>
                <w:rFonts w:hint="eastAsia" w:ascii="宋体" w:hAnsi="宋体"/>
                <w:sz w:val="24"/>
              </w:rPr>
              <w:t>备注</w:t>
            </w:r>
          </w:p>
        </w:tc>
      </w:tr>
      <w:tr w14:paraId="4467E1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tblHeader/>
        </w:trPr>
        <w:tc>
          <w:tcPr>
            <w:tcW w:w="534" w:type="dxa"/>
            <w:vAlign w:val="center"/>
          </w:tcPr>
          <w:p w14:paraId="5F51C522">
            <w:pPr>
              <w:jc w:val="center"/>
              <w:rPr>
                <w:rFonts w:ascii="宋体" w:hAnsi="宋体"/>
                <w:sz w:val="24"/>
              </w:rPr>
            </w:pPr>
            <w:r>
              <w:rPr>
                <w:rFonts w:hint="eastAsia" w:ascii="宋体" w:hAnsi="宋体"/>
                <w:sz w:val="24"/>
              </w:rPr>
              <w:t>1</w:t>
            </w:r>
          </w:p>
        </w:tc>
        <w:tc>
          <w:tcPr>
            <w:tcW w:w="824" w:type="dxa"/>
            <w:vAlign w:val="center"/>
          </w:tcPr>
          <w:p w14:paraId="7437E4B9">
            <w:pPr>
              <w:snapToGrid w:val="0"/>
              <w:spacing w:line="160" w:lineRule="atLeast"/>
              <w:jc w:val="center"/>
              <w:rPr>
                <w:rFonts w:ascii="宋体" w:hAnsi="宋体" w:cs="宋体"/>
                <w:sz w:val="24"/>
              </w:rPr>
            </w:pPr>
          </w:p>
        </w:tc>
        <w:tc>
          <w:tcPr>
            <w:tcW w:w="2251" w:type="dxa"/>
            <w:vAlign w:val="center"/>
          </w:tcPr>
          <w:p w14:paraId="0002BDD7">
            <w:pPr>
              <w:snapToGrid w:val="0"/>
              <w:spacing w:line="160" w:lineRule="atLeast"/>
              <w:jc w:val="center"/>
              <w:rPr>
                <w:rFonts w:ascii="宋体" w:hAnsi="宋体" w:cs="宋体"/>
                <w:sz w:val="24"/>
              </w:rPr>
            </w:pPr>
          </w:p>
        </w:tc>
        <w:tc>
          <w:tcPr>
            <w:tcW w:w="1902" w:type="dxa"/>
            <w:vAlign w:val="center"/>
          </w:tcPr>
          <w:p w14:paraId="6CE54287">
            <w:pPr>
              <w:snapToGrid w:val="0"/>
              <w:jc w:val="center"/>
              <w:rPr>
                <w:rFonts w:ascii="宋体" w:hAnsi="宋体"/>
                <w:sz w:val="24"/>
              </w:rPr>
            </w:pPr>
          </w:p>
        </w:tc>
        <w:tc>
          <w:tcPr>
            <w:tcW w:w="1685" w:type="dxa"/>
            <w:vAlign w:val="center"/>
          </w:tcPr>
          <w:p w14:paraId="062D45B5">
            <w:pPr>
              <w:snapToGrid w:val="0"/>
              <w:jc w:val="center"/>
              <w:rPr>
                <w:rFonts w:ascii="宋体" w:hAnsi="宋体"/>
                <w:sz w:val="24"/>
              </w:rPr>
            </w:pPr>
          </w:p>
        </w:tc>
        <w:tc>
          <w:tcPr>
            <w:tcW w:w="1323" w:type="dxa"/>
            <w:vAlign w:val="center"/>
          </w:tcPr>
          <w:p w14:paraId="2FD52F1C">
            <w:pPr>
              <w:snapToGrid w:val="0"/>
              <w:jc w:val="center"/>
              <w:rPr>
                <w:rFonts w:ascii="宋体" w:hAnsi="宋体"/>
                <w:sz w:val="24"/>
              </w:rPr>
            </w:pPr>
          </w:p>
        </w:tc>
      </w:tr>
      <w:tr w14:paraId="1C4B71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blHeader/>
        </w:trPr>
        <w:tc>
          <w:tcPr>
            <w:tcW w:w="534" w:type="dxa"/>
            <w:vAlign w:val="center"/>
          </w:tcPr>
          <w:p w14:paraId="48D27F84">
            <w:pPr>
              <w:jc w:val="center"/>
              <w:rPr>
                <w:rFonts w:ascii="宋体" w:hAnsi="宋体"/>
                <w:sz w:val="24"/>
              </w:rPr>
            </w:pPr>
            <w:r>
              <w:rPr>
                <w:rFonts w:hint="eastAsia" w:ascii="宋体" w:hAnsi="宋体"/>
                <w:sz w:val="24"/>
              </w:rPr>
              <w:t>2</w:t>
            </w:r>
          </w:p>
        </w:tc>
        <w:tc>
          <w:tcPr>
            <w:tcW w:w="824" w:type="dxa"/>
            <w:vAlign w:val="center"/>
          </w:tcPr>
          <w:p w14:paraId="697EBB43">
            <w:pPr>
              <w:snapToGrid w:val="0"/>
              <w:spacing w:line="160" w:lineRule="atLeast"/>
              <w:ind w:left="-46" w:leftChars="-22" w:right="-107" w:rightChars="-51" w:firstLine="2"/>
              <w:jc w:val="center"/>
              <w:rPr>
                <w:rFonts w:ascii="宋体" w:hAnsi="宋体" w:cs="宋体"/>
                <w:b/>
                <w:sz w:val="24"/>
              </w:rPr>
            </w:pPr>
          </w:p>
        </w:tc>
        <w:tc>
          <w:tcPr>
            <w:tcW w:w="2251" w:type="dxa"/>
            <w:vAlign w:val="center"/>
          </w:tcPr>
          <w:p w14:paraId="71D08775">
            <w:pPr>
              <w:snapToGrid w:val="0"/>
              <w:spacing w:line="160" w:lineRule="atLeast"/>
              <w:rPr>
                <w:rFonts w:ascii="宋体" w:hAnsi="宋体" w:cs="宋体"/>
                <w:b/>
                <w:sz w:val="24"/>
              </w:rPr>
            </w:pPr>
          </w:p>
        </w:tc>
        <w:tc>
          <w:tcPr>
            <w:tcW w:w="1902" w:type="dxa"/>
            <w:vAlign w:val="center"/>
          </w:tcPr>
          <w:p w14:paraId="23146238">
            <w:pPr>
              <w:snapToGrid w:val="0"/>
              <w:jc w:val="center"/>
              <w:rPr>
                <w:rFonts w:ascii="宋体" w:hAnsi="宋体"/>
                <w:sz w:val="24"/>
              </w:rPr>
            </w:pPr>
          </w:p>
        </w:tc>
        <w:tc>
          <w:tcPr>
            <w:tcW w:w="1685" w:type="dxa"/>
            <w:vAlign w:val="center"/>
          </w:tcPr>
          <w:p w14:paraId="15BD612C">
            <w:pPr>
              <w:snapToGrid w:val="0"/>
              <w:jc w:val="center"/>
              <w:rPr>
                <w:rFonts w:ascii="宋体" w:hAnsi="宋体"/>
                <w:sz w:val="24"/>
              </w:rPr>
            </w:pPr>
          </w:p>
        </w:tc>
        <w:tc>
          <w:tcPr>
            <w:tcW w:w="1323" w:type="dxa"/>
            <w:vAlign w:val="center"/>
          </w:tcPr>
          <w:p w14:paraId="12D224E4">
            <w:pPr>
              <w:snapToGrid w:val="0"/>
              <w:jc w:val="center"/>
              <w:rPr>
                <w:rFonts w:ascii="宋体" w:hAnsi="宋体"/>
                <w:sz w:val="24"/>
              </w:rPr>
            </w:pPr>
          </w:p>
        </w:tc>
      </w:tr>
      <w:tr w14:paraId="466F2A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blHeader/>
        </w:trPr>
        <w:tc>
          <w:tcPr>
            <w:tcW w:w="534" w:type="dxa"/>
            <w:vAlign w:val="center"/>
          </w:tcPr>
          <w:p w14:paraId="507A186F">
            <w:pPr>
              <w:jc w:val="center"/>
              <w:rPr>
                <w:rFonts w:ascii="宋体" w:hAnsi="宋体"/>
                <w:sz w:val="24"/>
              </w:rPr>
            </w:pPr>
            <w:r>
              <w:rPr>
                <w:rFonts w:hint="eastAsia" w:ascii="宋体" w:hAnsi="宋体"/>
                <w:sz w:val="24"/>
              </w:rPr>
              <w:t>3</w:t>
            </w:r>
          </w:p>
        </w:tc>
        <w:tc>
          <w:tcPr>
            <w:tcW w:w="824" w:type="dxa"/>
            <w:vAlign w:val="center"/>
          </w:tcPr>
          <w:p w14:paraId="7376749B">
            <w:pPr>
              <w:snapToGrid w:val="0"/>
              <w:spacing w:line="160" w:lineRule="atLeast"/>
              <w:jc w:val="center"/>
              <w:rPr>
                <w:rFonts w:ascii="宋体" w:hAnsi="宋体" w:cs="宋体"/>
                <w:b/>
                <w:sz w:val="24"/>
              </w:rPr>
            </w:pPr>
          </w:p>
        </w:tc>
        <w:tc>
          <w:tcPr>
            <w:tcW w:w="2251" w:type="dxa"/>
            <w:vAlign w:val="center"/>
          </w:tcPr>
          <w:p w14:paraId="3FDADB6A">
            <w:pPr>
              <w:snapToGrid w:val="0"/>
              <w:spacing w:line="160" w:lineRule="atLeast"/>
              <w:rPr>
                <w:rFonts w:ascii="宋体" w:hAnsi="宋体" w:cs="宋体"/>
                <w:b/>
                <w:sz w:val="24"/>
              </w:rPr>
            </w:pPr>
          </w:p>
        </w:tc>
        <w:tc>
          <w:tcPr>
            <w:tcW w:w="1902" w:type="dxa"/>
            <w:vAlign w:val="center"/>
          </w:tcPr>
          <w:p w14:paraId="0F85F2B0">
            <w:pPr>
              <w:snapToGrid w:val="0"/>
              <w:jc w:val="center"/>
              <w:rPr>
                <w:rFonts w:ascii="宋体" w:hAnsi="宋体"/>
                <w:sz w:val="24"/>
              </w:rPr>
            </w:pPr>
          </w:p>
        </w:tc>
        <w:tc>
          <w:tcPr>
            <w:tcW w:w="1685" w:type="dxa"/>
            <w:vAlign w:val="center"/>
          </w:tcPr>
          <w:p w14:paraId="5B781755">
            <w:pPr>
              <w:snapToGrid w:val="0"/>
              <w:jc w:val="center"/>
              <w:rPr>
                <w:rFonts w:ascii="宋体" w:hAnsi="宋体"/>
                <w:sz w:val="24"/>
              </w:rPr>
            </w:pPr>
          </w:p>
        </w:tc>
        <w:tc>
          <w:tcPr>
            <w:tcW w:w="1323" w:type="dxa"/>
            <w:vAlign w:val="center"/>
          </w:tcPr>
          <w:p w14:paraId="3E93A15B">
            <w:pPr>
              <w:snapToGrid w:val="0"/>
              <w:jc w:val="center"/>
              <w:rPr>
                <w:rFonts w:ascii="宋体" w:hAnsi="宋体"/>
                <w:sz w:val="24"/>
              </w:rPr>
            </w:pPr>
          </w:p>
        </w:tc>
      </w:tr>
      <w:tr w14:paraId="43E27D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blHeader/>
        </w:trPr>
        <w:tc>
          <w:tcPr>
            <w:tcW w:w="534" w:type="dxa"/>
            <w:vAlign w:val="center"/>
          </w:tcPr>
          <w:p w14:paraId="7AD4E1DA">
            <w:pPr>
              <w:jc w:val="center"/>
              <w:rPr>
                <w:rFonts w:ascii="宋体" w:hAnsi="宋体"/>
                <w:sz w:val="24"/>
              </w:rPr>
            </w:pPr>
            <w:r>
              <w:rPr>
                <w:rFonts w:ascii="宋体" w:hAnsi="宋体"/>
                <w:sz w:val="24"/>
              </w:rPr>
              <w:t>……</w:t>
            </w:r>
          </w:p>
        </w:tc>
        <w:tc>
          <w:tcPr>
            <w:tcW w:w="824" w:type="dxa"/>
            <w:vAlign w:val="center"/>
          </w:tcPr>
          <w:p w14:paraId="1C281289">
            <w:pPr>
              <w:snapToGrid w:val="0"/>
              <w:spacing w:line="160" w:lineRule="atLeast"/>
              <w:ind w:left="-46" w:leftChars="-22" w:right="-107" w:rightChars="-51" w:firstLine="2"/>
              <w:jc w:val="center"/>
              <w:rPr>
                <w:rFonts w:ascii="宋体" w:hAnsi="宋体" w:cs="宋体"/>
                <w:b/>
                <w:sz w:val="24"/>
              </w:rPr>
            </w:pPr>
          </w:p>
        </w:tc>
        <w:tc>
          <w:tcPr>
            <w:tcW w:w="2251" w:type="dxa"/>
            <w:vAlign w:val="center"/>
          </w:tcPr>
          <w:p w14:paraId="1B7CC131">
            <w:pPr>
              <w:snapToGrid w:val="0"/>
              <w:spacing w:line="160" w:lineRule="atLeast"/>
              <w:rPr>
                <w:rFonts w:ascii="宋体" w:hAnsi="宋体" w:cs="宋体"/>
                <w:b/>
                <w:sz w:val="24"/>
              </w:rPr>
            </w:pPr>
          </w:p>
        </w:tc>
        <w:tc>
          <w:tcPr>
            <w:tcW w:w="1902" w:type="dxa"/>
            <w:vAlign w:val="center"/>
          </w:tcPr>
          <w:p w14:paraId="2ADDC25F">
            <w:pPr>
              <w:snapToGrid w:val="0"/>
              <w:jc w:val="center"/>
              <w:rPr>
                <w:rFonts w:ascii="宋体" w:hAnsi="宋体"/>
                <w:sz w:val="24"/>
              </w:rPr>
            </w:pPr>
          </w:p>
        </w:tc>
        <w:tc>
          <w:tcPr>
            <w:tcW w:w="1685" w:type="dxa"/>
            <w:vAlign w:val="center"/>
          </w:tcPr>
          <w:p w14:paraId="34F285D2">
            <w:pPr>
              <w:snapToGrid w:val="0"/>
              <w:jc w:val="center"/>
              <w:rPr>
                <w:rFonts w:ascii="宋体" w:hAnsi="宋体"/>
                <w:sz w:val="24"/>
              </w:rPr>
            </w:pPr>
          </w:p>
        </w:tc>
        <w:tc>
          <w:tcPr>
            <w:tcW w:w="1323" w:type="dxa"/>
            <w:vAlign w:val="center"/>
          </w:tcPr>
          <w:p w14:paraId="580D9828">
            <w:pPr>
              <w:snapToGrid w:val="0"/>
              <w:jc w:val="center"/>
              <w:rPr>
                <w:rFonts w:ascii="宋体" w:hAnsi="宋体"/>
                <w:sz w:val="24"/>
              </w:rPr>
            </w:pPr>
          </w:p>
        </w:tc>
      </w:tr>
    </w:tbl>
    <w:p w14:paraId="4C0FC78C">
      <w:pPr>
        <w:spacing w:line="360" w:lineRule="auto"/>
        <w:ind w:firstLine="480" w:firstLineChars="200"/>
        <w:rPr>
          <w:rFonts w:ascii="宋体" w:hAnsi="宋体"/>
          <w:sz w:val="24"/>
        </w:rPr>
      </w:pPr>
    </w:p>
    <w:p w14:paraId="742895FA">
      <w:pPr>
        <w:spacing w:line="360" w:lineRule="auto"/>
        <w:ind w:firstLine="480" w:firstLineChars="200"/>
        <w:rPr>
          <w:rFonts w:ascii="宋体" w:hAnsi="宋体"/>
          <w:sz w:val="24"/>
        </w:rPr>
      </w:pPr>
      <w:r>
        <w:rPr>
          <w:rFonts w:hint="eastAsia" w:ascii="宋体" w:hAnsi="宋体"/>
          <w:sz w:val="24"/>
        </w:rPr>
        <w:t xml:space="preserve">投标单位（公章）： </w:t>
      </w:r>
    </w:p>
    <w:p w14:paraId="0AA74794">
      <w:pPr>
        <w:spacing w:line="360" w:lineRule="auto"/>
        <w:ind w:firstLine="480" w:firstLineChars="200"/>
        <w:rPr>
          <w:rFonts w:hint="eastAsia" w:ascii="宋体" w:hAnsi="宋体" w:eastAsia="宋体"/>
          <w:sz w:val="24"/>
          <w:lang w:val="en-US" w:eastAsia="zh-CN"/>
        </w:rPr>
      </w:pPr>
      <w:r>
        <w:rPr>
          <w:rFonts w:hint="eastAsia" w:ascii="宋体" w:hAnsi="宋体"/>
          <w:sz w:val="24"/>
          <w:lang w:val="en-US" w:eastAsia="zh-CN"/>
        </w:rPr>
        <w:t>日期：</w:t>
      </w:r>
    </w:p>
    <w:p w14:paraId="46678E9C">
      <w:pPr>
        <w:spacing w:line="360" w:lineRule="auto"/>
        <w:rPr>
          <w:rFonts w:ascii="宋体" w:hAnsi="宋体"/>
          <w:sz w:val="24"/>
        </w:rPr>
      </w:pPr>
      <w:r>
        <w:rPr>
          <w:rFonts w:hint="eastAsia" w:ascii="宋体" w:hAnsi="宋体"/>
          <w:sz w:val="24"/>
        </w:rPr>
        <w:t>注：1.此表为表样，行数可自行添加，但表式不变。</w:t>
      </w:r>
      <w:r>
        <w:rPr>
          <w:rFonts w:hint="eastAsia" w:ascii="宋体" w:hAnsi="宋体"/>
          <w:sz w:val="24"/>
        </w:rPr>
        <w:tab/>
      </w:r>
    </w:p>
    <w:p w14:paraId="2F4F24C7">
      <w:pPr>
        <w:spacing w:line="360" w:lineRule="auto"/>
        <w:ind w:firstLine="480" w:firstLineChars="200"/>
        <w:rPr>
          <w:rFonts w:ascii="宋体" w:hAnsi="宋体"/>
          <w:sz w:val="24"/>
        </w:rPr>
      </w:pPr>
      <w:r>
        <w:rPr>
          <w:rFonts w:hint="eastAsia" w:ascii="宋体" w:hAnsi="宋体"/>
          <w:sz w:val="24"/>
        </w:rPr>
        <w:t>2.投标人根据系统方案添加的材料等也请列出。</w:t>
      </w:r>
    </w:p>
    <w:p w14:paraId="36062B31">
      <w:pPr>
        <w:spacing w:line="360" w:lineRule="auto"/>
        <w:ind w:firstLine="480" w:firstLineChars="200"/>
        <w:rPr>
          <w:rFonts w:ascii="宋体" w:hAnsi="宋体"/>
          <w:sz w:val="24"/>
        </w:rPr>
      </w:pPr>
      <w:r>
        <w:rPr>
          <w:rFonts w:hint="eastAsia" w:ascii="宋体" w:hAnsi="宋体"/>
          <w:sz w:val="24"/>
        </w:rPr>
        <w:t>3.请在“投标人响应情况描述” 中列出的详细</w:t>
      </w:r>
      <w:r>
        <w:rPr>
          <w:rFonts w:hint="eastAsia" w:ascii="宋体" w:hAnsi="宋体"/>
          <w:sz w:val="24"/>
          <w:lang w:val="en-US" w:eastAsia="zh-CN"/>
        </w:rPr>
        <w:t>需求响应</w:t>
      </w:r>
      <w:r>
        <w:rPr>
          <w:rFonts w:hint="eastAsia" w:ascii="宋体" w:hAnsi="宋体"/>
          <w:sz w:val="24"/>
        </w:rPr>
        <w:t>情况。</w:t>
      </w:r>
    </w:p>
    <w:p w14:paraId="2E52899D">
      <w:pPr>
        <w:spacing w:line="360" w:lineRule="auto"/>
        <w:ind w:firstLine="480" w:firstLineChars="200"/>
        <w:rPr>
          <w:rFonts w:ascii="宋体" w:hAnsi="宋体"/>
          <w:sz w:val="24"/>
        </w:rPr>
      </w:pPr>
      <w:r>
        <w:rPr>
          <w:rFonts w:hint="eastAsia" w:ascii="宋体" w:hAnsi="宋体"/>
          <w:sz w:val="24"/>
        </w:rPr>
        <w:t>4.“响应情况说明”用符号“+、=、-”分别表示优于、等于、低于（偏离）招标文件技术、商务规范主要条款描述，必须逐项对应响应。</w:t>
      </w:r>
    </w:p>
    <w:p w14:paraId="1A90C958">
      <w:pPr>
        <w:spacing w:line="360" w:lineRule="auto"/>
        <w:ind w:firstLine="480" w:firstLineChars="200"/>
        <w:rPr>
          <w:rFonts w:ascii="宋体" w:hAnsi="宋体"/>
          <w:sz w:val="24"/>
        </w:rPr>
      </w:pPr>
      <w:r>
        <w:rPr>
          <w:rFonts w:hint="eastAsia" w:ascii="宋体" w:hAnsi="宋体"/>
          <w:sz w:val="24"/>
        </w:rPr>
        <w:t>5.招标文件要求提供的相关证明文件，须在“备注”写上与投标文件相对照的起止自然页码，并以醒目的方式标明其应标的情况证明，不准确将可能造成评委无法直观定位应标内容而做出不利判断。</w:t>
      </w:r>
    </w:p>
    <w:p w14:paraId="7F8344BB">
      <w:pPr>
        <w:pStyle w:val="28"/>
      </w:pPr>
    </w:p>
    <w:p w14:paraId="33B8FB75">
      <w:pPr>
        <w:spacing w:beforeLines="100" w:afterLines="100" w:line="480" w:lineRule="exact"/>
        <w:rPr>
          <w:rFonts w:ascii="宋体" w:hAnsi="宋体" w:cs="Lucida Sans Unicode"/>
          <w:b/>
          <w:sz w:val="44"/>
          <w:szCs w:val="44"/>
        </w:rPr>
        <w:sectPr>
          <w:pgSz w:w="11906" w:h="16838"/>
          <w:pgMar w:top="1440" w:right="1800" w:bottom="1440" w:left="1800" w:header="851" w:footer="992" w:gutter="0"/>
          <w:cols w:space="720" w:num="1"/>
          <w:docGrid w:type="lines" w:linePitch="312" w:charSpace="0"/>
        </w:sectPr>
      </w:pPr>
    </w:p>
    <w:p w14:paraId="31773CFF">
      <w:pPr>
        <w:snapToGrid w:val="0"/>
        <w:jc w:val="center"/>
        <w:rPr>
          <w:rFonts w:ascii="宋体" w:hAnsi="宋体" w:cs="Lucida Sans Unicode"/>
          <w:b/>
          <w:sz w:val="44"/>
          <w:szCs w:val="44"/>
        </w:rPr>
      </w:pPr>
      <w:r>
        <w:rPr>
          <w:rFonts w:hint="eastAsia" w:ascii="宋体" w:hAnsi="宋体" w:cs="Lucida Sans Unicode"/>
          <w:b/>
          <w:sz w:val="44"/>
          <w:szCs w:val="44"/>
        </w:rPr>
        <w:t>技术、商务评分响应表</w:t>
      </w:r>
    </w:p>
    <w:p w14:paraId="7B802724">
      <w:pPr>
        <w:spacing w:line="480" w:lineRule="exact"/>
        <w:ind w:firstLine="480" w:firstLineChars="200"/>
        <w:rPr>
          <w:rFonts w:ascii="宋体" w:hAnsi="宋体"/>
          <w:sz w:val="24"/>
        </w:rPr>
      </w:pPr>
    </w:p>
    <w:p w14:paraId="59DFF178">
      <w:pPr>
        <w:spacing w:line="480" w:lineRule="exact"/>
        <w:ind w:firstLine="480" w:firstLineChars="200"/>
        <w:rPr>
          <w:rFonts w:ascii="仿宋_GB2312" w:hAnsi="仿宋" w:eastAsia="仿宋_GB2312"/>
          <w:bCs/>
          <w:sz w:val="24"/>
        </w:rPr>
      </w:pPr>
      <w:r>
        <w:rPr>
          <w:rFonts w:hint="eastAsia" w:ascii="宋体" w:hAnsi="宋体"/>
          <w:sz w:val="24"/>
        </w:rPr>
        <w:t>说明：投标人必须仔细阅读招标文件中技术、商务评分条款，对所有技术、商务评分条款的响应情况逐项列入下表，并对其响应情况进行说明。未列入下表的视作投标人不响应。投标人</w:t>
      </w:r>
      <w:r>
        <w:rPr>
          <w:rFonts w:hint="eastAsia" w:ascii="宋体" w:hAnsi="宋体"/>
          <w:bCs/>
          <w:sz w:val="24"/>
        </w:rPr>
        <w:t>必须根据实际情况如实填写，评委小组如发现有虚假描述的，该投标文件作无效投标文件处理。</w:t>
      </w:r>
    </w:p>
    <w:tbl>
      <w:tblPr>
        <w:tblStyle w:val="19"/>
        <w:tblW w:w="89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3"/>
        <w:gridCol w:w="1275"/>
        <w:gridCol w:w="1560"/>
        <w:gridCol w:w="850"/>
        <w:gridCol w:w="851"/>
        <w:gridCol w:w="2671"/>
        <w:gridCol w:w="872"/>
      </w:tblGrid>
      <w:tr w14:paraId="25EFBC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1" w:hRule="atLeast"/>
          <w:jc w:val="center"/>
        </w:trPr>
        <w:tc>
          <w:tcPr>
            <w:tcW w:w="3668" w:type="dxa"/>
            <w:gridSpan w:val="3"/>
            <w:vAlign w:val="center"/>
          </w:tcPr>
          <w:p w14:paraId="5BD9F9F1">
            <w:pPr>
              <w:jc w:val="center"/>
              <w:rPr>
                <w:rFonts w:cs="宋体" w:asciiTheme="minorEastAsia" w:hAnsiTheme="minorEastAsia" w:eastAsiaTheme="minorEastAsia"/>
                <w:b/>
                <w:bCs/>
                <w:sz w:val="24"/>
              </w:rPr>
            </w:pPr>
            <w:r>
              <w:rPr>
                <w:rFonts w:hint="eastAsia" w:cs="宋体" w:asciiTheme="minorEastAsia" w:hAnsiTheme="minorEastAsia" w:eastAsiaTheme="minorEastAsia"/>
                <w:b/>
                <w:bCs/>
                <w:sz w:val="24"/>
              </w:rPr>
              <w:t>评分明细</w:t>
            </w:r>
          </w:p>
        </w:tc>
        <w:tc>
          <w:tcPr>
            <w:tcW w:w="5244" w:type="dxa"/>
            <w:gridSpan w:val="4"/>
            <w:vAlign w:val="center"/>
          </w:tcPr>
          <w:p w14:paraId="3A797682">
            <w:pPr>
              <w:jc w:val="center"/>
              <w:rPr>
                <w:rFonts w:cs="宋体" w:asciiTheme="minorEastAsia" w:hAnsiTheme="minorEastAsia" w:eastAsiaTheme="minorEastAsia"/>
                <w:b/>
                <w:bCs/>
                <w:sz w:val="24"/>
              </w:rPr>
            </w:pPr>
            <w:r>
              <w:rPr>
                <w:rFonts w:hint="eastAsia" w:cs="宋体" w:asciiTheme="minorEastAsia" w:hAnsiTheme="minorEastAsia" w:eastAsiaTheme="minorEastAsia"/>
                <w:b/>
                <w:bCs/>
                <w:sz w:val="24"/>
              </w:rPr>
              <w:t>投标文件页码索引</w:t>
            </w:r>
          </w:p>
        </w:tc>
      </w:tr>
      <w:tr w14:paraId="325AB9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1" w:hRule="atLeast"/>
          <w:jc w:val="center"/>
        </w:trPr>
        <w:tc>
          <w:tcPr>
            <w:tcW w:w="833" w:type="dxa"/>
            <w:vAlign w:val="center"/>
          </w:tcPr>
          <w:p w14:paraId="0825CCF7">
            <w:pPr>
              <w:jc w:val="center"/>
              <w:rPr>
                <w:rFonts w:ascii="宋体" w:hAnsi="宋体" w:cs="宋体"/>
                <w:sz w:val="24"/>
              </w:rPr>
            </w:pPr>
            <w:r>
              <w:rPr>
                <w:rFonts w:hint="eastAsia" w:ascii="宋体" w:hAnsi="宋体" w:cs="宋体"/>
                <w:sz w:val="24"/>
              </w:rPr>
              <w:t>序号</w:t>
            </w:r>
          </w:p>
        </w:tc>
        <w:tc>
          <w:tcPr>
            <w:tcW w:w="1275" w:type="dxa"/>
            <w:vAlign w:val="center"/>
          </w:tcPr>
          <w:p w14:paraId="5EBDE476">
            <w:pPr>
              <w:jc w:val="center"/>
              <w:rPr>
                <w:rFonts w:cs="宋体" w:asciiTheme="minorEastAsia" w:hAnsiTheme="minorEastAsia" w:eastAsiaTheme="minorEastAsia"/>
                <w:sz w:val="24"/>
              </w:rPr>
            </w:pPr>
            <w:r>
              <w:rPr>
                <w:rFonts w:hint="eastAsia" w:cs="宋体" w:asciiTheme="minorEastAsia" w:hAnsiTheme="minorEastAsia" w:eastAsiaTheme="minorEastAsia"/>
                <w:sz w:val="24"/>
              </w:rPr>
              <w:t>评审因素</w:t>
            </w:r>
          </w:p>
        </w:tc>
        <w:tc>
          <w:tcPr>
            <w:tcW w:w="1560" w:type="dxa"/>
            <w:vAlign w:val="center"/>
          </w:tcPr>
          <w:p w14:paraId="4BC3D340">
            <w:pPr>
              <w:jc w:val="center"/>
              <w:rPr>
                <w:rFonts w:cs="宋体" w:asciiTheme="minorEastAsia" w:hAnsiTheme="minorEastAsia" w:eastAsiaTheme="minorEastAsia"/>
                <w:sz w:val="24"/>
              </w:rPr>
            </w:pPr>
            <w:r>
              <w:rPr>
                <w:rFonts w:hint="eastAsia" w:cs="宋体" w:asciiTheme="minorEastAsia" w:hAnsiTheme="minorEastAsia" w:eastAsiaTheme="minorEastAsia"/>
                <w:sz w:val="24"/>
              </w:rPr>
              <w:t>评审标准</w:t>
            </w:r>
          </w:p>
        </w:tc>
        <w:tc>
          <w:tcPr>
            <w:tcW w:w="850" w:type="dxa"/>
            <w:vAlign w:val="center"/>
          </w:tcPr>
          <w:p w14:paraId="3EBCB099">
            <w:pPr>
              <w:jc w:val="center"/>
              <w:rPr>
                <w:rFonts w:cs="宋体" w:asciiTheme="minorEastAsia" w:hAnsiTheme="minorEastAsia" w:eastAsiaTheme="minorEastAsia"/>
                <w:sz w:val="24"/>
              </w:rPr>
            </w:pPr>
            <w:r>
              <w:rPr>
                <w:rFonts w:hint="eastAsia" w:cs="宋体" w:asciiTheme="minorEastAsia" w:hAnsiTheme="minorEastAsia" w:eastAsiaTheme="minorEastAsia"/>
                <w:sz w:val="24"/>
              </w:rPr>
              <w:t>起页</w:t>
            </w:r>
          </w:p>
        </w:tc>
        <w:tc>
          <w:tcPr>
            <w:tcW w:w="851" w:type="dxa"/>
            <w:vAlign w:val="center"/>
          </w:tcPr>
          <w:p w14:paraId="5AFD4938">
            <w:pPr>
              <w:jc w:val="center"/>
              <w:rPr>
                <w:rFonts w:cs="宋体" w:asciiTheme="minorEastAsia" w:hAnsiTheme="minorEastAsia" w:eastAsiaTheme="minorEastAsia"/>
                <w:sz w:val="24"/>
              </w:rPr>
            </w:pPr>
            <w:r>
              <w:rPr>
                <w:rFonts w:hint="eastAsia" w:cs="宋体" w:asciiTheme="minorEastAsia" w:hAnsiTheme="minorEastAsia" w:eastAsiaTheme="minorEastAsia"/>
                <w:sz w:val="24"/>
              </w:rPr>
              <w:t>止页</w:t>
            </w:r>
          </w:p>
        </w:tc>
        <w:tc>
          <w:tcPr>
            <w:tcW w:w="2671" w:type="dxa"/>
            <w:vAlign w:val="center"/>
          </w:tcPr>
          <w:p w14:paraId="387AD99B">
            <w:pPr>
              <w:jc w:val="center"/>
              <w:rPr>
                <w:rFonts w:cs="宋体" w:asciiTheme="minorEastAsia" w:hAnsiTheme="minorEastAsia" w:eastAsiaTheme="minorEastAsia"/>
                <w:sz w:val="24"/>
              </w:rPr>
            </w:pPr>
            <w:r>
              <w:rPr>
                <w:rFonts w:hint="eastAsia" w:cs="宋体" w:asciiTheme="minorEastAsia" w:hAnsiTheme="minorEastAsia" w:eastAsiaTheme="minorEastAsia"/>
                <w:sz w:val="24"/>
              </w:rPr>
              <w:t>响应说明（</w:t>
            </w:r>
            <w:r>
              <w:rPr>
                <w:rFonts w:hint="eastAsia" w:asciiTheme="minorEastAsia" w:hAnsiTheme="minorEastAsia" w:eastAsiaTheme="minorEastAsia"/>
                <w:sz w:val="24"/>
              </w:rPr>
              <w:t>+、=、-</w:t>
            </w:r>
            <w:r>
              <w:rPr>
                <w:rFonts w:hint="eastAsia" w:cs="宋体" w:asciiTheme="minorEastAsia" w:hAnsiTheme="minorEastAsia" w:eastAsiaTheme="minorEastAsia"/>
                <w:sz w:val="24"/>
              </w:rPr>
              <w:t>）</w:t>
            </w:r>
          </w:p>
        </w:tc>
        <w:tc>
          <w:tcPr>
            <w:tcW w:w="872" w:type="dxa"/>
            <w:vAlign w:val="center"/>
          </w:tcPr>
          <w:p w14:paraId="7ED2B307">
            <w:pPr>
              <w:jc w:val="center"/>
              <w:rPr>
                <w:rFonts w:cs="宋体" w:asciiTheme="minorEastAsia" w:hAnsiTheme="minorEastAsia" w:eastAsiaTheme="minorEastAsia"/>
                <w:sz w:val="24"/>
              </w:rPr>
            </w:pPr>
            <w:r>
              <w:rPr>
                <w:rFonts w:hint="eastAsia" w:cs="宋体" w:asciiTheme="minorEastAsia" w:hAnsiTheme="minorEastAsia" w:eastAsiaTheme="minorEastAsia"/>
                <w:sz w:val="24"/>
              </w:rPr>
              <w:t>备注</w:t>
            </w:r>
          </w:p>
        </w:tc>
      </w:tr>
      <w:tr w14:paraId="00E83B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1" w:hRule="atLeast"/>
          <w:jc w:val="center"/>
        </w:trPr>
        <w:tc>
          <w:tcPr>
            <w:tcW w:w="833" w:type="dxa"/>
            <w:vAlign w:val="center"/>
          </w:tcPr>
          <w:p w14:paraId="4B908BA9">
            <w:pPr>
              <w:jc w:val="center"/>
              <w:rPr>
                <w:rFonts w:ascii="宋体" w:hAnsi="宋体" w:cs="宋体"/>
                <w:sz w:val="24"/>
              </w:rPr>
            </w:pPr>
            <w:r>
              <w:rPr>
                <w:rFonts w:hint="eastAsia" w:ascii="宋体" w:hAnsi="宋体" w:cs="宋体"/>
                <w:sz w:val="24"/>
              </w:rPr>
              <w:t>1</w:t>
            </w:r>
          </w:p>
        </w:tc>
        <w:tc>
          <w:tcPr>
            <w:tcW w:w="1275" w:type="dxa"/>
            <w:vAlign w:val="center"/>
          </w:tcPr>
          <w:p w14:paraId="23345267">
            <w:pPr>
              <w:jc w:val="center"/>
              <w:rPr>
                <w:rFonts w:cs="宋体" w:asciiTheme="minorEastAsia" w:hAnsiTheme="minorEastAsia" w:eastAsiaTheme="minorEastAsia"/>
                <w:sz w:val="24"/>
              </w:rPr>
            </w:pPr>
          </w:p>
        </w:tc>
        <w:tc>
          <w:tcPr>
            <w:tcW w:w="1560" w:type="dxa"/>
            <w:vAlign w:val="center"/>
          </w:tcPr>
          <w:p w14:paraId="294BE239">
            <w:pPr>
              <w:jc w:val="center"/>
              <w:rPr>
                <w:rFonts w:cs="宋体" w:asciiTheme="minorEastAsia" w:hAnsiTheme="minorEastAsia" w:eastAsiaTheme="minorEastAsia"/>
                <w:sz w:val="24"/>
              </w:rPr>
            </w:pPr>
          </w:p>
        </w:tc>
        <w:tc>
          <w:tcPr>
            <w:tcW w:w="850" w:type="dxa"/>
            <w:vAlign w:val="center"/>
          </w:tcPr>
          <w:p w14:paraId="698FC89B">
            <w:pPr>
              <w:jc w:val="center"/>
              <w:rPr>
                <w:rFonts w:cs="宋体" w:asciiTheme="minorEastAsia" w:hAnsiTheme="minorEastAsia" w:eastAsiaTheme="minorEastAsia"/>
                <w:sz w:val="24"/>
              </w:rPr>
            </w:pPr>
          </w:p>
        </w:tc>
        <w:tc>
          <w:tcPr>
            <w:tcW w:w="851" w:type="dxa"/>
            <w:vAlign w:val="center"/>
          </w:tcPr>
          <w:p w14:paraId="02ADDFD1">
            <w:pPr>
              <w:jc w:val="center"/>
              <w:rPr>
                <w:rFonts w:cs="宋体" w:asciiTheme="minorEastAsia" w:hAnsiTheme="minorEastAsia" w:eastAsiaTheme="minorEastAsia"/>
                <w:sz w:val="24"/>
              </w:rPr>
            </w:pPr>
          </w:p>
        </w:tc>
        <w:tc>
          <w:tcPr>
            <w:tcW w:w="2671" w:type="dxa"/>
            <w:vAlign w:val="center"/>
          </w:tcPr>
          <w:p w14:paraId="5E29182B">
            <w:pPr>
              <w:jc w:val="center"/>
              <w:rPr>
                <w:rFonts w:cs="宋体" w:asciiTheme="minorEastAsia" w:hAnsiTheme="minorEastAsia" w:eastAsiaTheme="minorEastAsia"/>
                <w:sz w:val="24"/>
              </w:rPr>
            </w:pPr>
          </w:p>
        </w:tc>
        <w:tc>
          <w:tcPr>
            <w:tcW w:w="872" w:type="dxa"/>
            <w:vAlign w:val="center"/>
          </w:tcPr>
          <w:p w14:paraId="1CDC1CF0">
            <w:pPr>
              <w:jc w:val="center"/>
              <w:rPr>
                <w:rFonts w:cs="宋体" w:asciiTheme="minorEastAsia" w:hAnsiTheme="minorEastAsia" w:eastAsiaTheme="minorEastAsia"/>
                <w:sz w:val="24"/>
              </w:rPr>
            </w:pPr>
          </w:p>
        </w:tc>
      </w:tr>
      <w:tr w14:paraId="022BED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1" w:hRule="atLeast"/>
          <w:jc w:val="center"/>
        </w:trPr>
        <w:tc>
          <w:tcPr>
            <w:tcW w:w="833" w:type="dxa"/>
            <w:vAlign w:val="center"/>
          </w:tcPr>
          <w:p w14:paraId="52BC92F0">
            <w:pPr>
              <w:jc w:val="center"/>
              <w:rPr>
                <w:rFonts w:ascii="宋体" w:hAnsi="宋体" w:cs="宋体"/>
                <w:sz w:val="24"/>
              </w:rPr>
            </w:pPr>
            <w:r>
              <w:rPr>
                <w:rFonts w:hint="eastAsia" w:ascii="宋体" w:hAnsi="宋体" w:cs="宋体"/>
                <w:sz w:val="24"/>
              </w:rPr>
              <w:t>2</w:t>
            </w:r>
          </w:p>
        </w:tc>
        <w:tc>
          <w:tcPr>
            <w:tcW w:w="1275" w:type="dxa"/>
            <w:vAlign w:val="center"/>
          </w:tcPr>
          <w:p w14:paraId="64B1B2F3">
            <w:pPr>
              <w:jc w:val="center"/>
              <w:rPr>
                <w:rFonts w:cs="宋体" w:asciiTheme="minorEastAsia" w:hAnsiTheme="minorEastAsia" w:eastAsiaTheme="minorEastAsia"/>
                <w:sz w:val="24"/>
              </w:rPr>
            </w:pPr>
          </w:p>
        </w:tc>
        <w:tc>
          <w:tcPr>
            <w:tcW w:w="1560" w:type="dxa"/>
            <w:vAlign w:val="center"/>
          </w:tcPr>
          <w:p w14:paraId="61F6DB82">
            <w:pPr>
              <w:jc w:val="center"/>
              <w:rPr>
                <w:rFonts w:cs="宋体" w:asciiTheme="minorEastAsia" w:hAnsiTheme="minorEastAsia" w:eastAsiaTheme="minorEastAsia"/>
                <w:sz w:val="24"/>
              </w:rPr>
            </w:pPr>
          </w:p>
        </w:tc>
        <w:tc>
          <w:tcPr>
            <w:tcW w:w="850" w:type="dxa"/>
            <w:vAlign w:val="center"/>
          </w:tcPr>
          <w:p w14:paraId="2BBCB7AD">
            <w:pPr>
              <w:jc w:val="center"/>
              <w:rPr>
                <w:rFonts w:cs="宋体" w:asciiTheme="minorEastAsia" w:hAnsiTheme="minorEastAsia" w:eastAsiaTheme="minorEastAsia"/>
                <w:sz w:val="24"/>
              </w:rPr>
            </w:pPr>
          </w:p>
        </w:tc>
        <w:tc>
          <w:tcPr>
            <w:tcW w:w="851" w:type="dxa"/>
            <w:vAlign w:val="center"/>
          </w:tcPr>
          <w:p w14:paraId="15AF6F0E">
            <w:pPr>
              <w:jc w:val="center"/>
              <w:rPr>
                <w:rFonts w:cs="宋体" w:asciiTheme="minorEastAsia" w:hAnsiTheme="minorEastAsia" w:eastAsiaTheme="minorEastAsia"/>
                <w:sz w:val="24"/>
              </w:rPr>
            </w:pPr>
          </w:p>
        </w:tc>
        <w:tc>
          <w:tcPr>
            <w:tcW w:w="2671" w:type="dxa"/>
            <w:vAlign w:val="center"/>
          </w:tcPr>
          <w:p w14:paraId="5F8033B8">
            <w:pPr>
              <w:jc w:val="center"/>
              <w:rPr>
                <w:rFonts w:cs="宋体" w:asciiTheme="minorEastAsia" w:hAnsiTheme="minorEastAsia" w:eastAsiaTheme="minorEastAsia"/>
                <w:sz w:val="24"/>
              </w:rPr>
            </w:pPr>
          </w:p>
        </w:tc>
        <w:tc>
          <w:tcPr>
            <w:tcW w:w="872" w:type="dxa"/>
            <w:vAlign w:val="center"/>
          </w:tcPr>
          <w:p w14:paraId="63E0BA8C">
            <w:pPr>
              <w:jc w:val="center"/>
              <w:rPr>
                <w:rFonts w:cs="宋体" w:asciiTheme="minorEastAsia" w:hAnsiTheme="minorEastAsia" w:eastAsiaTheme="minorEastAsia"/>
                <w:sz w:val="24"/>
              </w:rPr>
            </w:pPr>
          </w:p>
        </w:tc>
      </w:tr>
      <w:tr w14:paraId="65E7CF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1" w:hRule="atLeast"/>
          <w:jc w:val="center"/>
        </w:trPr>
        <w:tc>
          <w:tcPr>
            <w:tcW w:w="833" w:type="dxa"/>
            <w:vAlign w:val="center"/>
          </w:tcPr>
          <w:p w14:paraId="470F3E09">
            <w:pPr>
              <w:jc w:val="center"/>
              <w:rPr>
                <w:rFonts w:ascii="宋体" w:hAnsi="宋体" w:cs="宋体"/>
                <w:sz w:val="24"/>
              </w:rPr>
            </w:pPr>
            <w:r>
              <w:rPr>
                <w:rFonts w:hint="eastAsia" w:ascii="宋体" w:hAnsi="宋体" w:cs="宋体"/>
                <w:sz w:val="24"/>
              </w:rPr>
              <w:t>3</w:t>
            </w:r>
          </w:p>
        </w:tc>
        <w:tc>
          <w:tcPr>
            <w:tcW w:w="1275" w:type="dxa"/>
            <w:vAlign w:val="center"/>
          </w:tcPr>
          <w:p w14:paraId="02B014F9">
            <w:pPr>
              <w:jc w:val="center"/>
              <w:rPr>
                <w:rFonts w:cs="宋体" w:asciiTheme="minorEastAsia" w:hAnsiTheme="minorEastAsia" w:eastAsiaTheme="minorEastAsia"/>
                <w:sz w:val="24"/>
              </w:rPr>
            </w:pPr>
          </w:p>
        </w:tc>
        <w:tc>
          <w:tcPr>
            <w:tcW w:w="1560" w:type="dxa"/>
            <w:vAlign w:val="center"/>
          </w:tcPr>
          <w:p w14:paraId="6F2C5B90">
            <w:pPr>
              <w:jc w:val="center"/>
              <w:rPr>
                <w:rFonts w:cs="宋体" w:asciiTheme="minorEastAsia" w:hAnsiTheme="minorEastAsia" w:eastAsiaTheme="minorEastAsia"/>
                <w:sz w:val="24"/>
              </w:rPr>
            </w:pPr>
          </w:p>
        </w:tc>
        <w:tc>
          <w:tcPr>
            <w:tcW w:w="850" w:type="dxa"/>
            <w:vAlign w:val="center"/>
          </w:tcPr>
          <w:p w14:paraId="017AA0D2">
            <w:pPr>
              <w:jc w:val="center"/>
              <w:rPr>
                <w:rFonts w:cs="宋体" w:asciiTheme="minorEastAsia" w:hAnsiTheme="minorEastAsia" w:eastAsiaTheme="minorEastAsia"/>
                <w:sz w:val="24"/>
              </w:rPr>
            </w:pPr>
          </w:p>
        </w:tc>
        <w:tc>
          <w:tcPr>
            <w:tcW w:w="851" w:type="dxa"/>
            <w:vAlign w:val="center"/>
          </w:tcPr>
          <w:p w14:paraId="6171B821">
            <w:pPr>
              <w:jc w:val="center"/>
              <w:rPr>
                <w:rFonts w:cs="宋体" w:asciiTheme="minorEastAsia" w:hAnsiTheme="minorEastAsia" w:eastAsiaTheme="minorEastAsia"/>
                <w:sz w:val="24"/>
              </w:rPr>
            </w:pPr>
          </w:p>
        </w:tc>
        <w:tc>
          <w:tcPr>
            <w:tcW w:w="2671" w:type="dxa"/>
            <w:vAlign w:val="center"/>
          </w:tcPr>
          <w:p w14:paraId="333B9633">
            <w:pPr>
              <w:jc w:val="center"/>
              <w:rPr>
                <w:rFonts w:cs="宋体" w:asciiTheme="minorEastAsia" w:hAnsiTheme="minorEastAsia" w:eastAsiaTheme="minorEastAsia"/>
                <w:sz w:val="24"/>
              </w:rPr>
            </w:pPr>
          </w:p>
        </w:tc>
        <w:tc>
          <w:tcPr>
            <w:tcW w:w="872" w:type="dxa"/>
            <w:vAlign w:val="center"/>
          </w:tcPr>
          <w:p w14:paraId="42D01C98">
            <w:pPr>
              <w:jc w:val="center"/>
              <w:rPr>
                <w:rFonts w:cs="宋体" w:asciiTheme="minorEastAsia" w:hAnsiTheme="minorEastAsia" w:eastAsiaTheme="minorEastAsia"/>
                <w:sz w:val="24"/>
              </w:rPr>
            </w:pPr>
          </w:p>
        </w:tc>
      </w:tr>
      <w:tr w14:paraId="6CB1F0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1" w:hRule="atLeast"/>
          <w:jc w:val="center"/>
        </w:trPr>
        <w:tc>
          <w:tcPr>
            <w:tcW w:w="833" w:type="dxa"/>
            <w:vAlign w:val="center"/>
          </w:tcPr>
          <w:p w14:paraId="7BFFF5FD">
            <w:pPr>
              <w:jc w:val="center"/>
              <w:rPr>
                <w:rFonts w:ascii="宋体" w:hAnsi="宋体" w:cs="宋体"/>
                <w:sz w:val="24"/>
              </w:rPr>
            </w:pPr>
            <w:r>
              <w:rPr>
                <w:rFonts w:hint="eastAsia" w:ascii="宋体" w:hAnsi="宋体" w:cs="宋体"/>
                <w:sz w:val="24"/>
              </w:rPr>
              <w:t>4</w:t>
            </w:r>
          </w:p>
        </w:tc>
        <w:tc>
          <w:tcPr>
            <w:tcW w:w="1275" w:type="dxa"/>
            <w:vAlign w:val="center"/>
          </w:tcPr>
          <w:p w14:paraId="20F11CFE">
            <w:pPr>
              <w:jc w:val="center"/>
              <w:rPr>
                <w:rFonts w:cs="宋体" w:asciiTheme="minorEastAsia" w:hAnsiTheme="minorEastAsia" w:eastAsiaTheme="minorEastAsia"/>
                <w:sz w:val="24"/>
              </w:rPr>
            </w:pPr>
          </w:p>
        </w:tc>
        <w:tc>
          <w:tcPr>
            <w:tcW w:w="1560" w:type="dxa"/>
            <w:vAlign w:val="center"/>
          </w:tcPr>
          <w:p w14:paraId="103C607A">
            <w:pPr>
              <w:jc w:val="center"/>
              <w:rPr>
                <w:rFonts w:cs="宋体" w:asciiTheme="minorEastAsia" w:hAnsiTheme="minorEastAsia" w:eastAsiaTheme="minorEastAsia"/>
                <w:sz w:val="24"/>
              </w:rPr>
            </w:pPr>
          </w:p>
        </w:tc>
        <w:tc>
          <w:tcPr>
            <w:tcW w:w="850" w:type="dxa"/>
            <w:vAlign w:val="center"/>
          </w:tcPr>
          <w:p w14:paraId="754B476B">
            <w:pPr>
              <w:jc w:val="center"/>
              <w:rPr>
                <w:rFonts w:cs="宋体" w:asciiTheme="minorEastAsia" w:hAnsiTheme="minorEastAsia" w:eastAsiaTheme="minorEastAsia"/>
                <w:sz w:val="24"/>
              </w:rPr>
            </w:pPr>
          </w:p>
        </w:tc>
        <w:tc>
          <w:tcPr>
            <w:tcW w:w="851" w:type="dxa"/>
            <w:vAlign w:val="center"/>
          </w:tcPr>
          <w:p w14:paraId="585AFAB0">
            <w:pPr>
              <w:jc w:val="center"/>
              <w:rPr>
                <w:rFonts w:cs="宋体" w:asciiTheme="minorEastAsia" w:hAnsiTheme="minorEastAsia" w:eastAsiaTheme="minorEastAsia"/>
                <w:sz w:val="24"/>
              </w:rPr>
            </w:pPr>
          </w:p>
        </w:tc>
        <w:tc>
          <w:tcPr>
            <w:tcW w:w="2671" w:type="dxa"/>
            <w:vAlign w:val="center"/>
          </w:tcPr>
          <w:p w14:paraId="7E9B0633">
            <w:pPr>
              <w:jc w:val="center"/>
              <w:rPr>
                <w:rFonts w:cs="宋体" w:asciiTheme="minorEastAsia" w:hAnsiTheme="minorEastAsia" w:eastAsiaTheme="minorEastAsia"/>
                <w:sz w:val="24"/>
              </w:rPr>
            </w:pPr>
          </w:p>
        </w:tc>
        <w:tc>
          <w:tcPr>
            <w:tcW w:w="872" w:type="dxa"/>
            <w:vAlign w:val="center"/>
          </w:tcPr>
          <w:p w14:paraId="6B458C34">
            <w:pPr>
              <w:jc w:val="center"/>
              <w:rPr>
                <w:rFonts w:cs="宋体" w:asciiTheme="minorEastAsia" w:hAnsiTheme="minorEastAsia" w:eastAsiaTheme="minorEastAsia"/>
                <w:sz w:val="24"/>
              </w:rPr>
            </w:pPr>
          </w:p>
        </w:tc>
      </w:tr>
      <w:tr w14:paraId="5BE4F5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1" w:hRule="atLeast"/>
          <w:jc w:val="center"/>
        </w:trPr>
        <w:tc>
          <w:tcPr>
            <w:tcW w:w="833" w:type="dxa"/>
            <w:vAlign w:val="center"/>
          </w:tcPr>
          <w:p w14:paraId="3C766139">
            <w:pPr>
              <w:jc w:val="center"/>
              <w:rPr>
                <w:rFonts w:ascii="宋体" w:hAnsi="宋体" w:cs="宋体"/>
                <w:sz w:val="24"/>
              </w:rPr>
            </w:pPr>
            <w:r>
              <w:rPr>
                <w:rFonts w:hint="eastAsia" w:ascii="宋体" w:hAnsi="宋体" w:cs="宋体"/>
                <w:sz w:val="24"/>
              </w:rPr>
              <w:t>...</w:t>
            </w:r>
          </w:p>
        </w:tc>
        <w:tc>
          <w:tcPr>
            <w:tcW w:w="1275" w:type="dxa"/>
            <w:vAlign w:val="center"/>
          </w:tcPr>
          <w:p w14:paraId="733E2886">
            <w:pPr>
              <w:jc w:val="center"/>
              <w:rPr>
                <w:rFonts w:cs="宋体" w:asciiTheme="minorEastAsia" w:hAnsiTheme="minorEastAsia" w:eastAsiaTheme="minorEastAsia"/>
                <w:sz w:val="24"/>
              </w:rPr>
            </w:pPr>
          </w:p>
        </w:tc>
        <w:tc>
          <w:tcPr>
            <w:tcW w:w="1560" w:type="dxa"/>
            <w:vAlign w:val="center"/>
          </w:tcPr>
          <w:p w14:paraId="5C943EDA">
            <w:pPr>
              <w:jc w:val="center"/>
              <w:rPr>
                <w:rFonts w:cs="宋体" w:asciiTheme="minorEastAsia" w:hAnsiTheme="minorEastAsia" w:eastAsiaTheme="minorEastAsia"/>
                <w:sz w:val="24"/>
              </w:rPr>
            </w:pPr>
          </w:p>
        </w:tc>
        <w:tc>
          <w:tcPr>
            <w:tcW w:w="850" w:type="dxa"/>
            <w:vAlign w:val="center"/>
          </w:tcPr>
          <w:p w14:paraId="7A43BFE0">
            <w:pPr>
              <w:jc w:val="center"/>
              <w:rPr>
                <w:rFonts w:cs="宋体" w:asciiTheme="minorEastAsia" w:hAnsiTheme="minorEastAsia" w:eastAsiaTheme="minorEastAsia"/>
                <w:sz w:val="24"/>
              </w:rPr>
            </w:pPr>
          </w:p>
        </w:tc>
        <w:tc>
          <w:tcPr>
            <w:tcW w:w="851" w:type="dxa"/>
            <w:vAlign w:val="center"/>
          </w:tcPr>
          <w:p w14:paraId="620F98E8">
            <w:pPr>
              <w:jc w:val="center"/>
              <w:rPr>
                <w:rFonts w:cs="宋体" w:asciiTheme="minorEastAsia" w:hAnsiTheme="minorEastAsia" w:eastAsiaTheme="minorEastAsia"/>
                <w:sz w:val="24"/>
              </w:rPr>
            </w:pPr>
          </w:p>
        </w:tc>
        <w:tc>
          <w:tcPr>
            <w:tcW w:w="2671" w:type="dxa"/>
            <w:vAlign w:val="center"/>
          </w:tcPr>
          <w:p w14:paraId="2BD8284F">
            <w:pPr>
              <w:jc w:val="center"/>
              <w:rPr>
                <w:rFonts w:cs="宋体" w:asciiTheme="minorEastAsia" w:hAnsiTheme="minorEastAsia" w:eastAsiaTheme="minorEastAsia"/>
                <w:sz w:val="24"/>
              </w:rPr>
            </w:pPr>
          </w:p>
        </w:tc>
        <w:tc>
          <w:tcPr>
            <w:tcW w:w="872" w:type="dxa"/>
            <w:vAlign w:val="center"/>
          </w:tcPr>
          <w:p w14:paraId="288D9822">
            <w:pPr>
              <w:jc w:val="center"/>
              <w:rPr>
                <w:rFonts w:cs="宋体" w:asciiTheme="minorEastAsia" w:hAnsiTheme="minorEastAsia" w:eastAsiaTheme="minorEastAsia"/>
                <w:sz w:val="24"/>
              </w:rPr>
            </w:pPr>
          </w:p>
        </w:tc>
      </w:tr>
    </w:tbl>
    <w:p w14:paraId="29EDFA97">
      <w:pPr>
        <w:spacing w:line="520" w:lineRule="exact"/>
        <w:ind w:firstLine="480" w:firstLineChars="200"/>
        <w:rPr>
          <w:rFonts w:ascii="宋体" w:hAnsi="宋体"/>
          <w:bCs/>
          <w:szCs w:val="21"/>
        </w:rPr>
      </w:pPr>
      <w:r>
        <w:rPr>
          <w:rFonts w:hint="eastAsia" w:ascii="宋体" w:hAnsi="宋体"/>
          <w:sz w:val="24"/>
        </w:rPr>
        <w:t>投标单位（公章）：</w:t>
      </w:r>
    </w:p>
    <w:p w14:paraId="7D0278C4">
      <w:pPr>
        <w:spacing w:line="520" w:lineRule="exact"/>
        <w:ind w:firstLine="420" w:firstLineChars="200"/>
        <w:rPr>
          <w:rFonts w:ascii="宋体" w:hAnsi="宋体"/>
          <w:bCs/>
          <w:szCs w:val="21"/>
        </w:rPr>
      </w:pPr>
    </w:p>
    <w:p w14:paraId="37CEE5D1">
      <w:pPr>
        <w:snapToGrid w:val="0"/>
        <w:spacing w:line="480" w:lineRule="auto"/>
        <w:ind w:firstLine="420" w:firstLineChars="200"/>
      </w:pPr>
      <w:r>
        <w:rPr>
          <w:rFonts w:hint="eastAsia" w:ascii="宋体" w:hAnsi="宋体"/>
          <w:bCs/>
          <w:szCs w:val="21"/>
        </w:rPr>
        <w:t>注：</w:t>
      </w:r>
      <w:r>
        <w:rPr>
          <w:rFonts w:hint="eastAsia"/>
        </w:rPr>
        <w:t>1.</w:t>
      </w:r>
      <w:r>
        <w:rPr>
          <w:rFonts w:hint="eastAsia" w:ascii="宋体" w:hAnsi="宋体" w:cs="宋体"/>
          <w:kern w:val="0"/>
          <w:sz w:val="22"/>
          <w:szCs w:val="22"/>
        </w:rPr>
        <w:t>起止页码需与投标文件的自然页码相对照；</w:t>
      </w:r>
      <w:r>
        <w:rPr>
          <w:rFonts w:hint="eastAsia"/>
        </w:rPr>
        <w:t>若投标文件中没有项，页码可填写0 ；</w:t>
      </w:r>
      <w:r>
        <w:rPr>
          <w:rFonts w:hint="eastAsia" w:ascii="宋体" w:hAnsi="宋体" w:cs="宋体"/>
          <w:kern w:val="0"/>
          <w:sz w:val="22"/>
          <w:szCs w:val="22"/>
        </w:rPr>
        <w:t>不准确可能造成评委无法直观定</w:t>
      </w:r>
      <w:r>
        <w:rPr>
          <w:rFonts w:hint="eastAsia"/>
        </w:rPr>
        <w:t>位应标内容而做出不利判断；</w:t>
      </w:r>
    </w:p>
    <w:p w14:paraId="749FB3FD">
      <w:pPr>
        <w:snapToGrid w:val="0"/>
        <w:spacing w:line="480" w:lineRule="auto"/>
        <w:ind w:left="420"/>
      </w:pPr>
      <w:r>
        <w:rPr>
          <w:rFonts w:hint="eastAsia"/>
        </w:rPr>
        <w:t>2.此表为表样，行数可自行添加，但表式不变。</w:t>
      </w:r>
    </w:p>
    <w:p w14:paraId="48109341">
      <w:pPr>
        <w:snapToGrid w:val="0"/>
        <w:spacing w:line="480" w:lineRule="auto"/>
        <w:ind w:left="420"/>
      </w:pPr>
      <w:r>
        <w:rPr>
          <w:rFonts w:hint="eastAsia"/>
        </w:rPr>
        <w:t>3.“响应说明”用符号“+、=、-”分别表示优于、等于、低于（偏离）招标文件技术、商务条款描述，必须逐项对应响应。</w:t>
      </w:r>
    </w:p>
    <w:p w14:paraId="46F3DC9C">
      <w:pPr>
        <w:spacing w:beforeLines="100" w:afterLines="100" w:line="480" w:lineRule="exact"/>
        <w:jc w:val="center"/>
        <w:rPr>
          <w:rFonts w:ascii="宋体" w:hAnsi="宋体" w:cs="Lucida Sans Unicode"/>
          <w:b/>
          <w:sz w:val="44"/>
          <w:szCs w:val="44"/>
        </w:rPr>
        <w:sectPr>
          <w:headerReference r:id="rId7" w:type="default"/>
          <w:footerReference r:id="rId8" w:type="default"/>
          <w:pgSz w:w="11906" w:h="16838"/>
          <w:pgMar w:top="1559" w:right="1287" w:bottom="1440" w:left="1627" w:header="1089" w:footer="992" w:gutter="0"/>
          <w:cols w:space="720" w:num="1"/>
          <w:docGrid w:linePitch="312" w:charSpace="0"/>
        </w:sectPr>
      </w:pPr>
    </w:p>
    <w:p w14:paraId="73822366">
      <w:pPr>
        <w:widowControl w:val="0"/>
        <w:autoSpaceDE w:val="0"/>
        <w:autoSpaceDN w:val="0"/>
        <w:snapToGrid/>
        <w:spacing w:after="0" w:line="360" w:lineRule="auto"/>
        <w:jc w:val="center"/>
        <w:rPr>
          <w:rFonts w:cs="宋体" w:asciiTheme="minorEastAsia" w:hAnsiTheme="minorEastAsia" w:eastAsiaTheme="minorEastAsia"/>
          <w:b/>
          <w:sz w:val="40"/>
          <w:szCs w:val="28"/>
        </w:rPr>
      </w:pPr>
      <w:r>
        <w:rPr>
          <w:rFonts w:hint="eastAsia" w:cs="宋体" w:asciiTheme="minorEastAsia" w:hAnsiTheme="minorEastAsia" w:eastAsiaTheme="minorEastAsia"/>
          <w:b/>
          <w:sz w:val="40"/>
          <w:szCs w:val="28"/>
        </w:rPr>
        <w:t>中小企业声明函（工程、服务）</w:t>
      </w:r>
    </w:p>
    <w:p w14:paraId="7CF42008">
      <w:pPr>
        <w:widowControl w:val="0"/>
        <w:autoSpaceDE w:val="0"/>
        <w:autoSpaceDN w:val="0"/>
        <w:snapToGrid/>
        <w:spacing w:after="0" w:line="360" w:lineRule="auto"/>
        <w:ind w:firstLine="480" w:firstLineChars="200"/>
        <w:rPr>
          <w:rFonts w:cs="仿宋" w:asciiTheme="minorEastAsia" w:hAnsiTheme="minorEastAsia" w:eastAsiaTheme="minorEastAsia"/>
          <w:sz w:val="24"/>
          <w:szCs w:val="24"/>
        </w:rPr>
      </w:pPr>
      <w:r>
        <w:rPr>
          <w:rFonts w:hint="eastAsia" w:cs="仿宋" w:asciiTheme="minorEastAsia" w:hAnsiTheme="minorEastAsia" w:eastAsiaTheme="minorEastAsia"/>
          <w:sz w:val="24"/>
          <w:szCs w:val="24"/>
        </w:rPr>
        <w:t>本公司（联合体）郑重声明，根据《政府采购促进中小企业发展管理办法》（财库</w:t>
      </w:r>
      <w:r>
        <w:rPr>
          <w:rFonts w:hint="eastAsia" w:cs="宋体" w:asciiTheme="minorEastAsia" w:hAnsiTheme="minorEastAsia" w:eastAsiaTheme="minorEastAsia"/>
          <w:sz w:val="24"/>
          <w:szCs w:val="24"/>
        </w:rPr>
        <w:t>﹝</w:t>
      </w:r>
      <w:r>
        <w:rPr>
          <w:rFonts w:cs="仿宋" w:asciiTheme="minorEastAsia" w:hAnsiTheme="minorEastAsia" w:eastAsiaTheme="minorEastAsia"/>
          <w:sz w:val="24"/>
          <w:szCs w:val="24"/>
        </w:rPr>
        <w:t>2020</w:t>
      </w:r>
      <w:r>
        <w:rPr>
          <w:rFonts w:hint="eastAsia" w:cs="宋体" w:asciiTheme="minorEastAsia" w:hAnsiTheme="minorEastAsia" w:eastAsiaTheme="minorEastAsia"/>
          <w:sz w:val="24"/>
          <w:szCs w:val="24"/>
        </w:rPr>
        <w:t>﹞</w:t>
      </w:r>
      <w:r>
        <w:rPr>
          <w:rFonts w:cs="仿宋" w:asciiTheme="minorEastAsia" w:hAnsiTheme="minorEastAsia" w:eastAsiaTheme="minorEastAsia"/>
          <w:sz w:val="24"/>
          <w:szCs w:val="24"/>
        </w:rPr>
        <w:t xml:space="preserve">46 </w:t>
      </w:r>
      <w:r>
        <w:rPr>
          <w:rFonts w:hint="eastAsia" w:cs="仿宋" w:asciiTheme="minorEastAsia" w:hAnsiTheme="minorEastAsia" w:eastAsiaTheme="minorEastAsia"/>
          <w:sz w:val="24"/>
          <w:szCs w:val="24"/>
        </w:rPr>
        <w:t>号）的规定，本公司（联合体）参加</w:t>
      </w:r>
      <w:r>
        <w:rPr>
          <w:rFonts w:hint="eastAsia" w:cs="仿宋" w:asciiTheme="minorEastAsia" w:hAnsiTheme="minorEastAsia" w:eastAsiaTheme="minorEastAsia"/>
          <w:i/>
          <w:sz w:val="24"/>
          <w:szCs w:val="24"/>
          <w:u w:val="single"/>
        </w:rPr>
        <w:t>（单位名称）</w:t>
      </w:r>
      <w:r>
        <w:rPr>
          <w:rFonts w:hint="eastAsia" w:cs="仿宋" w:asciiTheme="minorEastAsia" w:hAnsiTheme="minorEastAsia" w:eastAsiaTheme="minorEastAsia"/>
          <w:sz w:val="24"/>
          <w:szCs w:val="24"/>
        </w:rPr>
        <w:t>的</w:t>
      </w:r>
      <w:r>
        <w:rPr>
          <w:rFonts w:hint="eastAsia" w:cs="仿宋" w:asciiTheme="minorEastAsia" w:hAnsiTheme="minorEastAsia" w:eastAsiaTheme="minorEastAsia"/>
          <w:i/>
          <w:sz w:val="24"/>
          <w:szCs w:val="24"/>
          <w:u w:val="single"/>
        </w:rPr>
        <w:t>（项目名称）</w:t>
      </w:r>
      <w:r>
        <w:rPr>
          <w:rFonts w:hint="eastAsia" w:cs="仿宋" w:asciiTheme="minorEastAsia" w:hAnsiTheme="minorEastAsia" w:eastAsiaTheme="minorEastAsia"/>
          <w:sz w:val="24"/>
          <w:szCs w:val="24"/>
        </w:rPr>
        <w:t>采购活动，工程的施工单位全部为符合政策要求的中小企业（或者：服务全部由符合政策要求的中小企业承接）。相关企业（含联合体中的中小企业、签订分包意向协议的中小企业）的具体情况如下：</w:t>
      </w:r>
    </w:p>
    <w:p w14:paraId="483211CC">
      <w:pPr>
        <w:widowControl w:val="0"/>
        <w:autoSpaceDE w:val="0"/>
        <w:autoSpaceDN w:val="0"/>
        <w:snapToGrid/>
        <w:spacing w:after="0" w:line="360" w:lineRule="auto"/>
        <w:ind w:firstLine="480" w:firstLineChars="200"/>
        <w:rPr>
          <w:rFonts w:cs="仿宋" w:asciiTheme="minorEastAsia" w:hAnsiTheme="minorEastAsia" w:eastAsiaTheme="minorEastAsia"/>
          <w:sz w:val="24"/>
          <w:szCs w:val="24"/>
        </w:rPr>
      </w:pPr>
      <w:r>
        <w:rPr>
          <w:rFonts w:cs="仿宋" w:asciiTheme="minorEastAsia" w:hAnsiTheme="minorEastAsia" w:eastAsiaTheme="minorEastAsia"/>
          <w:sz w:val="24"/>
          <w:szCs w:val="24"/>
        </w:rPr>
        <w:t xml:space="preserve">1. </w:t>
      </w:r>
      <w:r>
        <w:rPr>
          <w:rFonts w:hint="eastAsia" w:cs="仿宋" w:asciiTheme="minorEastAsia" w:hAnsiTheme="minorEastAsia" w:eastAsiaTheme="minorEastAsia"/>
          <w:i/>
          <w:sz w:val="24"/>
          <w:szCs w:val="24"/>
          <w:u w:val="single"/>
        </w:rPr>
        <w:t>（标的名称）</w:t>
      </w:r>
      <w:r>
        <w:rPr>
          <w:rFonts w:cs="仿宋" w:asciiTheme="minorEastAsia" w:hAnsiTheme="minorEastAsia" w:eastAsiaTheme="minorEastAsia"/>
          <w:i/>
          <w:sz w:val="24"/>
          <w:szCs w:val="24"/>
          <w:u w:val="single"/>
        </w:rPr>
        <w:t xml:space="preserve"> </w:t>
      </w:r>
      <w:r>
        <w:rPr>
          <w:rFonts w:hint="eastAsia" w:cs="仿宋" w:asciiTheme="minorEastAsia" w:hAnsiTheme="minorEastAsia" w:eastAsiaTheme="minorEastAsia"/>
          <w:sz w:val="24"/>
          <w:szCs w:val="24"/>
        </w:rPr>
        <w:t>，属于</w:t>
      </w:r>
      <w:r>
        <w:rPr>
          <w:rFonts w:hint="eastAsia" w:cs="仿宋" w:asciiTheme="minorEastAsia" w:hAnsiTheme="minorEastAsia" w:eastAsiaTheme="minorEastAsia"/>
          <w:i/>
          <w:sz w:val="24"/>
          <w:szCs w:val="24"/>
          <w:u w:val="single"/>
        </w:rPr>
        <w:t>（采购文件中明确的所属行业）</w:t>
      </w:r>
      <w:r>
        <w:rPr>
          <w:rFonts w:hint="eastAsia" w:cs="仿宋" w:asciiTheme="minorEastAsia" w:hAnsiTheme="minorEastAsia" w:eastAsiaTheme="minorEastAsia"/>
          <w:sz w:val="24"/>
          <w:szCs w:val="24"/>
        </w:rPr>
        <w:t>；承建（承接）企业为</w:t>
      </w:r>
      <w:r>
        <w:rPr>
          <w:rFonts w:hint="eastAsia" w:cs="仿宋" w:asciiTheme="minorEastAsia" w:hAnsiTheme="minorEastAsia" w:eastAsiaTheme="minorEastAsia"/>
          <w:i/>
          <w:sz w:val="24"/>
          <w:szCs w:val="24"/>
          <w:u w:val="single"/>
        </w:rPr>
        <w:t>（企业名称）</w:t>
      </w:r>
      <w:r>
        <w:rPr>
          <w:rFonts w:hint="eastAsia" w:cs="仿宋" w:asciiTheme="minorEastAsia" w:hAnsiTheme="minorEastAsia" w:eastAsiaTheme="minorEastAsia"/>
          <w:sz w:val="24"/>
          <w:szCs w:val="24"/>
        </w:rPr>
        <w:t>，从业人员</w:t>
      </w:r>
      <w:r>
        <w:rPr>
          <w:rFonts w:hint="eastAsia" w:cs="仿宋" w:asciiTheme="minorEastAsia" w:hAnsiTheme="minorEastAsia" w:eastAsiaTheme="minorEastAsia"/>
          <w:sz w:val="24"/>
          <w:szCs w:val="24"/>
          <w:u w:val="single"/>
        </w:rPr>
        <w:t xml:space="preserve">    </w:t>
      </w:r>
      <w:r>
        <w:rPr>
          <w:rFonts w:hint="eastAsia" w:cs="仿宋" w:asciiTheme="minorEastAsia" w:hAnsiTheme="minorEastAsia" w:eastAsiaTheme="minorEastAsia"/>
          <w:sz w:val="24"/>
          <w:szCs w:val="24"/>
        </w:rPr>
        <w:t>人，营业收入为</w:t>
      </w:r>
      <w:r>
        <w:rPr>
          <w:rFonts w:hint="eastAsia" w:cs="仿宋" w:asciiTheme="minorEastAsia" w:hAnsiTheme="minorEastAsia" w:eastAsiaTheme="minorEastAsia"/>
          <w:sz w:val="24"/>
          <w:szCs w:val="24"/>
          <w:u w:val="single"/>
        </w:rPr>
        <w:t xml:space="preserve">    </w:t>
      </w:r>
      <w:r>
        <w:rPr>
          <w:rFonts w:hint="eastAsia" w:cs="仿宋" w:asciiTheme="minorEastAsia" w:hAnsiTheme="minorEastAsia" w:eastAsiaTheme="minorEastAsia"/>
          <w:sz w:val="24"/>
          <w:szCs w:val="24"/>
        </w:rPr>
        <w:t>万元，资产总额为</w:t>
      </w:r>
      <w:r>
        <w:rPr>
          <w:rFonts w:hint="eastAsia" w:cs="仿宋" w:asciiTheme="minorEastAsia" w:hAnsiTheme="minorEastAsia" w:eastAsiaTheme="minorEastAsia"/>
          <w:sz w:val="24"/>
          <w:szCs w:val="24"/>
          <w:u w:val="single"/>
        </w:rPr>
        <w:t xml:space="preserve">    </w:t>
      </w:r>
      <w:r>
        <w:rPr>
          <w:rFonts w:hint="eastAsia" w:cs="仿宋" w:asciiTheme="minorEastAsia" w:hAnsiTheme="minorEastAsia" w:eastAsiaTheme="minorEastAsia"/>
          <w:sz w:val="24"/>
          <w:szCs w:val="24"/>
        </w:rPr>
        <w:t>万元</w:t>
      </w:r>
      <w:r>
        <w:rPr>
          <w:rFonts w:cs="仿宋" w:asciiTheme="minorEastAsia" w:hAnsiTheme="minorEastAsia" w:eastAsiaTheme="minorEastAsia"/>
          <w:sz w:val="24"/>
          <w:szCs w:val="24"/>
          <w:vertAlign w:val="superscript"/>
        </w:rPr>
        <w:t>1</w:t>
      </w:r>
      <w:r>
        <w:rPr>
          <w:rFonts w:hint="eastAsia" w:cs="仿宋" w:asciiTheme="minorEastAsia" w:hAnsiTheme="minorEastAsia" w:eastAsiaTheme="minorEastAsia"/>
          <w:sz w:val="24"/>
          <w:szCs w:val="24"/>
        </w:rPr>
        <w:t>，属于</w:t>
      </w:r>
      <w:r>
        <w:rPr>
          <w:rFonts w:hint="eastAsia" w:cs="仿宋" w:asciiTheme="minorEastAsia" w:hAnsiTheme="minorEastAsia" w:eastAsiaTheme="minorEastAsia"/>
          <w:i/>
          <w:sz w:val="24"/>
          <w:szCs w:val="24"/>
          <w:u w:val="single"/>
        </w:rPr>
        <w:t>（中型企业、小型企业、微型企业）</w:t>
      </w:r>
      <w:r>
        <w:rPr>
          <w:rFonts w:hint="eastAsia" w:cs="仿宋" w:asciiTheme="minorEastAsia" w:hAnsiTheme="minorEastAsia" w:eastAsiaTheme="minorEastAsia"/>
          <w:sz w:val="24"/>
          <w:szCs w:val="24"/>
        </w:rPr>
        <w:t>；</w:t>
      </w:r>
    </w:p>
    <w:p w14:paraId="1B805E61">
      <w:pPr>
        <w:widowControl w:val="0"/>
        <w:autoSpaceDE w:val="0"/>
        <w:autoSpaceDN w:val="0"/>
        <w:snapToGrid/>
        <w:spacing w:after="0" w:line="360" w:lineRule="auto"/>
        <w:ind w:firstLine="480" w:firstLineChars="200"/>
        <w:rPr>
          <w:rFonts w:cs="仿宋" w:asciiTheme="minorEastAsia" w:hAnsiTheme="minorEastAsia" w:eastAsiaTheme="minorEastAsia"/>
          <w:sz w:val="24"/>
          <w:szCs w:val="24"/>
        </w:rPr>
      </w:pPr>
      <w:r>
        <w:rPr>
          <w:rFonts w:cs="仿宋" w:asciiTheme="minorEastAsia" w:hAnsiTheme="minorEastAsia" w:eastAsiaTheme="minorEastAsia"/>
          <w:sz w:val="24"/>
          <w:szCs w:val="24"/>
        </w:rPr>
        <w:t>2.</w:t>
      </w:r>
      <w:r>
        <w:rPr>
          <w:rFonts w:cs="仿宋" w:asciiTheme="minorEastAsia" w:hAnsiTheme="minorEastAsia" w:eastAsiaTheme="minorEastAsia"/>
          <w:i/>
          <w:sz w:val="24"/>
          <w:szCs w:val="24"/>
          <w:u w:val="single"/>
        </w:rPr>
        <w:t xml:space="preserve"> </w:t>
      </w:r>
      <w:r>
        <w:rPr>
          <w:rFonts w:hint="eastAsia" w:cs="仿宋" w:asciiTheme="minorEastAsia" w:hAnsiTheme="minorEastAsia" w:eastAsiaTheme="minorEastAsia"/>
          <w:i/>
          <w:sz w:val="24"/>
          <w:szCs w:val="24"/>
          <w:u w:val="single"/>
        </w:rPr>
        <w:t>（标的名称）</w:t>
      </w:r>
      <w:r>
        <w:rPr>
          <w:rFonts w:cs="仿宋" w:asciiTheme="minorEastAsia" w:hAnsiTheme="minorEastAsia" w:eastAsiaTheme="minorEastAsia"/>
          <w:i/>
          <w:sz w:val="24"/>
          <w:szCs w:val="24"/>
          <w:u w:val="single"/>
        </w:rPr>
        <w:t xml:space="preserve"> </w:t>
      </w:r>
      <w:r>
        <w:rPr>
          <w:rFonts w:hint="eastAsia" w:cs="仿宋" w:asciiTheme="minorEastAsia" w:hAnsiTheme="minorEastAsia" w:eastAsiaTheme="minorEastAsia"/>
          <w:sz w:val="24"/>
          <w:szCs w:val="24"/>
        </w:rPr>
        <w:t>，属于</w:t>
      </w:r>
      <w:r>
        <w:rPr>
          <w:rFonts w:hint="eastAsia" w:cs="仿宋" w:asciiTheme="minorEastAsia" w:hAnsiTheme="minorEastAsia" w:eastAsiaTheme="minorEastAsia"/>
          <w:i/>
          <w:sz w:val="24"/>
          <w:szCs w:val="24"/>
          <w:u w:val="single"/>
        </w:rPr>
        <w:t>（采购文件中明确的所属行业）</w:t>
      </w:r>
      <w:r>
        <w:rPr>
          <w:rFonts w:hint="eastAsia" w:cs="仿宋" w:asciiTheme="minorEastAsia" w:hAnsiTheme="minorEastAsia" w:eastAsiaTheme="minorEastAsia"/>
          <w:sz w:val="24"/>
          <w:szCs w:val="24"/>
        </w:rPr>
        <w:t>；承建（承接）企业为</w:t>
      </w:r>
      <w:r>
        <w:rPr>
          <w:rFonts w:hint="eastAsia" w:cs="仿宋" w:asciiTheme="minorEastAsia" w:hAnsiTheme="minorEastAsia" w:eastAsiaTheme="minorEastAsia"/>
          <w:i/>
          <w:sz w:val="24"/>
          <w:szCs w:val="24"/>
          <w:u w:val="single"/>
        </w:rPr>
        <w:t>（企业名称）</w:t>
      </w:r>
      <w:r>
        <w:rPr>
          <w:rFonts w:hint="eastAsia" w:cs="仿宋" w:asciiTheme="minorEastAsia" w:hAnsiTheme="minorEastAsia" w:eastAsiaTheme="minorEastAsia"/>
          <w:sz w:val="24"/>
          <w:szCs w:val="24"/>
        </w:rPr>
        <w:t>，从业人员人</w:t>
      </w:r>
      <w:r>
        <w:rPr>
          <w:rFonts w:hint="eastAsia" w:cs="仿宋" w:asciiTheme="minorEastAsia" w:hAnsiTheme="minorEastAsia" w:eastAsiaTheme="minorEastAsia"/>
          <w:sz w:val="24"/>
          <w:szCs w:val="24"/>
          <w:u w:val="single"/>
        </w:rPr>
        <w:t xml:space="preserve">    </w:t>
      </w:r>
      <w:r>
        <w:rPr>
          <w:rFonts w:hint="eastAsia" w:cs="仿宋" w:asciiTheme="minorEastAsia" w:hAnsiTheme="minorEastAsia" w:eastAsiaTheme="minorEastAsia"/>
          <w:sz w:val="24"/>
          <w:szCs w:val="24"/>
        </w:rPr>
        <w:t>，营业收入为</w:t>
      </w:r>
      <w:r>
        <w:rPr>
          <w:rFonts w:hint="eastAsia" w:cs="仿宋" w:asciiTheme="minorEastAsia" w:hAnsiTheme="minorEastAsia" w:eastAsiaTheme="minorEastAsia"/>
          <w:sz w:val="24"/>
          <w:szCs w:val="24"/>
          <w:u w:val="single"/>
        </w:rPr>
        <w:t xml:space="preserve">    </w:t>
      </w:r>
      <w:r>
        <w:rPr>
          <w:rFonts w:hint="eastAsia" w:cs="仿宋" w:asciiTheme="minorEastAsia" w:hAnsiTheme="minorEastAsia" w:eastAsiaTheme="minorEastAsia"/>
          <w:sz w:val="24"/>
          <w:szCs w:val="24"/>
        </w:rPr>
        <w:t>万元，资产总额为</w:t>
      </w:r>
      <w:r>
        <w:rPr>
          <w:rFonts w:hint="eastAsia" w:cs="仿宋" w:asciiTheme="minorEastAsia" w:hAnsiTheme="minorEastAsia" w:eastAsiaTheme="minorEastAsia"/>
          <w:sz w:val="24"/>
          <w:szCs w:val="24"/>
          <w:u w:val="single"/>
        </w:rPr>
        <w:t xml:space="preserve">    </w:t>
      </w:r>
      <w:r>
        <w:rPr>
          <w:rFonts w:hint="eastAsia" w:cs="仿宋" w:asciiTheme="minorEastAsia" w:hAnsiTheme="minorEastAsia" w:eastAsiaTheme="minorEastAsia"/>
          <w:sz w:val="24"/>
          <w:szCs w:val="24"/>
        </w:rPr>
        <w:t>万元，属于</w:t>
      </w:r>
      <w:r>
        <w:rPr>
          <w:rFonts w:hint="eastAsia" w:cs="仿宋" w:asciiTheme="minorEastAsia" w:hAnsiTheme="minorEastAsia" w:eastAsiaTheme="minorEastAsia"/>
          <w:i/>
          <w:sz w:val="24"/>
          <w:szCs w:val="24"/>
          <w:u w:val="single"/>
        </w:rPr>
        <w:t>（中型企业、小型企业、微型企业）</w:t>
      </w:r>
      <w:r>
        <w:rPr>
          <w:rFonts w:hint="eastAsia" w:cs="仿宋" w:asciiTheme="minorEastAsia" w:hAnsiTheme="minorEastAsia" w:eastAsiaTheme="minorEastAsia"/>
          <w:sz w:val="24"/>
          <w:szCs w:val="24"/>
        </w:rPr>
        <w:t>；</w:t>
      </w:r>
    </w:p>
    <w:p w14:paraId="22300C06">
      <w:pPr>
        <w:widowControl w:val="0"/>
        <w:autoSpaceDE w:val="0"/>
        <w:autoSpaceDN w:val="0"/>
        <w:snapToGrid/>
        <w:spacing w:after="0" w:line="360" w:lineRule="auto"/>
        <w:ind w:firstLine="480" w:firstLineChars="200"/>
        <w:rPr>
          <w:rFonts w:cs="仿宋" w:asciiTheme="minorEastAsia" w:hAnsiTheme="minorEastAsia" w:eastAsiaTheme="minorEastAsia"/>
          <w:sz w:val="24"/>
          <w:szCs w:val="24"/>
        </w:rPr>
      </w:pPr>
      <w:r>
        <w:rPr>
          <w:rFonts w:hint="eastAsia" w:cs="仿宋" w:asciiTheme="minorEastAsia" w:hAnsiTheme="minorEastAsia" w:eastAsiaTheme="minorEastAsia"/>
          <w:sz w:val="24"/>
          <w:szCs w:val="24"/>
        </w:rPr>
        <w:t>……</w:t>
      </w:r>
    </w:p>
    <w:p w14:paraId="4D1C874A">
      <w:pPr>
        <w:widowControl w:val="0"/>
        <w:autoSpaceDE w:val="0"/>
        <w:autoSpaceDN w:val="0"/>
        <w:snapToGrid/>
        <w:spacing w:after="0" w:line="360" w:lineRule="auto"/>
        <w:ind w:firstLine="480" w:firstLineChars="200"/>
        <w:rPr>
          <w:rFonts w:cs="仿宋" w:asciiTheme="minorEastAsia" w:hAnsiTheme="minorEastAsia" w:eastAsiaTheme="minorEastAsia"/>
          <w:sz w:val="24"/>
          <w:szCs w:val="24"/>
        </w:rPr>
      </w:pPr>
      <w:r>
        <w:rPr>
          <w:rFonts w:hint="eastAsia" w:cs="仿宋" w:asciiTheme="minorEastAsia" w:hAnsiTheme="minorEastAsia" w:eastAsiaTheme="minorEastAsia"/>
          <w:sz w:val="24"/>
          <w:szCs w:val="24"/>
        </w:rPr>
        <w:t>以上企业，不属于大企业的分支机构，不存在控股股东为大企业的情形，也不存在与大企业的负责人为同一人的情形。</w:t>
      </w:r>
    </w:p>
    <w:p w14:paraId="58CC600A">
      <w:pPr>
        <w:widowControl w:val="0"/>
        <w:autoSpaceDE w:val="0"/>
        <w:autoSpaceDN w:val="0"/>
        <w:snapToGrid/>
        <w:spacing w:after="0" w:line="360" w:lineRule="auto"/>
        <w:ind w:firstLine="480" w:firstLineChars="200"/>
        <w:rPr>
          <w:rFonts w:cs="仿宋" w:asciiTheme="minorEastAsia" w:hAnsiTheme="minorEastAsia" w:eastAsiaTheme="minorEastAsia"/>
          <w:sz w:val="24"/>
          <w:szCs w:val="24"/>
        </w:rPr>
      </w:pPr>
      <w:r>
        <w:rPr>
          <w:rFonts w:hint="eastAsia" w:cs="仿宋" w:asciiTheme="minorEastAsia" w:hAnsiTheme="minorEastAsia" w:eastAsiaTheme="minorEastAsia"/>
          <w:sz w:val="24"/>
          <w:szCs w:val="24"/>
        </w:rPr>
        <w:t>本企业对上述声明内容的真实性负责。如有虚假，将依法承担相应责任。</w:t>
      </w:r>
    </w:p>
    <w:p w14:paraId="463251D6">
      <w:pPr>
        <w:widowControl w:val="0"/>
        <w:autoSpaceDE w:val="0"/>
        <w:autoSpaceDN w:val="0"/>
        <w:snapToGrid/>
        <w:spacing w:after="0" w:line="360" w:lineRule="auto"/>
        <w:ind w:left="2940" w:leftChars="1400" w:firstLine="480" w:firstLineChars="200"/>
        <w:rPr>
          <w:rFonts w:hint="eastAsia" w:cs="仿宋" w:asciiTheme="minorEastAsia" w:hAnsiTheme="minorEastAsia" w:eastAsiaTheme="minorEastAsia"/>
          <w:sz w:val="24"/>
          <w:szCs w:val="24"/>
        </w:rPr>
      </w:pPr>
    </w:p>
    <w:p w14:paraId="2C2E4B47">
      <w:pPr>
        <w:widowControl w:val="0"/>
        <w:autoSpaceDE w:val="0"/>
        <w:autoSpaceDN w:val="0"/>
        <w:snapToGrid/>
        <w:spacing w:after="0" w:line="360" w:lineRule="auto"/>
        <w:ind w:left="2940" w:leftChars="1400" w:firstLine="480" w:firstLineChars="200"/>
        <w:rPr>
          <w:rFonts w:hint="eastAsia" w:cs="仿宋" w:asciiTheme="minorEastAsia" w:hAnsiTheme="minorEastAsia" w:eastAsiaTheme="minorEastAsia"/>
          <w:sz w:val="24"/>
          <w:szCs w:val="24"/>
        </w:rPr>
      </w:pPr>
      <w:r>
        <w:rPr>
          <w:rFonts w:hint="eastAsia" w:cs="仿宋" w:asciiTheme="minorEastAsia" w:hAnsiTheme="minorEastAsia" w:eastAsiaTheme="minorEastAsia"/>
          <w:sz w:val="24"/>
          <w:szCs w:val="24"/>
        </w:rPr>
        <w:t>企业名称（盖章）：</w:t>
      </w:r>
    </w:p>
    <w:p w14:paraId="0227442A">
      <w:pPr>
        <w:widowControl w:val="0"/>
        <w:autoSpaceDE w:val="0"/>
        <w:autoSpaceDN w:val="0"/>
        <w:snapToGrid/>
        <w:spacing w:after="0" w:line="360" w:lineRule="auto"/>
        <w:ind w:left="2940" w:leftChars="1400" w:firstLine="480" w:firstLineChars="200"/>
        <w:rPr>
          <w:rFonts w:cs="仿宋" w:asciiTheme="minorEastAsia" w:hAnsiTheme="minorEastAsia" w:eastAsiaTheme="minorEastAsia"/>
          <w:sz w:val="24"/>
          <w:szCs w:val="24"/>
        </w:rPr>
      </w:pPr>
    </w:p>
    <w:p w14:paraId="74E91667">
      <w:pPr>
        <w:widowControl w:val="0"/>
        <w:autoSpaceDE w:val="0"/>
        <w:autoSpaceDN w:val="0"/>
        <w:snapToGrid/>
        <w:spacing w:after="0" w:line="360" w:lineRule="auto"/>
        <w:ind w:left="2940" w:leftChars="1400" w:firstLine="480" w:firstLineChars="200"/>
        <w:rPr>
          <w:rFonts w:cs="仿宋" w:asciiTheme="minorEastAsia" w:hAnsiTheme="minorEastAsia" w:eastAsiaTheme="minorEastAsia"/>
          <w:sz w:val="24"/>
          <w:szCs w:val="24"/>
        </w:rPr>
      </w:pPr>
      <w:r>
        <w:rPr>
          <w:rFonts w:hint="eastAsia" w:cs="仿宋" w:asciiTheme="minorEastAsia" w:hAnsiTheme="minorEastAsia" w:eastAsiaTheme="minorEastAsia"/>
          <w:sz w:val="24"/>
          <w:szCs w:val="24"/>
        </w:rPr>
        <w:t>日期：</w:t>
      </w:r>
    </w:p>
    <w:p w14:paraId="740F68C5">
      <w:pPr>
        <w:widowControl w:val="0"/>
        <w:autoSpaceDE w:val="0"/>
        <w:autoSpaceDN w:val="0"/>
        <w:snapToGrid/>
        <w:spacing w:after="0" w:line="360" w:lineRule="auto"/>
        <w:rPr>
          <w:rFonts w:hint="eastAsia" w:cs="TimesNewRomanPSMT" w:asciiTheme="minorEastAsia" w:hAnsiTheme="minorEastAsia" w:eastAsiaTheme="minorEastAsia"/>
          <w:sz w:val="24"/>
          <w:szCs w:val="28"/>
          <w:vertAlign w:val="superscript"/>
        </w:rPr>
      </w:pPr>
    </w:p>
    <w:p w14:paraId="7BC1882F">
      <w:pPr>
        <w:widowControl w:val="0"/>
        <w:autoSpaceDE w:val="0"/>
        <w:autoSpaceDN w:val="0"/>
        <w:snapToGrid/>
        <w:spacing w:after="0" w:line="360" w:lineRule="auto"/>
        <w:ind w:firstLine="480" w:firstLineChars="200"/>
        <w:rPr>
          <w:rFonts w:hint="eastAsia" w:cs="TimesNewRomanPSMT" w:asciiTheme="minorEastAsia" w:hAnsiTheme="minorEastAsia" w:eastAsiaTheme="minorEastAsia"/>
          <w:sz w:val="24"/>
          <w:szCs w:val="28"/>
          <w:vertAlign w:val="superscript"/>
        </w:rPr>
      </w:pPr>
      <w:r>
        <w:rPr>
          <w:rFonts w:hint="eastAsia" w:cs="TimesNewRomanPSMT" w:asciiTheme="minorEastAsia" w:hAnsiTheme="minorEastAsia" w:eastAsiaTheme="minorEastAsia"/>
          <w:sz w:val="24"/>
          <w:szCs w:val="28"/>
          <w:vertAlign w:val="superscript"/>
        </w:rPr>
        <mc:AlternateContent>
          <mc:Choice Requires="wps">
            <w:drawing>
              <wp:anchor distT="0" distB="0" distL="114300" distR="114300" simplePos="0" relativeHeight="251662336" behindDoc="0" locked="0" layoutInCell="1" allowOverlap="1">
                <wp:simplePos x="0" y="0"/>
                <wp:positionH relativeFrom="column">
                  <wp:posOffset>169545</wp:posOffset>
                </wp:positionH>
                <wp:positionV relativeFrom="paragraph">
                  <wp:posOffset>148590</wp:posOffset>
                </wp:positionV>
                <wp:extent cx="3596640" cy="0"/>
                <wp:effectExtent l="0" t="4445" r="0" b="5080"/>
                <wp:wrapNone/>
                <wp:docPr id="3" name="直接箭头连接符 3"/>
                <wp:cNvGraphicFramePr/>
                <a:graphic xmlns:a="http://schemas.openxmlformats.org/drawingml/2006/main">
                  <a:graphicData uri="http://schemas.microsoft.com/office/word/2010/wordprocessingShape">
                    <wps:wsp>
                      <wps:cNvCnPr/>
                      <wps:spPr>
                        <a:xfrm>
                          <a:off x="0" y="0"/>
                          <a:ext cx="359664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13.35pt;margin-top:11.7pt;height:0pt;width:283.2pt;z-index:251662336;mso-width-relative:page;mso-height-relative:page;" filled="f" stroked="t" coordsize="21600,21600" o:gfxdata="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BVbf81wAAAAgBAAAPAAAAAAAAAAEAIAAAACIAAABkcnMvZG93bnJl&#10;di54bWxQSwECFAAUAAAACACHTuJAB5q3fP4BAADsAwAADgAAAAAAAAABACAAAAAmAQAAZHJzL2Uy&#10;b0RvYy54bWxQSwUGAAAAAAYABgBZAQAAlgUAAAAA&#10;">
                <v:fill on="f" focussize="0,0"/>
                <v:stroke color="#000000" joinstyle="round"/>
                <v:imagedata o:title=""/>
                <o:lock v:ext="edit" aspectratio="f"/>
              </v:shape>
            </w:pict>
          </mc:Fallback>
        </mc:AlternateContent>
      </w:r>
    </w:p>
    <w:p w14:paraId="609D802D">
      <w:pPr>
        <w:widowControl w:val="0"/>
        <w:autoSpaceDE w:val="0"/>
        <w:autoSpaceDN w:val="0"/>
        <w:snapToGrid/>
        <w:spacing w:after="0" w:line="360" w:lineRule="auto"/>
        <w:rPr>
          <w:rFonts w:cs="宋体" w:asciiTheme="minorEastAsia" w:hAnsiTheme="minorEastAsia" w:eastAsiaTheme="minorEastAsia"/>
          <w:sz w:val="24"/>
          <w:szCs w:val="28"/>
        </w:rPr>
      </w:pPr>
      <w:r>
        <w:rPr>
          <w:rFonts w:cs="TimesNewRomanPSMT" w:asciiTheme="minorEastAsia" w:hAnsiTheme="minorEastAsia" w:eastAsiaTheme="minorEastAsia"/>
          <w:sz w:val="24"/>
          <w:szCs w:val="28"/>
          <w:vertAlign w:val="superscript"/>
        </w:rPr>
        <w:t xml:space="preserve">1 </w:t>
      </w:r>
      <w:r>
        <w:rPr>
          <w:rFonts w:hint="eastAsia" w:cs="宋体" w:asciiTheme="minorEastAsia" w:hAnsiTheme="minorEastAsia" w:eastAsiaTheme="minorEastAsia"/>
          <w:sz w:val="21"/>
          <w:szCs w:val="21"/>
        </w:rPr>
        <w:t>从业人员、营业收入、资产总额填报上一年度数据，无上一年度数据的新成立企业可不填报。</w:t>
      </w:r>
    </w:p>
    <w:p w14:paraId="66C1B36D">
      <w:pPr>
        <w:rPr>
          <w:rFonts w:hint="eastAsia" w:ascii="宋体" w:hAnsi="宋体" w:cs="宋体"/>
          <w:b/>
          <w:kern w:val="0"/>
          <w:sz w:val="40"/>
          <w:szCs w:val="40"/>
          <w:lang w:val="en-US" w:eastAsia="zh-CN"/>
        </w:rPr>
      </w:pPr>
    </w:p>
    <w:p w14:paraId="0004EDF9">
      <w:pPr>
        <w:rPr>
          <w:rFonts w:hint="eastAsia" w:ascii="宋体" w:hAnsi="宋体" w:cs="宋体"/>
          <w:b/>
          <w:kern w:val="0"/>
          <w:sz w:val="40"/>
          <w:szCs w:val="40"/>
          <w:lang w:val="en-US" w:eastAsia="zh-CN"/>
        </w:rPr>
      </w:pPr>
    </w:p>
    <w:p w14:paraId="5749317E">
      <w:pPr>
        <w:rPr>
          <w:rFonts w:hint="eastAsia" w:ascii="宋体" w:hAnsi="宋体" w:cs="宋体"/>
          <w:b/>
          <w:kern w:val="0"/>
          <w:sz w:val="40"/>
          <w:szCs w:val="40"/>
          <w:lang w:val="en-US" w:eastAsia="zh-CN"/>
        </w:rPr>
      </w:pPr>
    </w:p>
    <w:p w14:paraId="0825D7CF">
      <w:pPr>
        <w:rPr>
          <w:rFonts w:hint="eastAsia" w:ascii="宋体" w:hAnsi="宋体" w:eastAsia="宋体" w:cs="宋体"/>
          <w:b/>
          <w:kern w:val="0"/>
          <w:sz w:val="24"/>
          <w:szCs w:val="24"/>
          <w:lang w:val="en-US" w:eastAsia="zh-CN"/>
        </w:rPr>
      </w:pPr>
      <w:r>
        <w:rPr>
          <w:rFonts w:hint="eastAsia" w:ascii="宋体" w:hAnsi="宋体" w:cs="宋体"/>
          <w:b/>
          <w:kern w:val="0"/>
          <w:sz w:val="24"/>
          <w:szCs w:val="24"/>
          <w:lang w:val="en-US" w:eastAsia="zh-CN"/>
        </w:rPr>
        <w:t>注：本项目所属行业为其他未列明行业，具体标准详见—工信部联企业〔2011〕300 号《中小企业划型标准规定》。</w:t>
      </w:r>
    </w:p>
    <w:p w14:paraId="21C55C35">
      <w:pPr>
        <w:rPr>
          <w:rFonts w:hint="eastAsia" w:ascii="宋体" w:hAnsi="宋体" w:cs="Lucida Sans Unicode"/>
          <w:b/>
          <w:sz w:val="44"/>
          <w:szCs w:val="44"/>
        </w:rPr>
      </w:pPr>
      <w:r>
        <w:rPr>
          <w:rFonts w:hint="eastAsia" w:ascii="宋体" w:hAnsi="宋体" w:cs="Lucida Sans Unicode"/>
          <w:b/>
          <w:sz w:val="44"/>
          <w:szCs w:val="44"/>
        </w:rPr>
        <w:br w:type="page"/>
      </w:r>
    </w:p>
    <w:p w14:paraId="3D242F81">
      <w:pPr>
        <w:spacing w:line="560" w:lineRule="exact"/>
        <w:jc w:val="center"/>
        <w:rPr>
          <w:rFonts w:ascii="宋体" w:hAnsi="宋体" w:cs="Lucida Sans Unicode"/>
          <w:b/>
          <w:sz w:val="44"/>
          <w:szCs w:val="44"/>
        </w:rPr>
      </w:pPr>
      <w:r>
        <w:rPr>
          <w:rFonts w:hint="eastAsia" w:ascii="宋体" w:hAnsi="宋体" w:cs="Lucida Sans Unicode"/>
          <w:b/>
          <w:sz w:val="44"/>
          <w:szCs w:val="44"/>
        </w:rPr>
        <w:t>其他证明材料</w:t>
      </w:r>
    </w:p>
    <w:p w14:paraId="342BE9ED">
      <w:pPr>
        <w:jc w:val="center"/>
        <w:rPr>
          <w:rFonts w:ascii="宋体" w:hAnsi="宋体"/>
        </w:rPr>
      </w:pPr>
    </w:p>
    <w:p w14:paraId="16130DDA">
      <w:pPr>
        <w:jc w:val="center"/>
        <w:rPr>
          <w:rFonts w:ascii="宋体" w:hAnsi="宋体"/>
        </w:rPr>
      </w:pPr>
    </w:p>
    <w:p w14:paraId="2DB23147">
      <w:pPr>
        <w:jc w:val="center"/>
        <w:rPr>
          <w:rFonts w:ascii="宋体" w:hAnsi="宋体"/>
        </w:rPr>
      </w:pPr>
      <w:r>
        <w:rPr>
          <w:rFonts w:hint="eastAsia" w:ascii="宋体" w:hAnsi="宋体"/>
        </w:rPr>
        <w:t>（如有，自由格式）</w:t>
      </w:r>
    </w:p>
    <w:p w14:paraId="423B80DD">
      <w:pPr>
        <w:spacing w:line="600" w:lineRule="exact"/>
        <w:ind w:right="561" w:rightChars="267"/>
        <w:jc w:val="center"/>
        <w:rPr>
          <w:rFonts w:ascii="宋体" w:hAnsi="宋体" w:cs="Lucida Sans Unicode"/>
          <w:b/>
          <w:sz w:val="44"/>
          <w:szCs w:val="44"/>
        </w:rPr>
      </w:pPr>
      <w:r>
        <w:rPr>
          <w:rFonts w:ascii="宋体" w:hAnsi="宋体"/>
          <w:sz w:val="24"/>
        </w:rPr>
        <w:br w:type="page"/>
      </w:r>
      <w:r>
        <w:rPr>
          <w:rFonts w:ascii="宋体" w:hAnsi="宋体" w:cs="Lucida Sans Unicode"/>
          <w:b/>
          <w:sz w:val="44"/>
          <w:szCs w:val="44"/>
        </w:rPr>
        <w:t>技术方案</w:t>
      </w:r>
    </w:p>
    <w:p w14:paraId="4A6F7366">
      <w:pPr>
        <w:rPr>
          <w:rFonts w:ascii="宋体" w:hAnsi="宋体"/>
        </w:rPr>
      </w:pPr>
    </w:p>
    <w:p w14:paraId="6BA28F01">
      <w:pPr>
        <w:jc w:val="center"/>
        <w:rPr>
          <w:rFonts w:ascii="宋体" w:hAnsi="宋体"/>
          <w:sz w:val="24"/>
        </w:rPr>
      </w:pPr>
      <w:r>
        <w:rPr>
          <w:rFonts w:hint="eastAsia" w:ascii="宋体" w:hAnsi="宋体"/>
        </w:rPr>
        <w:t>（如有，自由格式）</w:t>
      </w:r>
    </w:p>
    <w:p w14:paraId="1FB3330D"/>
    <w:sectPr>
      <w:headerReference r:id="rId9" w:type="default"/>
      <w:footerReference r:id="rId10" w:type="default"/>
      <w:pgSz w:w="11906" w:h="16838"/>
      <w:pgMar w:top="1559" w:right="1287" w:bottom="1440" w:left="1627" w:header="1089"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新宋体">
    <w:panose1 w:val="02010609030101010101"/>
    <w:charset w:val="86"/>
    <w:family w:val="modern"/>
    <w:pitch w:val="default"/>
    <w:sig w:usb0="00000203" w:usb1="288F0000" w:usb2="00000006" w:usb3="00000000" w:csb0="00040001" w:csb1="00000000"/>
  </w:font>
  <w:font w:name="Lucida Sans Unicode">
    <w:panose1 w:val="020B0602030504020204"/>
    <w:charset w:val="00"/>
    <w:family w:val="swiss"/>
    <w:pitch w:val="default"/>
    <w:sig w:usb0="80001AFF" w:usb1="0000396B" w:usb2="00000000" w:usb3="00000000" w:csb0="200000BF" w:csb1="D7F7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仿宋_GB2312">
    <w:altName w:val="宋体"/>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TimesNewRomanPSMT">
    <w:altName w:val="Times New Roman"/>
    <w:panose1 w:val="00000000000000000000"/>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DF4DC7">
    <w:pPr>
      <w:pStyle w:val="13"/>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53725E58">
                          <w:pPr>
                            <w:pStyle w:val="13"/>
                          </w:pPr>
                          <w:r>
                            <w:fldChar w:fldCharType="begin"/>
                          </w:r>
                          <w:r>
                            <w:instrText xml:space="preserve"> PAGE  \* MERGEFORMAT </w:instrText>
                          </w:r>
                          <w:r>
                            <w:fldChar w:fldCharType="separate"/>
                          </w:r>
                          <w:r>
                            <w:t>17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14:paraId="53725E58">
                    <w:pPr>
                      <w:pStyle w:val="13"/>
                    </w:pPr>
                    <w:r>
                      <w:fldChar w:fldCharType="begin"/>
                    </w:r>
                    <w:r>
                      <w:instrText xml:space="preserve"> PAGE  \* MERGEFORMAT </w:instrText>
                    </w:r>
                    <w:r>
                      <w:fldChar w:fldCharType="separate"/>
                    </w:r>
                    <w:r>
                      <w:t>17</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D052CE">
    <w:pPr>
      <w:spacing w:line="176" w:lineRule="auto"/>
      <w:ind w:left="4071"/>
      <w:rPr>
        <w:rFonts w:ascii="宋体" w:hAnsi="宋体" w:eastAsia="宋体" w:cs="宋体"/>
        <w:sz w:val="24"/>
        <w:szCs w:val="24"/>
      </w:rPr>
    </w:pPr>
    <w:r>
      <w:rPr>
        <w:rFonts w:ascii="宋体" w:hAnsi="宋体" w:eastAsia="宋体" w:cs="宋体"/>
        <w:spacing w:val="-7"/>
        <w:sz w:val="24"/>
        <w:szCs w:val="24"/>
      </w:rPr>
      <w:t>13</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42D9D1">
    <w:pPr>
      <w:spacing w:line="184" w:lineRule="auto"/>
      <w:ind w:left="4695"/>
      <w:rPr>
        <w:rFonts w:ascii="宋体" w:hAnsi="宋体" w:cs="宋体"/>
        <w:sz w:val="24"/>
      </w:rPr>
    </w:pPr>
    <w:r>
      <w:rPr>
        <w:sz w:val="24"/>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4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5310B300">
                          <w:pPr>
                            <w:pStyle w:val="13"/>
                          </w:pPr>
                          <w:r>
                            <w:fldChar w:fldCharType="begin"/>
                          </w:r>
                          <w:r>
                            <w:instrText xml:space="preserve"> PAGE  \* MERGEFORMAT </w:instrText>
                          </w:r>
                          <w:r>
                            <w:fldChar w:fldCharType="separate"/>
                          </w:r>
                          <w:r>
                            <w:t>49</w:t>
                          </w:r>
                          <w:r>
                            <w:fldChar w:fldCharType="end"/>
                          </w:r>
                        </w:p>
                      </w:txbxContent>
                    </wps:txbx>
                    <wps:bodyPr vert="horz" wrap="none" lIns="0" tIns="0" rIns="0" bIns="0" anchor="t" anchorCtr="0" upright="0">
                      <a:spAutoFit/>
                    </wps:bodyPr>
                  </wps:wsp>
                </a:graphicData>
              </a:graphic>
            </wp:anchor>
          </w:drawing>
        </mc:Choice>
        <mc:Fallback>
          <w:pict>
            <v:shape id="文本框 45"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zql5uc8AAAAFAQAADwAAAAAA&#10;AAABACAAAAAiAAAAZHJzL2Rvd25yZXYueG1sUEsBAhQAFAAAAAgAh07iQFL3iDrjAQAAzgMAAA4A&#10;AAAAAAAAAQAgAAAAHgEAAGRycy9lMm9Eb2MueG1sUEsFBgAAAAAGAAYAWQEAAHMFAAAAAA==&#10;">
              <v:fill on="f" focussize="0,0"/>
              <v:stroke on="f"/>
              <v:imagedata o:title=""/>
              <o:lock v:ext="edit" aspectratio="f"/>
              <v:textbox inset="0mm,0mm,0mm,0mm" style="mso-fit-shape-to-text:t;">
                <w:txbxContent>
                  <w:p w14:paraId="5310B300">
                    <w:pPr>
                      <w:pStyle w:val="13"/>
                    </w:pPr>
                    <w:r>
                      <w:fldChar w:fldCharType="begin"/>
                    </w:r>
                    <w:r>
                      <w:instrText xml:space="preserve"> PAGE  \* MERGEFORMAT </w:instrText>
                    </w:r>
                    <w:r>
                      <w:fldChar w:fldCharType="separate"/>
                    </w:r>
                    <w:r>
                      <w:t>49</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8F7FD4">
    <w:pPr>
      <w:pStyle w:val="13"/>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3E1C00D1">
                          <w:pPr>
                            <w:pStyle w:val="13"/>
                          </w:pPr>
                          <w:r>
                            <w:fldChar w:fldCharType="begin"/>
                          </w:r>
                          <w:r>
                            <w:instrText xml:space="preserve"> PAGE  \* MERGEFORMAT </w:instrText>
                          </w:r>
                          <w:r>
                            <w:fldChar w:fldCharType="separate"/>
                          </w:r>
                          <w:r>
                            <w:t>50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DajL89NwIAAG8EAAAOAAAAAAAAAAEAIAAAAB8BAABkcnMvZTJvRG9jLnht&#10;bFBLBQYAAAAABgAGAFkBAADIBQAAAAA=&#10;">
              <v:fill on="f" focussize="0,0"/>
              <v:stroke on="f" weight="0.5pt"/>
              <v:imagedata o:title=""/>
              <o:lock v:ext="edit" aspectratio="f"/>
              <v:textbox inset="0mm,0mm,0mm,0mm" style="mso-fit-shape-to-text:t;">
                <w:txbxContent>
                  <w:p w14:paraId="3E1C00D1">
                    <w:pPr>
                      <w:pStyle w:val="13"/>
                    </w:pPr>
                    <w:r>
                      <w:fldChar w:fldCharType="begin"/>
                    </w:r>
                    <w:r>
                      <w:instrText xml:space="preserve"> PAGE  \* MERGEFORMAT </w:instrText>
                    </w:r>
                    <w:r>
                      <w:fldChar w:fldCharType="separate"/>
                    </w:r>
                    <w:r>
                      <w:t>50</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597185">
    <w:pPr>
      <w:pStyle w:val="13"/>
      <w:rPr>
        <w:rStyle w:val="23"/>
      </w:rP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33EC1773">
                          <w:pPr>
                            <w:pStyle w:val="13"/>
                          </w:pPr>
                          <w:r>
                            <w:fldChar w:fldCharType="begin"/>
                          </w:r>
                          <w:r>
                            <w:instrText xml:space="preserve"> PAGE  \* MERGEFORMAT </w:instrText>
                          </w:r>
                          <w:r>
                            <w:fldChar w:fldCharType="separate"/>
                          </w:r>
                          <w:r>
                            <w:t>56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R89qo3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AUfPaqNwIAAG8EAAAOAAAAAAAAAAEAIAAAAB8BAABkcnMvZTJvRG9jLnht&#10;bFBLBQYAAAAABgAGAFkBAADIBQAAAAA=&#10;">
              <v:fill on="f" focussize="0,0"/>
              <v:stroke on="f" weight="0.5pt"/>
              <v:imagedata o:title=""/>
              <o:lock v:ext="edit" aspectratio="f"/>
              <v:textbox inset="0mm,0mm,0mm,0mm" style="mso-fit-shape-to-text:t;">
                <w:txbxContent>
                  <w:p w14:paraId="33EC1773">
                    <w:pPr>
                      <w:pStyle w:val="13"/>
                    </w:pPr>
                    <w:r>
                      <w:fldChar w:fldCharType="begin"/>
                    </w:r>
                    <w:r>
                      <w:instrText xml:space="preserve"> PAGE  \* MERGEFORMAT </w:instrText>
                    </w:r>
                    <w:r>
                      <w:fldChar w:fldCharType="separate"/>
                    </w:r>
                    <w:r>
                      <w:t>56</w:t>
                    </w:r>
                    <w:r>
                      <w:fldChar w:fldCharType="end"/>
                    </w:r>
                  </w:p>
                </w:txbxContent>
              </v:textbox>
            </v:shape>
          </w:pict>
        </mc:Fallback>
      </mc:AlternateContent>
    </w:r>
  </w:p>
  <w:p w14:paraId="0040C203">
    <w:pPr>
      <w:pStyle w:val="1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6E4EB8">
    <w:pPr>
      <w:spacing w:line="14" w:lineRule="auto"/>
      <w:rPr>
        <w:rFonts w:ascii="Arial"/>
        <w:sz w:val="2"/>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D6C3DD">
    <w:pPr>
      <w:pStyle w:val="14"/>
      <w:pBdr>
        <w:bottom w:val="single" w:color="auto" w:sz="6" w:space="2"/>
      </w:pBdr>
      <w:ind w:right="360"/>
      <w:jc w:val="both"/>
      <w:rPr>
        <w:rFonts w:ascii="宋体" w:hAnsi="宋体"/>
        <w:sz w:val="21"/>
        <w:szCs w:val="21"/>
        <w:u w:val="single"/>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C75DC9">
    <w:pPr>
      <w:pStyle w:val="14"/>
      <w:pBdr>
        <w:bottom w:val="none" w:color="auto" w:sz="0" w:space="2"/>
      </w:pBdr>
      <w:ind w:right="360"/>
      <w:jc w:val="both"/>
      <w:rPr>
        <w:rFonts w:ascii="宋体" w:hAnsi="宋体"/>
        <w:sz w:val="21"/>
        <w:szCs w:val="21"/>
        <w:u w:val="single"/>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59E3605"/>
    <w:multiLevelType w:val="singleLevel"/>
    <w:tmpl w:val="F59E3605"/>
    <w:lvl w:ilvl="0" w:tentative="0">
      <w:start w:val="3"/>
      <w:numFmt w:val="decimal"/>
      <w:suff w:val="nothing"/>
      <w:lvlText w:val="%1、"/>
      <w:lvlJc w:val="left"/>
    </w:lvl>
  </w:abstractNum>
  <w:abstractNum w:abstractNumId="1">
    <w:nsid w:val="4C25222D"/>
    <w:multiLevelType w:val="singleLevel"/>
    <w:tmpl w:val="4C25222D"/>
    <w:lvl w:ilvl="0" w:tentative="0">
      <w:start w:val="3"/>
      <w:numFmt w:val="chineseCounting"/>
      <w:suff w:val="space"/>
      <w:lvlText w:val="第%1章"/>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I4NjJmNDUwOTE0ZTg0ODlmZWY1NGNjYzQ4MGIzNWMifQ=="/>
    <w:docVar w:name="KSO_WPS_MARK_KEY" w:val="b0d92d2c-148b-46cd-b4e5-7c6329100688"/>
  </w:docVars>
  <w:rsids>
    <w:rsidRoot w:val="00000000"/>
    <w:rsid w:val="0149476C"/>
    <w:rsid w:val="017E655F"/>
    <w:rsid w:val="019B53E2"/>
    <w:rsid w:val="04311321"/>
    <w:rsid w:val="05926AFC"/>
    <w:rsid w:val="05D215EF"/>
    <w:rsid w:val="05FA630B"/>
    <w:rsid w:val="06525289"/>
    <w:rsid w:val="06C85632"/>
    <w:rsid w:val="07027CB2"/>
    <w:rsid w:val="07C17B6D"/>
    <w:rsid w:val="0F6B0DA5"/>
    <w:rsid w:val="10AF0EAA"/>
    <w:rsid w:val="111161CF"/>
    <w:rsid w:val="11847C41"/>
    <w:rsid w:val="12C0739F"/>
    <w:rsid w:val="13392CAD"/>
    <w:rsid w:val="1360291B"/>
    <w:rsid w:val="1360648C"/>
    <w:rsid w:val="13C50D8E"/>
    <w:rsid w:val="13F976AF"/>
    <w:rsid w:val="15205306"/>
    <w:rsid w:val="15CD22DC"/>
    <w:rsid w:val="16B25250"/>
    <w:rsid w:val="16EA2FD8"/>
    <w:rsid w:val="17A56B63"/>
    <w:rsid w:val="1CE95744"/>
    <w:rsid w:val="1E01086B"/>
    <w:rsid w:val="1FB04254"/>
    <w:rsid w:val="20DD55C0"/>
    <w:rsid w:val="21D542AD"/>
    <w:rsid w:val="22C5455D"/>
    <w:rsid w:val="239161EE"/>
    <w:rsid w:val="23A016FE"/>
    <w:rsid w:val="23BD6FE3"/>
    <w:rsid w:val="24915CD0"/>
    <w:rsid w:val="25311A36"/>
    <w:rsid w:val="25CA1CCA"/>
    <w:rsid w:val="25E76599"/>
    <w:rsid w:val="262D044F"/>
    <w:rsid w:val="264331D6"/>
    <w:rsid w:val="26F40F6D"/>
    <w:rsid w:val="271766F7"/>
    <w:rsid w:val="27363334"/>
    <w:rsid w:val="28DA7737"/>
    <w:rsid w:val="28F30938"/>
    <w:rsid w:val="29B570DA"/>
    <w:rsid w:val="2B33216E"/>
    <w:rsid w:val="2BA63487"/>
    <w:rsid w:val="2BD650E5"/>
    <w:rsid w:val="2C0C0B99"/>
    <w:rsid w:val="2C3167C0"/>
    <w:rsid w:val="2C471B3F"/>
    <w:rsid w:val="2CC17B44"/>
    <w:rsid w:val="2D9278AF"/>
    <w:rsid w:val="2E0E6DB8"/>
    <w:rsid w:val="2E79232C"/>
    <w:rsid w:val="2E8E7EF9"/>
    <w:rsid w:val="309F6C8F"/>
    <w:rsid w:val="30D65C3D"/>
    <w:rsid w:val="311F12DD"/>
    <w:rsid w:val="31745BF8"/>
    <w:rsid w:val="32A970B0"/>
    <w:rsid w:val="33EA3E24"/>
    <w:rsid w:val="33F86541"/>
    <w:rsid w:val="34853B4C"/>
    <w:rsid w:val="35A6625D"/>
    <w:rsid w:val="35BC70FA"/>
    <w:rsid w:val="35E36D7D"/>
    <w:rsid w:val="381A45AC"/>
    <w:rsid w:val="383A0B8F"/>
    <w:rsid w:val="38500809"/>
    <w:rsid w:val="38B247E4"/>
    <w:rsid w:val="3BA93268"/>
    <w:rsid w:val="3C3E2F5F"/>
    <w:rsid w:val="3E2972F7"/>
    <w:rsid w:val="3E976956"/>
    <w:rsid w:val="3EAD1CD6"/>
    <w:rsid w:val="3F4A7E6C"/>
    <w:rsid w:val="3F5D20B4"/>
    <w:rsid w:val="3FB8491E"/>
    <w:rsid w:val="40D23C76"/>
    <w:rsid w:val="41265D6F"/>
    <w:rsid w:val="41586871"/>
    <w:rsid w:val="433829BC"/>
    <w:rsid w:val="46492C2C"/>
    <w:rsid w:val="46AE2A8F"/>
    <w:rsid w:val="4741679E"/>
    <w:rsid w:val="47797541"/>
    <w:rsid w:val="491237A9"/>
    <w:rsid w:val="4ADD3943"/>
    <w:rsid w:val="4AE53A14"/>
    <w:rsid w:val="4C045903"/>
    <w:rsid w:val="4E3C3B01"/>
    <w:rsid w:val="508605D9"/>
    <w:rsid w:val="50AD025B"/>
    <w:rsid w:val="51055FB9"/>
    <w:rsid w:val="51B76876"/>
    <w:rsid w:val="52691F60"/>
    <w:rsid w:val="57A23F4A"/>
    <w:rsid w:val="583C0581"/>
    <w:rsid w:val="583F79EB"/>
    <w:rsid w:val="598558D1"/>
    <w:rsid w:val="5A6220B6"/>
    <w:rsid w:val="5AB67D0C"/>
    <w:rsid w:val="5B3752F1"/>
    <w:rsid w:val="5B5C4D58"/>
    <w:rsid w:val="5C102AB5"/>
    <w:rsid w:val="5C2515ED"/>
    <w:rsid w:val="5C73549B"/>
    <w:rsid w:val="5D2673CB"/>
    <w:rsid w:val="5DCB1D21"/>
    <w:rsid w:val="5E2002BE"/>
    <w:rsid w:val="5FC8476A"/>
    <w:rsid w:val="608A496A"/>
    <w:rsid w:val="61077514"/>
    <w:rsid w:val="61D4389A"/>
    <w:rsid w:val="6260512D"/>
    <w:rsid w:val="630E06E5"/>
    <w:rsid w:val="639D5F0D"/>
    <w:rsid w:val="63C91DCB"/>
    <w:rsid w:val="642425D4"/>
    <w:rsid w:val="66A001EE"/>
    <w:rsid w:val="68644531"/>
    <w:rsid w:val="68692862"/>
    <w:rsid w:val="694C640B"/>
    <w:rsid w:val="695232F6"/>
    <w:rsid w:val="69DB153D"/>
    <w:rsid w:val="6A7A5652"/>
    <w:rsid w:val="6AEC1C54"/>
    <w:rsid w:val="6B3C7DBA"/>
    <w:rsid w:val="6C3438A5"/>
    <w:rsid w:val="6C4C4A06"/>
    <w:rsid w:val="6C703D71"/>
    <w:rsid w:val="6CCE0EE6"/>
    <w:rsid w:val="6D096FCD"/>
    <w:rsid w:val="6D424C5F"/>
    <w:rsid w:val="6F3D48CB"/>
    <w:rsid w:val="6F906926"/>
    <w:rsid w:val="6FCF744E"/>
    <w:rsid w:val="72884709"/>
    <w:rsid w:val="72E31848"/>
    <w:rsid w:val="74FF2584"/>
    <w:rsid w:val="758F1EB9"/>
    <w:rsid w:val="75ED4AD2"/>
    <w:rsid w:val="7673598B"/>
    <w:rsid w:val="77B238DE"/>
    <w:rsid w:val="782102AC"/>
    <w:rsid w:val="78485FF0"/>
    <w:rsid w:val="789B0816"/>
    <w:rsid w:val="79972BC2"/>
    <w:rsid w:val="7D472AA8"/>
    <w:rsid w:val="7E2B43EA"/>
    <w:rsid w:val="7FAF4BA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iPriority="99"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iPriority="99"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link w:val="29"/>
    <w:autoRedefine/>
    <w:qFormat/>
    <w:uiPriority w:val="0"/>
    <w:pPr>
      <w:spacing w:before="100" w:beforeAutospacing="1" w:after="100" w:afterAutospacing="1"/>
      <w:jc w:val="left"/>
      <w:outlineLvl w:val="0"/>
    </w:pPr>
    <w:rPr>
      <w:rFonts w:hint="eastAsia" w:ascii="宋体" w:hAnsi="宋体"/>
      <w:b/>
      <w:kern w:val="44"/>
      <w:sz w:val="48"/>
      <w:szCs w:val="48"/>
    </w:rPr>
  </w:style>
  <w:style w:type="paragraph" w:styleId="3">
    <w:name w:val="heading 2"/>
    <w:basedOn w:val="1"/>
    <w:next w:val="1"/>
    <w:qFormat/>
    <w:uiPriority w:val="0"/>
    <w:pPr>
      <w:spacing w:before="100" w:beforeAutospacing="1" w:after="100" w:afterAutospacing="1"/>
      <w:jc w:val="left"/>
      <w:outlineLvl w:val="1"/>
    </w:pPr>
    <w:rPr>
      <w:rFonts w:hint="eastAsia" w:ascii="宋体" w:hAnsi="宋体"/>
      <w:b/>
      <w:kern w:val="0"/>
      <w:sz w:val="36"/>
      <w:szCs w:val="36"/>
    </w:rPr>
  </w:style>
  <w:style w:type="paragraph" w:styleId="4">
    <w:name w:val="heading 3"/>
    <w:basedOn w:val="1"/>
    <w:next w:val="1"/>
    <w:qFormat/>
    <w:uiPriority w:val="0"/>
    <w:pPr>
      <w:spacing w:before="100" w:beforeAutospacing="1" w:after="100" w:afterAutospacing="1"/>
      <w:jc w:val="left"/>
      <w:outlineLvl w:val="2"/>
    </w:pPr>
    <w:rPr>
      <w:rFonts w:hint="eastAsia" w:ascii="宋体" w:hAnsi="宋体"/>
      <w:b/>
      <w:kern w:val="0"/>
      <w:sz w:val="27"/>
      <w:szCs w:val="27"/>
    </w:rPr>
  </w:style>
  <w:style w:type="character" w:default="1" w:styleId="21">
    <w:name w:val="Default Paragraph Font"/>
    <w:unhideWhenUsed/>
    <w:qFormat/>
    <w:uiPriority w:val="1"/>
  </w:style>
  <w:style w:type="table" w:default="1" w:styleId="19">
    <w:name w:val="Normal Table"/>
    <w:autoRedefine/>
    <w:unhideWhenUsed/>
    <w:qFormat/>
    <w:uiPriority w:val="99"/>
    <w:tblPr>
      <w:tblCellMar>
        <w:top w:w="0" w:type="dxa"/>
        <w:left w:w="108" w:type="dxa"/>
        <w:bottom w:w="0" w:type="dxa"/>
        <w:right w:w="108" w:type="dxa"/>
      </w:tblCellMar>
    </w:tblPr>
  </w:style>
  <w:style w:type="paragraph" w:styleId="5">
    <w:name w:val="Normal Indent"/>
    <w:basedOn w:val="1"/>
    <w:autoRedefine/>
    <w:qFormat/>
    <w:uiPriority w:val="0"/>
    <w:pPr>
      <w:widowControl/>
      <w:spacing w:line="360" w:lineRule="auto"/>
      <w:ind w:firstLine="420"/>
      <w:jc w:val="left"/>
    </w:pPr>
    <w:rPr>
      <w:rFonts w:ascii="宋体"/>
      <w:kern w:val="0"/>
      <w:szCs w:val="20"/>
    </w:rPr>
  </w:style>
  <w:style w:type="paragraph" w:styleId="6">
    <w:name w:val="annotation text"/>
    <w:basedOn w:val="1"/>
    <w:link w:val="30"/>
    <w:autoRedefine/>
    <w:qFormat/>
    <w:uiPriority w:val="0"/>
    <w:pPr>
      <w:jc w:val="left"/>
    </w:pPr>
  </w:style>
  <w:style w:type="paragraph" w:styleId="7">
    <w:name w:val="Body Text"/>
    <w:basedOn w:val="1"/>
    <w:next w:val="1"/>
    <w:link w:val="31"/>
    <w:autoRedefine/>
    <w:qFormat/>
    <w:uiPriority w:val="1"/>
    <w:pPr>
      <w:autoSpaceDE w:val="0"/>
      <w:autoSpaceDN w:val="0"/>
      <w:jc w:val="left"/>
    </w:pPr>
    <w:rPr>
      <w:rFonts w:ascii="宋体" w:hAnsi="宋体" w:cs="宋体"/>
      <w:kern w:val="0"/>
      <w:sz w:val="24"/>
      <w:lang w:val="zh-CN" w:bidi="zh-CN"/>
    </w:rPr>
  </w:style>
  <w:style w:type="paragraph" w:styleId="8">
    <w:name w:val="Body Text Indent"/>
    <w:basedOn w:val="1"/>
    <w:next w:val="9"/>
    <w:qFormat/>
    <w:uiPriority w:val="0"/>
    <w:pPr>
      <w:spacing w:after="120"/>
      <w:ind w:left="420" w:leftChars="200"/>
    </w:pPr>
  </w:style>
  <w:style w:type="paragraph" w:styleId="9">
    <w:name w:val="Body Text First Indent 2"/>
    <w:basedOn w:val="8"/>
    <w:next w:val="1"/>
    <w:qFormat/>
    <w:uiPriority w:val="0"/>
    <w:pPr>
      <w:ind w:firstLine="420" w:firstLineChars="200"/>
    </w:pPr>
  </w:style>
  <w:style w:type="paragraph" w:styleId="10">
    <w:name w:val="toc 3"/>
    <w:basedOn w:val="1"/>
    <w:next w:val="1"/>
    <w:autoRedefine/>
    <w:qFormat/>
    <w:uiPriority w:val="0"/>
    <w:pPr>
      <w:ind w:left="840" w:leftChars="400"/>
    </w:pPr>
  </w:style>
  <w:style w:type="paragraph" w:styleId="11">
    <w:name w:val="Plain Text"/>
    <w:basedOn w:val="1"/>
    <w:autoRedefine/>
    <w:qFormat/>
    <w:uiPriority w:val="0"/>
    <w:rPr>
      <w:rFonts w:ascii="宋体" w:hAnsi="Courier New"/>
      <w:szCs w:val="20"/>
    </w:rPr>
  </w:style>
  <w:style w:type="paragraph" w:styleId="12">
    <w:name w:val="Balloon Text"/>
    <w:basedOn w:val="1"/>
    <w:link w:val="32"/>
    <w:autoRedefine/>
    <w:qFormat/>
    <w:uiPriority w:val="0"/>
    <w:rPr>
      <w:sz w:val="18"/>
      <w:szCs w:val="18"/>
    </w:rPr>
  </w:style>
  <w:style w:type="paragraph" w:styleId="13">
    <w:name w:val="footer"/>
    <w:basedOn w:val="1"/>
    <w:link w:val="33"/>
    <w:autoRedefine/>
    <w:qFormat/>
    <w:uiPriority w:val="99"/>
    <w:pPr>
      <w:tabs>
        <w:tab w:val="center" w:pos="4153"/>
        <w:tab w:val="right" w:pos="8306"/>
      </w:tabs>
      <w:snapToGrid w:val="0"/>
      <w:jc w:val="left"/>
    </w:pPr>
    <w:rPr>
      <w:sz w:val="18"/>
    </w:rPr>
  </w:style>
  <w:style w:type="paragraph" w:styleId="14">
    <w:name w:val="header"/>
    <w:basedOn w:val="1"/>
    <w:autoRedefine/>
    <w:qFormat/>
    <w:uiPriority w:val="0"/>
    <w:pPr>
      <w:pBdr>
        <w:bottom w:val="single" w:color="auto" w:sz="6" w:space="1"/>
      </w:pBdr>
      <w:tabs>
        <w:tab w:val="center" w:pos="4153"/>
        <w:tab w:val="right" w:pos="8306"/>
      </w:tabs>
      <w:snapToGrid w:val="0"/>
      <w:jc w:val="center"/>
    </w:pPr>
    <w:rPr>
      <w:sz w:val="18"/>
    </w:rPr>
  </w:style>
  <w:style w:type="paragraph" w:styleId="15">
    <w:name w:val="toc 1"/>
    <w:basedOn w:val="1"/>
    <w:next w:val="1"/>
    <w:autoRedefine/>
    <w:qFormat/>
    <w:uiPriority w:val="39"/>
    <w:pPr>
      <w:widowControl/>
      <w:spacing w:before="120"/>
      <w:jc w:val="left"/>
    </w:pPr>
    <w:rPr>
      <w:rFonts w:ascii="Times New Roman" w:hAnsi="Times New Roman"/>
      <w:b/>
      <w:bCs/>
      <w:i/>
      <w:iCs/>
      <w:kern w:val="0"/>
      <w:sz w:val="24"/>
    </w:rPr>
  </w:style>
  <w:style w:type="paragraph" w:styleId="16">
    <w:name w:val="footnote text"/>
    <w:basedOn w:val="1"/>
    <w:link w:val="34"/>
    <w:autoRedefine/>
    <w:unhideWhenUsed/>
    <w:qFormat/>
    <w:uiPriority w:val="99"/>
    <w:pPr>
      <w:snapToGrid w:val="0"/>
      <w:jc w:val="left"/>
    </w:pPr>
    <w:rPr>
      <w:sz w:val="18"/>
      <w:szCs w:val="18"/>
    </w:rPr>
  </w:style>
  <w:style w:type="paragraph" w:styleId="17">
    <w:name w:val="toc 2"/>
    <w:basedOn w:val="1"/>
    <w:next w:val="1"/>
    <w:autoRedefine/>
    <w:qFormat/>
    <w:uiPriority w:val="0"/>
    <w:pPr>
      <w:ind w:left="420" w:leftChars="200"/>
    </w:pPr>
  </w:style>
  <w:style w:type="paragraph" w:styleId="18">
    <w:name w:val="Normal (Web)"/>
    <w:basedOn w:val="1"/>
    <w:autoRedefine/>
    <w:qFormat/>
    <w:uiPriority w:val="0"/>
    <w:pPr>
      <w:spacing w:before="100" w:beforeAutospacing="1" w:after="100" w:afterAutospacing="1"/>
      <w:jc w:val="left"/>
    </w:pPr>
    <w:rPr>
      <w:kern w:val="0"/>
      <w:sz w:val="24"/>
    </w:rPr>
  </w:style>
  <w:style w:type="table" w:styleId="20">
    <w:name w:val="Table Grid"/>
    <w:basedOn w:val="19"/>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2">
    <w:name w:val="Strong"/>
    <w:basedOn w:val="21"/>
    <w:autoRedefine/>
    <w:qFormat/>
    <w:uiPriority w:val="0"/>
    <w:rPr>
      <w:b/>
    </w:rPr>
  </w:style>
  <w:style w:type="character" w:styleId="23">
    <w:name w:val="page number"/>
    <w:basedOn w:val="21"/>
    <w:autoRedefine/>
    <w:qFormat/>
    <w:uiPriority w:val="0"/>
  </w:style>
  <w:style w:type="character" w:styleId="24">
    <w:name w:val="FollowedHyperlink"/>
    <w:basedOn w:val="21"/>
    <w:autoRedefine/>
    <w:qFormat/>
    <w:uiPriority w:val="0"/>
    <w:rPr>
      <w:color w:val="333333"/>
      <w:sz w:val="21"/>
      <w:szCs w:val="21"/>
      <w:u w:val="none"/>
    </w:rPr>
  </w:style>
  <w:style w:type="character" w:styleId="25">
    <w:name w:val="Emphasis"/>
    <w:basedOn w:val="21"/>
    <w:autoRedefine/>
    <w:qFormat/>
    <w:uiPriority w:val="0"/>
  </w:style>
  <w:style w:type="character" w:styleId="26">
    <w:name w:val="Hyperlink"/>
    <w:basedOn w:val="21"/>
    <w:autoRedefine/>
    <w:qFormat/>
    <w:uiPriority w:val="0"/>
    <w:rPr>
      <w:color w:val="333333"/>
      <w:sz w:val="21"/>
      <w:szCs w:val="21"/>
      <w:u w:val="none"/>
    </w:rPr>
  </w:style>
  <w:style w:type="character" w:styleId="27">
    <w:name w:val="footnote reference"/>
    <w:basedOn w:val="21"/>
    <w:autoRedefine/>
    <w:unhideWhenUsed/>
    <w:qFormat/>
    <w:uiPriority w:val="99"/>
    <w:rPr>
      <w:vertAlign w:val="superscript"/>
    </w:rPr>
  </w:style>
  <w:style w:type="paragraph" w:customStyle="1" w:styleId="28">
    <w:name w:val="无间隔1"/>
    <w:autoRedefine/>
    <w:qFormat/>
    <w:uiPriority w:val="99"/>
    <w:rPr>
      <w:rFonts w:ascii="Calibri" w:hAnsi="Calibri" w:eastAsia="宋体" w:cs="Times New Roman"/>
      <w:kern w:val="2"/>
      <w:sz w:val="21"/>
      <w:szCs w:val="22"/>
      <w:lang w:val="en-US" w:eastAsia="zh-CN" w:bidi="ar-SA"/>
    </w:rPr>
  </w:style>
  <w:style w:type="character" w:customStyle="1" w:styleId="29">
    <w:name w:val="标题 1 Char"/>
    <w:basedOn w:val="21"/>
    <w:link w:val="2"/>
    <w:autoRedefine/>
    <w:qFormat/>
    <w:uiPriority w:val="0"/>
    <w:rPr>
      <w:rFonts w:ascii="宋体" w:hAnsi="宋体"/>
      <w:b/>
      <w:kern w:val="44"/>
      <w:sz w:val="48"/>
      <w:szCs w:val="48"/>
    </w:rPr>
  </w:style>
  <w:style w:type="character" w:customStyle="1" w:styleId="30">
    <w:name w:val="批注文字 Char"/>
    <w:basedOn w:val="21"/>
    <w:link w:val="6"/>
    <w:autoRedefine/>
    <w:qFormat/>
    <w:uiPriority w:val="0"/>
    <w:rPr>
      <w:rFonts w:ascii="Calibri" w:hAnsi="Calibri"/>
      <w:kern w:val="2"/>
      <w:sz w:val="21"/>
      <w:szCs w:val="24"/>
    </w:rPr>
  </w:style>
  <w:style w:type="character" w:customStyle="1" w:styleId="31">
    <w:name w:val="正文文本 Char"/>
    <w:basedOn w:val="21"/>
    <w:link w:val="7"/>
    <w:autoRedefine/>
    <w:qFormat/>
    <w:uiPriority w:val="1"/>
    <w:rPr>
      <w:rFonts w:ascii="宋体" w:hAnsi="宋体" w:cs="宋体"/>
      <w:sz w:val="24"/>
      <w:szCs w:val="24"/>
      <w:lang w:val="zh-CN" w:bidi="zh-CN"/>
    </w:rPr>
  </w:style>
  <w:style w:type="character" w:customStyle="1" w:styleId="32">
    <w:name w:val="批注框文本 Char"/>
    <w:basedOn w:val="21"/>
    <w:link w:val="12"/>
    <w:autoRedefine/>
    <w:qFormat/>
    <w:uiPriority w:val="0"/>
    <w:rPr>
      <w:rFonts w:ascii="Calibri" w:hAnsi="Calibri"/>
      <w:kern w:val="2"/>
      <w:sz w:val="18"/>
      <w:szCs w:val="18"/>
    </w:rPr>
  </w:style>
  <w:style w:type="character" w:customStyle="1" w:styleId="33">
    <w:name w:val="页脚 Char"/>
    <w:basedOn w:val="21"/>
    <w:link w:val="13"/>
    <w:autoRedefine/>
    <w:qFormat/>
    <w:uiPriority w:val="99"/>
    <w:rPr>
      <w:rFonts w:ascii="Calibri" w:hAnsi="Calibri"/>
      <w:kern w:val="2"/>
      <w:sz w:val="18"/>
      <w:szCs w:val="24"/>
    </w:rPr>
  </w:style>
  <w:style w:type="character" w:customStyle="1" w:styleId="34">
    <w:name w:val="脚注文本 Char"/>
    <w:basedOn w:val="21"/>
    <w:link w:val="16"/>
    <w:autoRedefine/>
    <w:qFormat/>
    <w:uiPriority w:val="99"/>
    <w:rPr>
      <w:rFonts w:ascii="Calibri" w:hAnsi="Calibri" w:eastAsia="宋体" w:cs="Times New Roman"/>
      <w:kern w:val="2"/>
      <w:sz w:val="18"/>
      <w:szCs w:val="18"/>
    </w:rPr>
  </w:style>
  <w:style w:type="character" w:customStyle="1" w:styleId="35">
    <w:name w:val="english1"/>
    <w:basedOn w:val="21"/>
    <w:autoRedefine/>
    <w:qFormat/>
    <w:uiPriority w:val="0"/>
    <w:rPr>
      <w:rFonts w:hint="eastAsia" w:ascii="微软雅黑" w:hAnsi="微软雅黑" w:eastAsia="微软雅黑" w:cs="微软雅黑"/>
      <w:color w:val="000000"/>
      <w:sz w:val="12"/>
      <w:szCs w:val="12"/>
    </w:rPr>
  </w:style>
  <w:style w:type="character" w:customStyle="1" w:styleId="36">
    <w:name w:val="english"/>
    <w:basedOn w:val="21"/>
    <w:autoRedefine/>
    <w:qFormat/>
    <w:uiPriority w:val="0"/>
    <w:rPr>
      <w:rFonts w:ascii="微软雅黑" w:hAnsi="微软雅黑" w:eastAsia="微软雅黑" w:cs="微软雅黑"/>
      <w:i/>
      <w:caps/>
      <w:color w:val="9E9E9E"/>
      <w:sz w:val="21"/>
      <w:szCs w:val="21"/>
    </w:rPr>
  </w:style>
  <w:style w:type="character" w:customStyle="1" w:styleId="37">
    <w:name w:val="english2"/>
    <w:basedOn w:val="21"/>
    <w:autoRedefine/>
    <w:qFormat/>
    <w:uiPriority w:val="0"/>
    <w:rPr>
      <w:rFonts w:hint="eastAsia" w:ascii="微软雅黑" w:hAnsi="微软雅黑" w:eastAsia="微软雅黑" w:cs="微软雅黑"/>
      <w:i/>
      <w:caps/>
      <w:color w:val="9E9E9E"/>
      <w:sz w:val="21"/>
      <w:szCs w:val="21"/>
    </w:rPr>
  </w:style>
  <w:style w:type="character" w:customStyle="1" w:styleId="38">
    <w:name w:val="time1"/>
    <w:basedOn w:val="21"/>
    <w:autoRedefine/>
    <w:qFormat/>
    <w:uiPriority w:val="0"/>
  </w:style>
  <w:style w:type="character" w:customStyle="1" w:styleId="39">
    <w:name w:val="time"/>
    <w:basedOn w:val="21"/>
    <w:autoRedefine/>
    <w:qFormat/>
    <w:uiPriority w:val="0"/>
  </w:style>
  <w:style w:type="character" w:customStyle="1" w:styleId="40">
    <w:name w:val="time2"/>
    <w:basedOn w:val="21"/>
    <w:autoRedefine/>
    <w:qFormat/>
    <w:uiPriority w:val="0"/>
  </w:style>
  <w:style w:type="paragraph" w:customStyle="1" w:styleId="41">
    <w:name w:val="z-窗体顶端1"/>
    <w:basedOn w:val="1"/>
    <w:next w:val="1"/>
    <w:autoRedefine/>
    <w:qFormat/>
    <w:uiPriority w:val="0"/>
    <w:pPr>
      <w:pBdr>
        <w:bottom w:val="single" w:color="auto" w:sz="6" w:space="1"/>
      </w:pBdr>
      <w:jc w:val="center"/>
    </w:pPr>
    <w:rPr>
      <w:rFonts w:ascii="Arial"/>
      <w:vanish/>
      <w:sz w:val="16"/>
    </w:rPr>
  </w:style>
  <w:style w:type="paragraph" w:customStyle="1" w:styleId="42">
    <w:name w:val="z-窗体底端1"/>
    <w:basedOn w:val="1"/>
    <w:next w:val="1"/>
    <w:autoRedefine/>
    <w:qFormat/>
    <w:uiPriority w:val="0"/>
    <w:pPr>
      <w:pBdr>
        <w:top w:val="single" w:color="auto" w:sz="6" w:space="1"/>
      </w:pBdr>
      <w:jc w:val="center"/>
    </w:pPr>
    <w:rPr>
      <w:rFonts w:ascii="Arial"/>
      <w:vanish/>
      <w:sz w:val="16"/>
    </w:rPr>
  </w:style>
  <w:style w:type="paragraph" w:customStyle="1" w:styleId="43">
    <w:name w:val="样式3"/>
    <w:basedOn w:val="1"/>
    <w:next w:val="1"/>
    <w:autoRedefine/>
    <w:qFormat/>
    <w:uiPriority w:val="0"/>
    <w:pPr>
      <w:spacing w:before="240" w:after="120"/>
      <w:ind w:left="720" w:hanging="720"/>
      <w:outlineLvl w:val="2"/>
    </w:pPr>
    <w:rPr>
      <w:rFonts w:ascii="Times New Roman" w:hAnsi="Times New Roman" w:eastAsia="黑体"/>
      <w:b/>
      <w:sz w:val="32"/>
    </w:rPr>
  </w:style>
  <w:style w:type="paragraph" w:customStyle="1" w:styleId="44">
    <w:name w:val="样式1"/>
    <w:basedOn w:val="1"/>
    <w:autoRedefine/>
    <w:qFormat/>
    <w:uiPriority w:val="0"/>
    <w:pPr>
      <w:tabs>
        <w:tab w:val="left" w:pos="709"/>
      </w:tabs>
      <w:adjustRightInd w:val="0"/>
      <w:ind w:left="709" w:hanging="709"/>
    </w:pPr>
    <w:rPr>
      <w:rFonts w:ascii="宋体" w:hAnsi="宋体"/>
      <w:kern w:val="0"/>
      <w:szCs w:val="21"/>
    </w:rPr>
  </w:style>
  <w:style w:type="paragraph" w:customStyle="1" w:styleId="45">
    <w:name w:val="List Paragraph"/>
    <w:basedOn w:val="1"/>
    <w:autoRedefine/>
    <w:qFormat/>
    <w:uiPriority w:val="34"/>
    <w:pPr>
      <w:ind w:firstLine="420" w:firstLineChars="200"/>
    </w:pPr>
    <w:rPr>
      <w:szCs w:val="22"/>
    </w:rPr>
  </w:style>
  <w:style w:type="paragraph" w:customStyle="1" w:styleId="46">
    <w:name w:val="修订1"/>
    <w:autoRedefine/>
    <w:unhideWhenUsed/>
    <w:qFormat/>
    <w:uiPriority w:val="99"/>
    <w:rPr>
      <w:rFonts w:ascii="Calibri" w:hAnsi="Calibri" w:eastAsia="宋体" w:cs="Times New Roman"/>
      <w:kern w:val="2"/>
      <w:sz w:val="21"/>
      <w:szCs w:val="24"/>
      <w:lang w:val="en-US" w:eastAsia="zh-CN" w:bidi="ar-SA"/>
    </w:rPr>
  </w:style>
  <w:style w:type="character" w:customStyle="1" w:styleId="47">
    <w:name w:val="r-time"/>
    <w:basedOn w:val="21"/>
    <w:autoRedefine/>
    <w:qFormat/>
    <w:uiPriority w:val="0"/>
    <w:rPr>
      <w:color w:val="B30000"/>
    </w:rPr>
  </w:style>
  <w:style w:type="character" w:customStyle="1" w:styleId="48">
    <w:name w:val="r-text"/>
    <w:basedOn w:val="21"/>
    <w:autoRedefine/>
    <w:qFormat/>
    <w:uiPriority w:val="0"/>
    <w:rPr>
      <w:color w:val="00349B"/>
    </w:rPr>
  </w:style>
  <w:style w:type="paragraph" w:customStyle="1" w:styleId="49">
    <w:name w:val="WPSOffice手动目录 1"/>
    <w:autoRedefine/>
    <w:qFormat/>
    <w:uiPriority w:val="0"/>
    <w:rPr>
      <w:rFonts w:ascii="Times New Roman" w:hAnsi="Times New Roman" w:eastAsia="宋体" w:cs="Times New Roman"/>
      <w:lang w:val="en-US" w:eastAsia="zh-CN" w:bidi="ar-SA"/>
    </w:rPr>
  </w:style>
  <w:style w:type="paragraph" w:customStyle="1" w:styleId="50">
    <w:name w:val="列出段落1"/>
    <w:basedOn w:val="1"/>
    <w:autoRedefine/>
    <w:qFormat/>
    <w:uiPriority w:val="0"/>
    <w:pPr>
      <w:ind w:firstLine="420" w:firstLineChars="200"/>
    </w:pPr>
    <w:rPr>
      <w:rFonts w:ascii="Calibri" w:hAnsi="Calibri"/>
      <w:szCs w:val="22"/>
    </w:rPr>
  </w:style>
  <w:style w:type="paragraph" w:customStyle="1" w:styleId="51">
    <w:name w:val="样式 首行缩进:  2 字符"/>
    <w:basedOn w:val="1"/>
    <w:autoRedefine/>
    <w:qFormat/>
    <w:uiPriority w:val="0"/>
    <w:pPr>
      <w:spacing w:line="400" w:lineRule="exact"/>
      <w:ind w:firstLine="200" w:firstLineChars="200"/>
    </w:pPr>
    <w:rPr>
      <w:sz w:val="24"/>
    </w:rPr>
  </w:style>
  <w:style w:type="paragraph" w:customStyle="1" w:styleId="52">
    <w:name w:val="Table Text"/>
    <w:basedOn w:val="1"/>
    <w:semiHidden/>
    <w:qFormat/>
    <w:uiPriority w:val="0"/>
    <w:pPr>
      <w:widowControl w:val="0"/>
      <w:kinsoku/>
      <w:autoSpaceDE/>
      <w:autoSpaceDN/>
      <w:adjustRightInd/>
      <w:snapToGrid/>
      <w:spacing w:before="89"/>
      <w:jc w:val="center"/>
      <w:textAlignment w:val="auto"/>
    </w:pPr>
    <w:rPr>
      <w:rFonts w:ascii="微软雅黑" w:hAnsi="微软雅黑" w:eastAsia="微软雅黑" w:cs="微软雅黑"/>
    </w:rPr>
  </w:style>
  <w:style w:type="table" w:customStyle="1" w:styleId="53">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4.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53</Pages>
  <Words>12112</Words>
  <Characters>13056</Characters>
  <Lines>197</Lines>
  <Paragraphs>55</Paragraphs>
  <TotalTime>3</TotalTime>
  <ScaleCrop>false</ScaleCrop>
  <LinksUpToDate>false</LinksUpToDate>
  <CharactersWithSpaces>13239</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2021-05-25T18:06:00Z</dcterms:created>
  <dc:creator>lenovo</dc:creator>
  <cp:lastModifiedBy>D</cp:lastModifiedBy>
  <cp:lastPrinted>2022-06-20T23:27:00Z</cp:lastPrinted>
  <dcterms:modified xsi:type="dcterms:W3CDTF">2025-07-24T03:55:48Z</dcterms:modified>
  <cp:revision>96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FFDA3C0BE2CF4A77BB5A50EA45D82A59_13</vt:lpwstr>
  </property>
  <property fmtid="{D5CDD505-2E9C-101B-9397-08002B2CF9AE}" pid="4" name="KSOTemplateDocerSaveRecord">
    <vt:lpwstr>eyJoZGlkIjoiYTdiYjA3NzA0YzQ5OThlM2EyZTkxNzAzMGIwMjRkOGEiLCJ1c2VySWQiOiIyNTU1ODk4MTMifQ==</vt:lpwstr>
  </property>
</Properties>
</file>