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219F99">
      <w:pPr>
        <w:tabs>
          <w:tab w:val="left" w:pos="5745"/>
        </w:tabs>
        <w:spacing w:line="360" w:lineRule="auto"/>
        <w:jc w:val="center"/>
        <w:rPr>
          <w:rFonts w:ascii="宋体" w:hAnsi="宋体" w:cs="宋体"/>
          <w:b/>
          <w:bCs/>
          <w:color w:val="auto"/>
          <w:kern w:val="0"/>
          <w:sz w:val="72"/>
          <w:szCs w:val="72"/>
          <w:highlight w:val="none"/>
        </w:rPr>
      </w:pPr>
    </w:p>
    <w:p w14:paraId="2204476A">
      <w:pPr>
        <w:pStyle w:val="8"/>
        <w:spacing w:line="360" w:lineRule="auto"/>
        <w:ind w:firstLine="0" w:firstLineChars="0"/>
        <w:jc w:val="center"/>
        <w:rPr>
          <w:rFonts w:ascii="宋体" w:hAnsi="宋体" w:cs="宋体"/>
          <w:b/>
          <w:bCs/>
          <w:color w:val="auto"/>
          <w:kern w:val="0"/>
          <w:sz w:val="72"/>
          <w:szCs w:val="72"/>
          <w:highlight w:val="none"/>
        </w:rPr>
      </w:pPr>
      <w:r>
        <w:rPr>
          <w:rFonts w:hint="eastAsia" w:ascii="宋体" w:hAnsi="宋体" w:cs="宋体"/>
          <w:b/>
          <w:bCs/>
          <w:color w:val="auto"/>
          <w:kern w:val="0"/>
          <w:sz w:val="72"/>
          <w:szCs w:val="72"/>
          <w:highlight w:val="none"/>
        </w:rPr>
        <w:t>竞争性磋商文件</w:t>
      </w:r>
    </w:p>
    <w:p w14:paraId="5BF5253A">
      <w:pPr>
        <w:tabs>
          <w:tab w:val="left" w:pos="5745"/>
        </w:tabs>
        <w:spacing w:line="360" w:lineRule="auto"/>
        <w:jc w:val="center"/>
        <w:rPr>
          <w:rFonts w:ascii="宋体" w:hAnsi="宋体" w:cs="宋体"/>
          <w:b/>
          <w:bCs/>
          <w:color w:val="auto"/>
          <w:kern w:val="0"/>
          <w:sz w:val="28"/>
          <w:szCs w:val="28"/>
          <w:highlight w:val="none"/>
        </w:rPr>
      </w:pPr>
    </w:p>
    <w:p w14:paraId="5A6D938B">
      <w:pPr>
        <w:pStyle w:val="8"/>
        <w:spacing w:line="360" w:lineRule="auto"/>
        <w:ind w:firstLine="0" w:firstLineChars="0"/>
        <w:rPr>
          <w:rFonts w:ascii="宋体" w:hAnsi="宋体" w:cs="宋体"/>
          <w:b/>
          <w:bCs/>
          <w:color w:val="auto"/>
          <w:kern w:val="0"/>
          <w:sz w:val="28"/>
          <w:szCs w:val="28"/>
          <w:highlight w:val="none"/>
        </w:rPr>
      </w:pPr>
      <w:r>
        <w:rPr>
          <w:rFonts w:ascii="宋体" w:hAnsi="宋体" w:cs="宋体"/>
          <w:color w:val="auto"/>
          <w:highlight w:val="none"/>
        </w:rPr>
        <w:drawing>
          <wp:anchor distT="0" distB="0" distL="114300" distR="114300" simplePos="0" relativeHeight="251659264" behindDoc="0" locked="0" layoutInCell="1" allowOverlap="1">
            <wp:simplePos x="0" y="0"/>
            <wp:positionH relativeFrom="column">
              <wp:posOffset>1061085</wp:posOffset>
            </wp:positionH>
            <wp:positionV relativeFrom="page">
              <wp:posOffset>2386965</wp:posOffset>
            </wp:positionV>
            <wp:extent cx="3528695" cy="2971800"/>
            <wp:effectExtent l="0" t="0" r="0" b="0"/>
            <wp:wrapSquare wrapText="right"/>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
                    <pic:cNvPicPr>
                      <a:picLocks noChangeAspect="1" noChangeArrowheads="1"/>
                    </pic:cNvPicPr>
                  </pic:nvPicPr>
                  <pic:blipFill>
                    <a:blip r:embed="rId15"/>
                    <a:srcRect/>
                    <a:stretch>
                      <a:fillRect/>
                    </a:stretch>
                  </pic:blipFill>
                  <pic:spPr>
                    <a:xfrm>
                      <a:off x="0" y="0"/>
                      <a:ext cx="3528695" cy="2971800"/>
                    </a:xfrm>
                    <a:prstGeom prst="rect">
                      <a:avLst/>
                    </a:prstGeom>
                    <a:noFill/>
                  </pic:spPr>
                </pic:pic>
              </a:graphicData>
            </a:graphic>
          </wp:anchor>
        </w:drawing>
      </w:r>
    </w:p>
    <w:p w14:paraId="4FFFF802">
      <w:pPr>
        <w:pStyle w:val="8"/>
        <w:spacing w:line="360" w:lineRule="auto"/>
        <w:ind w:firstLine="0" w:firstLineChars="0"/>
        <w:rPr>
          <w:rStyle w:val="39"/>
          <w:rFonts w:ascii="宋体" w:hAnsi="宋体" w:cs="宋体"/>
          <w:b/>
          <w:color w:val="auto"/>
          <w:kern w:val="0"/>
          <w:sz w:val="72"/>
          <w:szCs w:val="72"/>
          <w:highlight w:val="none"/>
        </w:rPr>
      </w:pPr>
    </w:p>
    <w:p w14:paraId="39CD6335">
      <w:pPr>
        <w:adjustRightInd w:val="0"/>
        <w:snapToGrid w:val="0"/>
        <w:spacing w:line="360" w:lineRule="auto"/>
        <w:rPr>
          <w:rStyle w:val="39"/>
          <w:rFonts w:ascii="宋体" w:hAnsi="宋体" w:cs="宋体"/>
          <w:b/>
          <w:color w:val="auto"/>
          <w:sz w:val="28"/>
          <w:szCs w:val="28"/>
          <w:highlight w:val="none"/>
        </w:rPr>
      </w:pPr>
    </w:p>
    <w:p w14:paraId="348693F3">
      <w:pPr>
        <w:adjustRightInd w:val="0"/>
        <w:snapToGrid w:val="0"/>
        <w:spacing w:line="360" w:lineRule="auto"/>
        <w:rPr>
          <w:rStyle w:val="39"/>
          <w:rFonts w:ascii="宋体" w:hAnsi="宋体" w:cs="宋体"/>
          <w:b/>
          <w:color w:val="auto"/>
          <w:sz w:val="30"/>
          <w:szCs w:val="30"/>
          <w:highlight w:val="none"/>
        </w:rPr>
      </w:pPr>
    </w:p>
    <w:p w14:paraId="2B9AEE03">
      <w:pPr>
        <w:adjustRightInd w:val="0"/>
        <w:snapToGrid w:val="0"/>
        <w:spacing w:line="360" w:lineRule="auto"/>
        <w:rPr>
          <w:rStyle w:val="39"/>
          <w:rFonts w:ascii="宋体" w:hAnsi="宋体" w:cs="宋体"/>
          <w:b/>
          <w:color w:val="auto"/>
          <w:sz w:val="30"/>
          <w:szCs w:val="30"/>
          <w:highlight w:val="none"/>
        </w:rPr>
      </w:pPr>
    </w:p>
    <w:p w14:paraId="67513187">
      <w:pPr>
        <w:adjustRightInd w:val="0"/>
        <w:snapToGrid w:val="0"/>
        <w:spacing w:line="360" w:lineRule="auto"/>
        <w:rPr>
          <w:rStyle w:val="39"/>
          <w:rFonts w:ascii="宋体" w:hAnsi="宋体" w:cs="宋体"/>
          <w:b/>
          <w:color w:val="auto"/>
          <w:sz w:val="30"/>
          <w:szCs w:val="30"/>
          <w:highlight w:val="none"/>
        </w:rPr>
      </w:pPr>
    </w:p>
    <w:p w14:paraId="2473DFA2">
      <w:pPr>
        <w:adjustRightInd w:val="0"/>
        <w:snapToGrid w:val="0"/>
        <w:spacing w:line="360" w:lineRule="auto"/>
        <w:rPr>
          <w:rStyle w:val="39"/>
          <w:rFonts w:ascii="宋体" w:hAnsi="宋体" w:cs="宋体"/>
          <w:b/>
          <w:color w:val="auto"/>
          <w:sz w:val="30"/>
          <w:szCs w:val="30"/>
          <w:highlight w:val="none"/>
        </w:rPr>
      </w:pPr>
    </w:p>
    <w:p w14:paraId="13E8A7DA">
      <w:pPr>
        <w:pStyle w:val="22"/>
        <w:ind w:firstLine="0" w:firstLineChars="0"/>
        <w:rPr>
          <w:rFonts w:ascii="宋体" w:hAnsi="宋体" w:cs="宋体"/>
          <w:color w:val="auto"/>
          <w:highlight w:val="none"/>
        </w:rPr>
      </w:pPr>
    </w:p>
    <w:p w14:paraId="68162784">
      <w:pPr>
        <w:adjustRightInd w:val="0"/>
        <w:snapToGrid w:val="0"/>
        <w:spacing w:line="480" w:lineRule="auto"/>
        <w:ind w:firstLine="904" w:firstLineChars="300"/>
        <w:rPr>
          <w:rStyle w:val="39"/>
          <w:rFonts w:ascii="宋体" w:hAnsi="宋体" w:cs="宋体"/>
          <w:b/>
          <w:color w:val="auto"/>
          <w:sz w:val="30"/>
          <w:szCs w:val="30"/>
          <w:highlight w:val="none"/>
        </w:rPr>
      </w:pPr>
      <w:r>
        <w:rPr>
          <w:rStyle w:val="39"/>
          <w:rFonts w:hint="eastAsia" w:ascii="宋体" w:hAnsi="宋体" w:cs="宋体"/>
          <w:b/>
          <w:color w:val="auto"/>
          <w:sz w:val="30"/>
          <w:szCs w:val="30"/>
          <w:highlight w:val="none"/>
        </w:rPr>
        <w:t>采购方式：竞争性磋商</w:t>
      </w:r>
    </w:p>
    <w:p w14:paraId="3FF7E950">
      <w:pPr>
        <w:adjustRightInd w:val="0"/>
        <w:snapToGrid w:val="0"/>
        <w:spacing w:line="480" w:lineRule="auto"/>
        <w:ind w:firstLine="904" w:firstLineChars="300"/>
        <w:rPr>
          <w:rFonts w:ascii="宋体" w:hAnsi="宋体" w:cs="宋体"/>
          <w:b/>
          <w:bCs/>
          <w:color w:val="auto"/>
          <w:kern w:val="0"/>
          <w:sz w:val="30"/>
          <w:szCs w:val="30"/>
          <w:highlight w:val="none"/>
        </w:rPr>
      </w:pPr>
      <w:r>
        <w:rPr>
          <w:rStyle w:val="39"/>
          <w:rFonts w:hint="eastAsia" w:ascii="宋体" w:hAnsi="宋体" w:cs="宋体"/>
          <w:b/>
          <w:color w:val="auto"/>
          <w:sz w:val="30"/>
          <w:szCs w:val="30"/>
          <w:highlight w:val="none"/>
        </w:rPr>
        <w:t>项目编号：HNZY2025-100</w:t>
      </w:r>
    </w:p>
    <w:p w14:paraId="067A000E">
      <w:pPr>
        <w:adjustRightInd w:val="0"/>
        <w:snapToGrid w:val="0"/>
        <w:spacing w:line="480" w:lineRule="auto"/>
        <w:ind w:left="2401" w:leftChars="426" w:hanging="1506" w:hangingChars="500"/>
        <w:rPr>
          <w:rStyle w:val="39"/>
          <w:rFonts w:ascii="宋体" w:hAnsi="宋体" w:cs="宋体"/>
          <w:b/>
          <w:color w:val="auto"/>
          <w:sz w:val="30"/>
          <w:szCs w:val="30"/>
          <w:highlight w:val="none"/>
        </w:rPr>
      </w:pPr>
      <w:r>
        <w:rPr>
          <w:rStyle w:val="39"/>
          <w:rFonts w:hint="eastAsia" w:ascii="宋体" w:hAnsi="宋体" w:cs="宋体"/>
          <w:b/>
          <w:color w:val="auto"/>
          <w:sz w:val="30"/>
          <w:szCs w:val="30"/>
          <w:highlight w:val="none"/>
        </w:rPr>
        <w:t>项目名称：海口市琼山区振群幼儿园2025年秋季设施设备采购项目</w:t>
      </w:r>
    </w:p>
    <w:p w14:paraId="59CC8327">
      <w:pPr>
        <w:adjustRightInd w:val="0"/>
        <w:snapToGrid w:val="0"/>
        <w:spacing w:line="480" w:lineRule="auto"/>
        <w:ind w:firstLine="904" w:firstLineChars="300"/>
        <w:rPr>
          <w:rStyle w:val="39"/>
          <w:rFonts w:ascii="宋体" w:hAnsi="宋体" w:cs="宋体"/>
          <w:b/>
          <w:color w:val="auto"/>
          <w:sz w:val="30"/>
          <w:szCs w:val="30"/>
          <w:highlight w:val="none"/>
        </w:rPr>
      </w:pPr>
      <w:r>
        <w:rPr>
          <w:rStyle w:val="39"/>
          <w:rFonts w:hint="eastAsia" w:ascii="宋体" w:hAnsi="宋体" w:cs="宋体"/>
          <w:b/>
          <w:color w:val="auto"/>
          <w:sz w:val="30"/>
          <w:szCs w:val="30"/>
          <w:highlight w:val="none"/>
        </w:rPr>
        <w:t>采购单位：海口市琼山区振群幼儿园</w:t>
      </w:r>
    </w:p>
    <w:p w14:paraId="361BB7EA">
      <w:pPr>
        <w:adjustRightInd w:val="0"/>
        <w:snapToGrid w:val="0"/>
        <w:spacing w:line="480" w:lineRule="auto"/>
        <w:ind w:firstLine="904" w:firstLineChars="300"/>
        <w:rPr>
          <w:rStyle w:val="39"/>
          <w:rFonts w:ascii="宋体" w:hAnsi="宋体" w:cs="宋体"/>
          <w:b/>
          <w:color w:val="auto"/>
          <w:sz w:val="30"/>
          <w:szCs w:val="30"/>
          <w:highlight w:val="none"/>
        </w:rPr>
      </w:pPr>
      <w:r>
        <w:rPr>
          <w:rStyle w:val="39"/>
          <w:rFonts w:hint="eastAsia" w:ascii="宋体" w:hAnsi="宋体" w:cs="宋体"/>
          <w:b/>
          <w:color w:val="auto"/>
          <w:sz w:val="30"/>
          <w:szCs w:val="30"/>
          <w:highlight w:val="none"/>
        </w:rPr>
        <w:t>采购代理机构：海南政源招标代理有限公司</w:t>
      </w:r>
    </w:p>
    <w:p w14:paraId="2F53555B">
      <w:pPr>
        <w:adjustRightInd w:val="0"/>
        <w:snapToGrid w:val="0"/>
        <w:spacing w:line="360" w:lineRule="auto"/>
        <w:jc w:val="center"/>
        <w:rPr>
          <w:rFonts w:ascii="宋体" w:hAnsi="宋体" w:cs="宋体"/>
          <w:b/>
          <w:color w:val="auto"/>
          <w:sz w:val="30"/>
          <w:szCs w:val="30"/>
          <w:highlight w:val="none"/>
        </w:rPr>
      </w:pPr>
      <w:r>
        <w:rPr>
          <w:rFonts w:hint="eastAsia" w:ascii="宋体" w:hAnsi="宋体" w:cs="宋体"/>
          <w:b/>
          <w:bCs/>
          <w:color w:val="auto"/>
          <w:sz w:val="30"/>
          <w:szCs w:val="30"/>
          <w:highlight w:val="none"/>
        </w:rPr>
        <w:t>202</w:t>
      </w:r>
      <w:r>
        <w:rPr>
          <w:rFonts w:hint="eastAsia" w:ascii="宋体" w:hAnsi="宋体" w:cs="宋体"/>
          <w:b/>
          <w:bCs/>
          <w:color w:val="auto"/>
          <w:sz w:val="30"/>
          <w:szCs w:val="30"/>
          <w:highlight w:val="none"/>
          <w:lang w:val="en-US" w:eastAsia="zh-CN"/>
        </w:rPr>
        <w:t>5</w:t>
      </w:r>
      <w:r>
        <w:rPr>
          <w:rFonts w:hint="eastAsia" w:ascii="宋体" w:hAnsi="宋体" w:cs="宋体"/>
          <w:b/>
          <w:bCs/>
          <w:color w:val="auto"/>
          <w:sz w:val="30"/>
          <w:szCs w:val="30"/>
          <w:highlight w:val="none"/>
        </w:rPr>
        <w:t>年</w:t>
      </w:r>
      <w:r>
        <w:rPr>
          <w:rFonts w:hint="eastAsia" w:ascii="宋体" w:hAnsi="宋体" w:cs="宋体"/>
          <w:b/>
          <w:bCs/>
          <w:color w:val="auto"/>
          <w:sz w:val="30"/>
          <w:szCs w:val="30"/>
          <w:highlight w:val="none"/>
          <w:lang w:val="en-US" w:eastAsia="zh-CN"/>
        </w:rPr>
        <w:t>09</w:t>
      </w:r>
      <w:r>
        <w:rPr>
          <w:rFonts w:hint="eastAsia" w:ascii="宋体" w:hAnsi="宋体" w:cs="宋体"/>
          <w:b/>
          <w:bCs/>
          <w:color w:val="auto"/>
          <w:sz w:val="30"/>
          <w:szCs w:val="30"/>
          <w:highlight w:val="none"/>
        </w:rPr>
        <w:t>月</w:t>
      </w:r>
    </w:p>
    <w:p w14:paraId="40DF3AA3">
      <w:pPr>
        <w:tabs>
          <w:tab w:val="left" w:leader="dot" w:pos="8400"/>
        </w:tabs>
        <w:spacing w:line="480" w:lineRule="exact"/>
        <w:jc w:val="center"/>
        <w:rPr>
          <w:rFonts w:ascii="宋体" w:hAnsi="宋体" w:cs="宋体"/>
          <w:b/>
          <w:color w:val="auto"/>
          <w:sz w:val="44"/>
          <w:szCs w:val="44"/>
          <w:highlight w:val="none"/>
        </w:rPr>
        <w:sectPr>
          <w:headerReference r:id="rId3" w:type="default"/>
          <w:headerReference r:id="rId4" w:type="even"/>
          <w:footerReference r:id="rId5" w:type="even"/>
          <w:pgSz w:w="11906" w:h="16838"/>
          <w:pgMar w:top="1134" w:right="1274" w:bottom="850" w:left="1417" w:header="907" w:footer="907" w:gutter="0"/>
          <w:pgNumType w:start="1"/>
          <w:cols w:space="720" w:num="1"/>
          <w:titlePg/>
          <w:docGrid w:type="lines" w:linePitch="312" w:charSpace="0"/>
        </w:sectPr>
      </w:pPr>
    </w:p>
    <w:p w14:paraId="7FE7BB81">
      <w:pPr>
        <w:jc w:val="center"/>
        <w:rPr>
          <w:rFonts w:ascii="宋体" w:hAnsi="宋体" w:cs="宋体"/>
          <w:b/>
          <w:bCs/>
          <w:color w:val="auto"/>
          <w:sz w:val="48"/>
          <w:szCs w:val="48"/>
          <w:highlight w:val="none"/>
        </w:rPr>
      </w:pPr>
    </w:p>
    <w:p w14:paraId="5E27028D">
      <w:pPr>
        <w:spacing w:afterLines="50"/>
        <w:jc w:val="center"/>
        <w:rPr>
          <w:rFonts w:ascii="宋体" w:hAnsi="宋体" w:cs="宋体"/>
          <w:b/>
          <w:bCs/>
          <w:color w:val="auto"/>
          <w:sz w:val="48"/>
          <w:szCs w:val="48"/>
          <w:highlight w:val="none"/>
        </w:rPr>
      </w:pPr>
      <w:r>
        <w:rPr>
          <w:rFonts w:hint="eastAsia" w:ascii="宋体" w:hAnsi="宋体" w:cs="宋体"/>
          <w:b/>
          <w:bCs/>
          <w:color w:val="auto"/>
          <w:sz w:val="48"/>
          <w:szCs w:val="48"/>
          <w:highlight w:val="none"/>
        </w:rPr>
        <w:t>目录</w:t>
      </w:r>
    </w:p>
    <w:p w14:paraId="5457698A">
      <w:pPr>
        <w:pStyle w:val="8"/>
        <w:ind w:firstLine="420"/>
        <w:rPr>
          <w:color w:val="auto"/>
          <w:highlight w:val="none"/>
        </w:rPr>
      </w:pPr>
    </w:p>
    <w:p w14:paraId="22C49D56">
      <w:pPr>
        <w:pStyle w:val="18"/>
        <w:tabs>
          <w:tab w:val="right" w:leader="dot" w:pos="8868"/>
        </w:tabs>
        <w:spacing w:beforeLines="50" w:afterLines="50" w:line="480" w:lineRule="auto"/>
        <w:rPr>
          <w:b/>
          <w:bCs/>
          <w:color w:val="auto"/>
          <w:sz w:val="28"/>
          <w:szCs w:val="28"/>
          <w:highlight w:val="none"/>
        </w:rPr>
      </w:pPr>
      <w:r>
        <w:rPr>
          <w:rFonts w:hint="eastAsia" w:ascii="宋体" w:hAnsi="宋体" w:cs="宋体"/>
          <w:b/>
          <w:bCs/>
          <w:color w:val="auto"/>
          <w:sz w:val="28"/>
          <w:szCs w:val="28"/>
          <w:highlight w:val="none"/>
        </w:rPr>
        <w:fldChar w:fldCharType="begin"/>
      </w:r>
      <w:r>
        <w:rPr>
          <w:rFonts w:hint="eastAsia" w:ascii="宋体" w:hAnsi="宋体" w:cs="宋体"/>
          <w:b/>
          <w:bCs/>
          <w:color w:val="auto"/>
          <w:sz w:val="28"/>
          <w:szCs w:val="28"/>
          <w:highlight w:val="none"/>
        </w:rPr>
        <w:instrText xml:space="preserve">TOC \o "1-1" \h \u </w:instrText>
      </w:r>
      <w:r>
        <w:rPr>
          <w:rFonts w:hint="eastAsia" w:ascii="宋体" w:hAnsi="宋体" w:cs="宋体"/>
          <w:b/>
          <w:bCs/>
          <w:color w:val="auto"/>
          <w:sz w:val="28"/>
          <w:szCs w:val="28"/>
          <w:highlight w:val="none"/>
        </w:rPr>
        <w:fldChar w:fldCharType="separate"/>
      </w:r>
      <w:r>
        <w:rPr>
          <w:color w:val="auto"/>
          <w:highlight w:val="none"/>
        </w:rPr>
        <w:fldChar w:fldCharType="begin"/>
      </w:r>
      <w:r>
        <w:rPr>
          <w:color w:val="auto"/>
          <w:highlight w:val="none"/>
        </w:rPr>
        <w:instrText xml:space="preserve"> HYPERLINK \l "_Toc6087" </w:instrText>
      </w:r>
      <w:r>
        <w:rPr>
          <w:color w:val="auto"/>
          <w:highlight w:val="none"/>
        </w:rPr>
        <w:fldChar w:fldCharType="separate"/>
      </w:r>
      <w:r>
        <w:rPr>
          <w:rFonts w:hint="eastAsia"/>
          <w:b/>
          <w:bCs/>
          <w:color w:val="auto"/>
          <w:sz w:val="28"/>
          <w:szCs w:val="28"/>
          <w:highlight w:val="none"/>
        </w:rPr>
        <w:t>第一部分  竞争性磋商公告</w:t>
      </w:r>
      <w:r>
        <w:rPr>
          <w:b/>
          <w:bCs/>
          <w:color w:val="auto"/>
          <w:sz w:val="28"/>
          <w:szCs w:val="28"/>
          <w:highlight w:val="none"/>
        </w:rPr>
        <w:tab/>
      </w:r>
      <w:r>
        <w:rPr>
          <w:b/>
          <w:bCs/>
          <w:color w:val="auto"/>
          <w:sz w:val="28"/>
          <w:szCs w:val="28"/>
          <w:highlight w:val="none"/>
        </w:rPr>
        <w:fldChar w:fldCharType="begin"/>
      </w:r>
      <w:r>
        <w:rPr>
          <w:b/>
          <w:bCs/>
          <w:color w:val="auto"/>
          <w:sz w:val="28"/>
          <w:szCs w:val="28"/>
          <w:highlight w:val="none"/>
        </w:rPr>
        <w:instrText xml:space="preserve"> PAGEREF _Toc6087 \h </w:instrText>
      </w:r>
      <w:r>
        <w:rPr>
          <w:b/>
          <w:bCs/>
          <w:color w:val="auto"/>
          <w:sz w:val="28"/>
          <w:szCs w:val="28"/>
          <w:highlight w:val="none"/>
        </w:rPr>
        <w:fldChar w:fldCharType="separate"/>
      </w:r>
      <w:r>
        <w:rPr>
          <w:b/>
          <w:bCs/>
          <w:color w:val="auto"/>
          <w:sz w:val="28"/>
          <w:szCs w:val="28"/>
          <w:highlight w:val="none"/>
        </w:rPr>
        <w:t>1</w:t>
      </w:r>
      <w:r>
        <w:rPr>
          <w:b/>
          <w:bCs/>
          <w:color w:val="auto"/>
          <w:sz w:val="28"/>
          <w:szCs w:val="28"/>
          <w:highlight w:val="none"/>
        </w:rPr>
        <w:fldChar w:fldCharType="end"/>
      </w:r>
      <w:r>
        <w:rPr>
          <w:b/>
          <w:bCs/>
          <w:color w:val="auto"/>
          <w:sz w:val="28"/>
          <w:szCs w:val="28"/>
          <w:highlight w:val="none"/>
        </w:rPr>
        <w:fldChar w:fldCharType="end"/>
      </w:r>
    </w:p>
    <w:p w14:paraId="6EB5E77C">
      <w:pPr>
        <w:pStyle w:val="18"/>
        <w:tabs>
          <w:tab w:val="right" w:leader="dot" w:pos="8868"/>
        </w:tabs>
        <w:spacing w:beforeLines="50" w:afterLines="50" w:line="480" w:lineRule="auto"/>
        <w:rPr>
          <w:b/>
          <w:bCs/>
          <w:color w:val="auto"/>
          <w:sz w:val="28"/>
          <w:szCs w:val="28"/>
          <w:highlight w:val="none"/>
        </w:rPr>
      </w:pPr>
      <w:r>
        <w:rPr>
          <w:color w:val="auto"/>
          <w:highlight w:val="none"/>
        </w:rPr>
        <w:fldChar w:fldCharType="begin"/>
      </w:r>
      <w:r>
        <w:rPr>
          <w:color w:val="auto"/>
          <w:highlight w:val="none"/>
        </w:rPr>
        <w:instrText xml:space="preserve"> HYPERLINK \l "_Toc21264" </w:instrText>
      </w:r>
      <w:r>
        <w:rPr>
          <w:color w:val="auto"/>
          <w:highlight w:val="none"/>
        </w:rPr>
        <w:fldChar w:fldCharType="separate"/>
      </w:r>
      <w:r>
        <w:rPr>
          <w:rFonts w:hint="eastAsia"/>
          <w:b/>
          <w:bCs/>
          <w:color w:val="auto"/>
          <w:sz w:val="28"/>
          <w:szCs w:val="28"/>
          <w:highlight w:val="none"/>
        </w:rPr>
        <w:t>第二部分  供应商须知</w:t>
      </w:r>
      <w:r>
        <w:rPr>
          <w:b/>
          <w:bCs/>
          <w:color w:val="auto"/>
          <w:sz w:val="28"/>
          <w:szCs w:val="28"/>
          <w:highlight w:val="none"/>
        </w:rPr>
        <w:tab/>
      </w:r>
      <w:r>
        <w:rPr>
          <w:b/>
          <w:bCs/>
          <w:color w:val="auto"/>
          <w:sz w:val="28"/>
          <w:szCs w:val="28"/>
          <w:highlight w:val="none"/>
        </w:rPr>
        <w:fldChar w:fldCharType="begin"/>
      </w:r>
      <w:r>
        <w:rPr>
          <w:b/>
          <w:bCs/>
          <w:color w:val="auto"/>
          <w:sz w:val="28"/>
          <w:szCs w:val="28"/>
          <w:highlight w:val="none"/>
        </w:rPr>
        <w:instrText xml:space="preserve"> PAGEREF _Toc21264 \h </w:instrText>
      </w:r>
      <w:r>
        <w:rPr>
          <w:b/>
          <w:bCs/>
          <w:color w:val="auto"/>
          <w:sz w:val="28"/>
          <w:szCs w:val="28"/>
          <w:highlight w:val="none"/>
        </w:rPr>
        <w:fldChar w:fldCharType="separate"/>
      </w:r>
      <w:r>
        <w:rPr>
          <w:b/>
          <w:bCs/>
          <w:color w:val="auto"/>
          <w:sz w:val="28"/>
          <w:szCs w:val="28"/>
          <w:highlight w:val="none"/>
        </w:rPr>
        <w:t>6</w:t>
      </w:r>
      <w:r>
        <w:rPr>
          <w:b/>
          <w:bCs/>
          <w:color w:val="auto"/>
          <w:sz w:val="28"/>
          <w:szCs w:val="28"/>
          <w:highlight w:val="none"/>
        </w:rPr>
        <w:fldChar w:fldCharType="end"/>
      </w:r>
      <w:r>
        <w:rPr>
          <w:b/>
          <w:bCs/>
          <w:color w:val="auto"/>
          <w:sz w:val="28"/>
          <w:szCs w:val="28"/>
          <w:highlight w:val="none"/>
        </w:rPr>
        <w:fldChar w:fldCharType="end"/>
      </w:r>
    </w:p>
    <w:p w14:paraId="3C15BF6F">
      <w:pPr>
        <w:pStyle w:val="18"/>
        <w:tabs>
          <w:tab w:val="right" w:leader="dot" w:pos="8868"/>
        </w:tabs>
        <w:spacing w:beforeLines="50" w:afterLines="50" w:line="480" w:lineRule="auto"/>
        <w:rPr>
          <w:b/>
          <w:bCs/>
          <w:color w:val="auto"/>
          <w:sz w:val="28"/>
          <w:szCs w:val="28"/>
          <w:highlight w:val="none"/>
        </w:rPr>
      </w:pPr>
      <w:r>
        <w:rPr>
          <w:color w:val="auto"/>
          <w:highlight w:val="none"/>
        </w:rPr>
        <w:fldChar w:fldCharType="begin"/>
      </w:r>
      <w:r>
        <w:rPr>
          <w:color w:val="auto"/>
          <w:highlight w:val="none"/>
        </w:rPr>
        <w:instrText xml:space="preserve"> HYPERLINK \l "_Toc20171" </w:instrText>
      </w:r>
      <w:r>
        <w:rPr>
          <w:color w:val="auto"/>
          <w:highlight w:val="none"/>
        </w:rPr>
        <w:fldChar w:fldCharType="separate"/>
      </w:r>
      <w:r>
        <w:rPr>
          <w:rFonts w:hint="eastAsia"/>
          <w:b/>
          <w:bCs/>
          <w:color w:val="auto"/>
          <w:sz w:val="28"/>
          <w:szCs w:val="28"/>
          <w:highlight w:val="none"/>
        </w:rPr>
        <w:t>第三部分  合同文本</w:t>
      </w:r>
      <w:r>
        <w:rPr>
          <w:b/>
          <w:bCs/>
          <w:color w:val="auto"/>
          <w:sz w:val="28"/>
          <w:szCs w:val="28"/>
          <w:highlight w:val="none"/>
        </w:rPr>
        <w:tab/>
      </w:r>
      <w:r>
        <w:rPr>
          <w:b/>
          <w:bCs/>
          <w:color w:val="auto"/>
          <w:sz w:val="28"/>
          <w:szCs w:val="28"/>
          <w:highlight w:val="none"/>
        </w:rPr>
        <w:fldChar w:fldCharType="begin"/>
      </w:r>
      <w:r>
        <w:rPr>
          <w:b/>
          <w:bCs/>
          <w:color w:val="auto"/>
          <w:sz w:val="28"/>
          <w:szCs w:val="28"/>
          <w:highlight w:val="none"/>
        </w:rPr>
        <w:instrText xml:space="preserve"> PAGEREF _Toc20171 \h </w:instrText>
      </w:r>
      <w:r>
        <w:rPr>
          <w:b/>
          <w:bCs/>
          <w:color w:val="auto"/>
          <w:sz w:val="28"/>
          <w:szCs w:val="28"/>
          <w:highlight w:val="none"/>
        </w:rPr>
        <w:fldChar w:fldCharType="separate"/>
      </w:r>
      <w:r>
        <w:rPr>
          <w:b/>
          <w:bCs/>
          <w:color w:val="auto"/>
          <w:sz w:val="28"/>
          <w:szCs w:val="28"/>
          <w:highlight w:val="none"/>
        </w:rPr>
        <w:t>26</w:t>
      </w:r>
      <w:r>
        <w:rPr>
          <w:b/>
          <w:bCs/>
          <w:color w:val="auto"/>
          <w:sz w:val="28"/>
          <w:szCs w:val="28"/>
          <w:highlight w:val="none"/>
        </w:rPr>
        <w:fldChar w:fldCharType="end"/>
      </w:r>
      <w:r>
        <w:rPr>
          <w:b/>
          <w:bCs/>
          <w:color w:val="auto"/>
          <w:sz w:val="28"/>
          <w:szCs w:val="28"/>
          <w:highlight w:val="none"/>
        </w:rPr>
        <w:fldChar w:fldCharType="end"/>
      </w:r>
    </w:p>
    <w:p w14:paraId="2983BCEC">
      <w:pPr>
        <w:pStyle w:val="18"/>
        <w:tabs>
          <w:tab w:val="right" w:leader="dot" w:pos="8868"/>
        </w:tabs>
        <w:spacing w:beforeLines="50" w:afterLines="50" w:line="480" w:lineRule="auto"/>
        <w:rPr>
          <w:b/>
          <w:bCs/>
          <w:color w:val="auto"/>
          <w:sz w:val="28"/>
          <w:szCs w:val="28"/>
          <w:highlight w:val="none"/>
        </w:rPr>
      </w:pPr>
      <w:r>
        <w:rPr>
          <w:color w:val="auto"/>
          <w:highlight w:val="none"/>
        </w:rPr>
        <w:fldChar w:fldCharType="begin"/>
      </w:r>
      <w:r>
        <w:rPr>
          <w:color w:val="auto"/>
          <w:highlight w:val="none"/>
        </w:rPr>
        <w:instrText xml:space="preserve"> HYPERLINK \l "_Toc23686" </w:instrText>
      </w:r>
      <w:r>
        <w:rPr>
          <w:color w:val="auto"/>
          <w:highlight w:val="none"/>
        </w:rPr>
        <w:fldChar w:fldCharType="separate"/>
      </w:r>
      <w:r>
        <w:rPr>
          <w:rFonts w:hint="eastAsia"/>
          <w:b/>
          <w:bCs/>
          <w:color w:val="auto"/>
          <w:sz w:val="28"/>
          <w:szCs w:val="28"/>
          <w:highlight w:val="none"/>
        </w:rPr>
        <w:t>第四部分  响应文件格式</w:t>
      </w:r>
      <w:r>
        <w:rPr>
          <w:b/>
          <w:bCs/>
          <w:color w:val="auto"/>
          <w:sz w:val="28"/>
          <w:szCs w:val="28"/>
          <w:highlight w:val="none"/>
        </w:rPr>
        <w:tab/>
      </w:r>
      <w:r>
        <w:rPr>
          <w:b/>
          <w:bCs/>
          <w:color w:val="auto"/>
          <w:sz w:val="28"/>
          <w:szCs w:val="28"/>
          <w:highlight w:val="none"/>
        </w:rPr>
        <w:fldChar w:fldCharType="begin"/>
      </w:r>
      <w:r>
        <w:rPr>
          <w:b/>
          <w:bCs/>
          <w:color w:val="auto"/>
          <w:sz w:val="28"/>
          <w:szCs w:val="28"/>
          <w:highlight w:val="none"/>
        </w:rPr>
        <w:instrText xml:space="preserve"> PAGEREF _Toc23686 \h </w:instrText>
      </w:r>
      <w:r>
        <w:rPr>
          <w:b/>
          <w:bCs/>
          <w:color w:val="auto"/>
          <w:sz w:val="28"/>
          <w:szCs w:val="28"/>
          <w:highlight w:val="none"/>
        </w:rPr>
        <w:fldChar w:fldCharType="separate"/>
      </w:r>
      <w:r>
        <w:rPr>
          <w:b/>
          <w:bCs/>
          <w:color w:val="auto"/>
          <w:sz w:val="28"/>
          <w:szCs w:val="28"/>
          <w:highlight w:val="none"/>
        </w:rPr>
        <w:t>40</w:t>
      </w:r>
      <w:r>
        <w:rPr>
          <w:b/>
          <w:bCs/>
          <w:color w:val="auto"/>
          <w:sz w:val="28"/>
          <w:szCs w:val="28"/>
          <w:highlight w:val="none"/>
        </w:rPr>
        <w:fldChar w:fldCharType="end"/>
      </w:r>
      <w:r>
        <w:rPr>
          <w:b/>
          <w:bCs/>
          <w:color w:val="auto"/>
          <w:sz w:val="28"/>
          <w:szCs w:val="28"/>
          <w:highlight w:val="none"/>
        </w:rPr>
        <w:fldChar w:fldCharType="end"/>
      </w:r>
    </w:p>
    <w:p w14:paraId="0B0B45E0">
      <w:pPr>
        <w:pStyle w:val="18"/>
        <w:tabs>
          <w:tab w:val="right" w:leader="dot" w:pos="8868"/>
        </w:tabs>
        <w:spacing w:beforeLines="50" w:afterLines="50" w:line="480" w:lineRule="auto"/>
        <w:rPr>
          <w:rFonts w:hint="eastAsia" w:eastAsia="宋体"/>
          <w:b/>
          <w:bCs/>
          <w:color w:val="auto"/>
          <w:sz w:val="28"/>
          <w:szCs w:val="28"/>
          <w:highlight w:val="none"/>
          <w:lang w:val="en-US" w:eastAsia="zh-CN"/>
        </w:rPr>
      </w:pPr>
      <w:r>
        <w:rPr>
          <w:color w:val="auto"/>
          <w:highlight w:val="none"/>
        </w:rPr>
        <w:fldChar w:fldCharType="begin"/>
      </w:r>
      <w:r>
        <w:rPr>
          <w:color w:val="auto"/>
          <w:highlight w:val="none"/>
        </w:rPr>
        <w:instrText xml:space="preserve"> HYPERLINK \l "_Toc21377" </w:instrText>
      </w:r>
      <w:r>
        <w:rPr>
          <w:color w:val="auto"/>
          <w:highlight w:val="none"/>
        </w:rPr>
        <w:fldChar w:fldCharType="separate"/>
      </w:r>
      <w:r>
        <w:rPr>
          <w:rFonts w:hint="eastAsia"/>
          <w:b/>
          <w:bCs/>
          <w:color w:val="auto"/>
          <w:sz w:val="28"/>
          <w:szCs w:val="28"/>
          <w:highlight w:val="none"/>
        </w:rPr>
        <w:t>第五部分  采购需求</w:t>
      </w:r>
      <w:r>
        <w:rPr>
          <w:b/>
          <w:bCs/>
          <w:color w:val="auto"/>
          <w:sz w:val="28"/>
          <w:szCs w:val="28"/>
          <w:highlight w:val="none"/>
        </w:rPr>
        <w:tab/>
      </w:r>
      <w:r>
        <w:rPr>
          <w:rFonts w:hint="eastAsia"/>
          <w:b/>
          <w:bCs/>
          <w:color w:val="auto"/>
          <w:sz w:val="28"/>
          <w:szCs w:val="28"/>
          <w:highlight w:val="none"/>
          <w:lang w:val="en-US" w:eastAsia="zh-CN"/>
        </w:rPr>
        <w:t>5</w:t>
      </w:r>
      <w:r>
        <w:rPr>
          <w:b/>
          <w:bCs/>
          <w:color w:val="auto"/>
          <w:sz w:val="28"/>
          <w:szCs w:val="28"/>
          <w:highlight w:val="none"/>
        </w:rPr>
        <w:fldChar w:fldCharType="end"/>
      </w:r>
      <w:r>
        <w:rPr>
          <w:rFonts w:hint="eastAsia"/>
          <w:b/>
          <w:bCs/>
          <w:color w:val="auto"/>
          <w:sz w:val="28"/>
          <w:szCs w:val="28"/>
          <w:highlight w:val="none"/>
          <w:lang w:val="en-US" w:eastAsia="zh-CN"/>
        </w:rPr>
        <w:t>6</w:t>
      </w:r>
    </w:p>
    <w:p w14:paraId="3FA3135C">
      <w:pPr>
        <w:spacing w:before="312" w:after="312"/>
        <w:rPr>
          <w:rStyle w:val="39"/>
          <w:rFonts w:hint="eastAsia" w:ascii="宋体" w:hAnsi="宋体" w:eastAsia="宋体" w:cs="宋体"/>
          <w:b/>
          <w:color w:val="auto"/>
          <w:sz w:val="28"/>
          <w:szCs w:val="28"/>
          <w:highlight w:val="none"/>
          <w:lang w:val="en-US" w:eastAsia="zh-CN"/>
        </w:rPr>
        <w:sectPr>
          <w:headerReference r:id="rId7" w:type="first"/>
          <w:footerReference r:id="rId9" w:type="first"/>
          <w:headerReference r:id="rId6" w:type="default"/>
          <w:footerReference r:id="rId8" w:type="default"/>
          <w:pgSz w:w="11906" w:h="16838"/>
          <w:pgMar w:top="1417" w:right="1587" w:bottom="1417" w:left="1587" w:header="907" w:footer="907" w:gutter="0"/>
          <w:cols w:space="720" w:num="1"/>
          <w:titlePg/>
          <w:docGrid w:type="lines" w:linePitch="312" w:charSpace="0"/>
        </w:sectPr>
      </w:pPr>
      <w:r>
        <w:rPr>
          <w:rFonts w:hint="eastAsia" w:ascii="宋体" w:hAnsi="宋体" w:cs="宋体"/>
          <w:b/>
          <w:bCs/>
          <w:color w:val="auto"/>
          <w:sz w:val="28"/>
          <w:szCs w:val="28"/>
          <w:highlight w:val="none"/>
        </w:rPr>
        <w:fldChar w:fldCharType="end"/>
      </w:r>
    </w:p>
    <w:p w14:paraId="4B9CC061">
      <w:pPr>
        <w:pStyle w:val="2"/>
        <w:numPr>
          <w:ilvl w:val="2"/>
          <w:numId w:val="0"/>
        </w:numPr>
        <w:ind w:left="1215"/>
        <w:jc w:val="center"/>
        <w:rPr>
          <w:rStyle w:val="40"/>
          <w:b/>
          <w:bCs/>
          <w:color w:val="auto"/>
          <w:highlight w:val="none"/>
        </w:rPr>
      </w:pPr>
      <w:bookmarkStart w:id="0" w:name="_Toc6087"/>
      <w:r>
        <w:rPr>
          <w:rStyle w:val="40"/>
          <w:b/>
          <w:bCs/>
          <w:color w:val="auto"/>
          <w:highlight w:val="none"/>
        </w:rPr>
        <w:t>第一部分  竞争性磋商公告</w:t>
      </w:r>
      <w:bookmarkEnd w:id="0"/>
    </w:p>
    <w:p w14:paraId="4A0B9842">
      <w:pPr>
        <w:pBdr>
          <w:top w:val="single" w:color="auto" w:sz="4" w:space="1"/>
          <w:left w:val="single" w:color="auto" w:sz="4" w:space="4"/>
          <w:bottom w:val="single" w:color="auto" w:sz="4" w:space="1"/>
          <w:right w:val="single" w:color="auto" w:sz="4" w:space="4"/>
        </w:pBdr>
        <w:spacing w:line="360" w:lineRule="auto"/>
        <w:rPr>
          <w:rFonts w:ascii="宋体" w:hAnsi="宋体" w:cs="宋体"/>
          <w:b/>
          <w:bCs/>
          <w:color w:val="auto"/>
          <w:sz w:val="24"/>
          <w:highlight w:val="none"/>
        </w:rPr>
      </w:pPr>
      <w:r>
        <w:rPr>
          <w:rFonts w:hint="eastAsia" w:ascii="宋体" w:hAnsi="宋体" w:cs="宋体"/>
          <w:b/>
          <w:bCs/>
          <w:color w:val="auto"/>
          <w:sz w:val="24"/>
          <w:highlight w:val="none"/>
        </w:rPr>
        <w:t>项目概况</w:t>
      </w:r>
    </w:p>
    <w:p w14:paraId="09956129">
      <w:pPr>
        <w:pBdr>
          <w:top w:val="single" w:color="auto" w:sz="4" w:space="1"/>
          <w:left w:val="single" w:color="auto" w:sz="4" w:space="4"/>
          <w:bottom w:val="single" w:color="auto" w:sz="4" w:space="1"/>
          <w:right w:val="single" w:color="auto" w:sz="4" w:space="4"/>
        </w:pBd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u w:val="single"/>
          <w:lang w:eastAsia="zh-CN"/>
        </w:rPr>
        <w:t>海口市琼山区振群幼儿园2025年秋季设施设备采购项目</w:t>
      </w:r>
      <w:r>
        <w:rPr>
          <w:rFonts w:hint="eastAsia" w:ascii="宋体" w:hAnsi="宋体" w:cs="宋体"/>
          <w:color w:val="auto"/>
          <w:sz w:val="24"/>
          <w:highlight w:val="none"/>
        </w:rPr>
        <w:t>的潜在供应商应在</w:t>
      </w:r>
      <w:r>
        <w:rPr>
          <w:rFonts w:hint="eastAsia" w:ascii="宋体" w:hAnsi="宋体" w:cs="宋体"/>
          <w:color w:val="auto"/>
          <w:sz w:val="24"/>
          <w:highlight w:val="none"/>
          <w:u w:val="single"/>
          <w:lang w:eastAsia="zh-CN"/>
        </w:rPr>
        <w:t>海南省海口市美兰区国兴大道11号国瑞大厦C座东塔1204房</w:t>
      </w:r>
      <w:r>
        <w:rPr>
          <w:rFonts w:hint="eastAsia" w:ascii="宋体" w:hAnsi="宋体" w:cs="宋体"/>
          <w:color w:val="auto"/>
          <w:sz w:val="24"/>
          <w:highlight w:val="none"/>
        </w:rPr>
        <w:t>获取磋商文件，并于</w:t>
      </w:r>
      <w:r>
        <w:rPr>
          <w:rFonts w:hint="eastAsia" w:ascii="宋体" w:hAnsi="宋体" w:cs="宋体"/>
          <w:color w:val="auto"/>
          <w:sz w:val="24"/>
          <w:highlight w:val="none"/>
          <w:u w:val="single"/>
        </w:rPr>
        <w:t>202</w:t>
      </w:r>
      <w:r>
        <w:rPr>
          <w:rFonts w:hint="eastAsia" w:ascii="宋体" w:hAnsi="宋体" w:cs="宋体"/>
          <w:color w:val="auto"/>
          <w:sz w:val="24"/>
          <w:highlight w:val="none"/>
          <w:u w:val="single"/>
          <w:lang w:val="en-US" w:eastAsia="zh-CN"/>
        </w:rPr>
        <w:t>5</w:t>
      </w:r>
      <w:r>
        <w:rPr>
          <w:rFonts w:hint="eastAsia" w:ascii="宋体" w:hAnsi="宋体" w:cs="宋体"/>
          <w:color w:val="auto"/>
          <w:sz w:val="24"/>
          <w:highlight w:val="none"/>
          <w:u w:val="single"/>
        </w:rPr>
        <w:t>年</w:t>
      </w:r>
      <w:r>
        <w:rPr>
          <w:rFonts w:hint="eastAsia" w:ascii="宋体" w:hAnsi="宋体" w:cs="宋体"/>
          <w:color w:val="auto"/>
          <w:sz w:val="24"/>
          <w:highlight w:val="none"/>
          <w:u w:val="single"/>
          <w:lang w:val="en-US" w:eastAsia="zh-CN"/>
        </w:rPr>
        <w:t xml:space="preserve"> 9 </w:t>
      </w:r>
      <w:r>
        <w:rPr>
          <w:rFonts w:hint="eastAsia" w:ascii="宋体" w:hAnsi="宋体" w:cs="宋体"/>
          <w:color w:val="auto"/>
          <w:sz w:val="24"/>
          <w:highlight w:val="none"/>
          <w:u w:val="single"/>
        </w:rPr>
        <w:t>月</w:t>
      </w:r>
      <w:r>
        <w:rPr>
          <w:rFonts w:hint="eastAsia" w:ascii="宋体" w:hAnsi="宋体" w:cs="宋体"/>
          <w:color w:val="auto"/>
          <w:sz w:val="24"/>
          <w:highlight w:val="none"/>
          <w:u w:val="single"/>
          <w:lang w:val="en-US" w:eastAsia="zh-CN"/>
        </w:rPr>
        <w:t xml:space="preserve"> 12 </w:t>
      </w:r>
      <w:r>
        <w:rPr>
          <w:rFonts w:hint="eastAsia" w:ascii="宋体" w:hAnsi="宋体" w:cs="宋体"/>
          <w:color w:val="auto"/>
          <w:sz w:val="24"/>
          <w:highlight w:val="none"/>
          <w:u w:val="single"/>
        </w:rPr>
        <w:t>日</w:t>
      </w:r>
      <w:r>
        <w:rPr>
          <w:rFonts w:hint="eastAsia" w:ascii="宋体" w:hAnsi="宋体" w:cs="宋体"/>
          <w:color w:val="auto"/>
          <w:sz w:val="24"/>
          <w:highlight w:val="none"/>
          <w:u w:val="single"/>
          <w:lang w:val="en-US" w:eastAsia="zh-CN"/>
        </w:rPr>
        <w:t>09</w:t>
      </w:r>
      <w:r>
        <w:rPr>
          <w:rFonts w:hint="eastAsia" w:ascii="宋体" w:hAnsi="宋体" w:cs="宋体"/>
          <w:color w:val="auto"/>
          <w:sz w:val="24"/>
          <w:highlight w:val="none"/>
          <w:u w:val="single"/>
        </w:rPr>
        <w:t>点</w:t>
      </w:r>
      <w:r>
        <w:rPr>
          <w:rFonts w:hint="eastAsia" w:ascii="宋体" w:hAnsi="宋体" w:cs="宋体"/>
          <w:color w:val="auto"/>
          <w:sz w:val="24"/>
          <w:highlight w:val="none"/>
          <w:u w:val="single"/>
          <w:lang w:val="en-US" w:eastAsia="zh-CN"/>
        </w:rPr>
        <w:t>3</w:t>
      </w:r>
      <w:r>
        <w:rPr>
          <w:rFonts w:hint="eastAsia" w:ascii="宋体" w:hAnsi="宋体" w:cs="宋体"/>
          <w:color w:val="auto"/>
          <w:sz w:val="24"/>
          <w:highlight w:val="none"/>
          <w:u w:val="single"/>
        </w:rPr>
        <w:t>0分</w:t>
      </w:r>
      <w:r>
        <w:rPr>
          <w:rFonts w:hint="eastAsia" w:ascii="宋体" w:hAnsi="宋体" w:cs="宋体"/>
          <w:bCs/>
          <w:color w:val="auto"/>
          <w:sz w:val="24"/>
          <w:highlight w:val="none"/>
        </w:rPr>
        <w:t>（北京时间）前提交响应文件</w:t>
      </w:r>
      <w:r>
        <w:rPr>
          <w:rFonts w:hint="eastAsia" w:ascii="宋体" w:hAnsi="宋体" w:cs="宋体"/>
          <w:color w:val="auto"/>
          <w:sz w:val="24"/>
          <w:highlight w:val="none"/>
        </w:rPr>
        <w:t>。</w:t>
      </w:r>
    </w:p>
    <w:p w14:paraId="6B594B9C">
      <w:pPr>
        <w:rPr>
          <w:rFonts w:ascii="宋体" w:hAnsi="宋体" w:cs="宋体"/>
          <w:color w:val="auto"/>
          <w:highlight w:val="none"/>
        </w:rPr>
      </w:pPr>
    </w:p>
    <w:p w14:paraId="334E3138">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b/>
          <w:bCs/>
          <w:color w:val="auto"/>
          <w:sz w:val="24"/>
          <w:highlight w:val="none"/>
        </w:rPr>
      </w:pPr>
      <w:r>
        <w:rPr>
          <w:rFonts w:hint="eastAsia" w:ascii="宋体" w:hAnsi="宋体" w:cs="宋体"/>
          <w:b/>
          <w:bCs/>
          <w:color w:val="auto"/>
          <w:sz w:val="24"/>
          <w:highlight w:val="none"/>
        </w:rPr>
        <w:t>一、项目基本情况</w:t>
      </w:r>
    </w:p>
    <w:p w14:paraId="59315305">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项目编号：</w:t>
      </w:r>
      <w:r>
        <w:rPr>
          <w:rFonts w:hint="eastAsia" w:ascii="宋体" w:hAnsi="宋体" w:cs="宋体"/>
          <w:color w:val="auto"/>
          <w:sz w:val="24"/>
          <w:highlight w:val="none"/>
          <w:lang w:eastAsia="zh-CN"/>
        </w:rPr>
        <w:t>HNZY2025-100</w:t>
      </w:r>
      <w:r>
        <w:rPr>
          <w:rFonts w:hint="eastAsia" w:ascii="宋体" w:hAnsi="宋体" w:cs="宋体"/>
          <w:color w:val="auto"/>
          <w:sz w:val="24"/>
          <w:highlight w:val="none"/>
        </w:rPr>
        <w:t>；</w:t>
      </w:r>
    </w:p>
    <w:p w14:paraId="03782596">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项目名称：</w:t>
      </w:r>
      <w:r>
        <w:rPr>
          <w:rFonts w:hint="eastAsia" w:ascii="宋体" w:hAnsi="宋体" w:cs="宋体"/>
          <w:color w:val="auto"/>
          <w:sz w:val="24"/>
          <w:highlight w:val="none"/>
          <w:lang w:eastAsia="zh-CN"/>
        </w:rPr>
        <w:t>海口市琼山区振群幼儿园2025年秋季设施设备采购项目</w:t>
      </w:r>
      <w:r>
        <w:rPr>
          <w:rFonts w:hint="eastAsia" w:ascii="宋体" w:hAnsi="宋体" w:cs="宋体"/>
          <w:color w:val="auto"/>
          <w:sz w:val="24"/>
          <w:highlight w:val="none"/>
        </w:rPr>
        <w:t>；</w:t>
      </w:r>
    </w:p>
    <w:p w14:paraId="15C5B010">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采购方式：竞争性磋商；</w:t>
      </w:r>
    </w:p>
    <w:p w14:paraId="2E6D9BC1">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预算金额：</w:t>
      </w:r>
      <w:r>
        <w:rPr>
          <w:rFonts w:hint="eastAsia" w:ascii="宋体" w:hAnsi="宋体" w:cs="宋体"/>
          <w:color w:val="auto"/>
          <w:sz w:val="24"/>
          <w:highlight w:val="none"/>
          <w:lang w:eastAsia="zh-CN"/>
        </w:rPr>
        <w:t>1822903.00元（其中A包：厨房设备347687.00元；B包：教学设备999780.00元；C包：办公用品475436.00元）</w:t>
      </w:r>
      <w:r>
        <w:rPr>
          <w:rFonts w:hint="eastAsia" w:ascii="宋体" w:hAnsi="宋体" w:cs="宋体"/>
          <w:color w:val="auto"/>
          <w:sz w:val="24"/>
          <w:highlight w:val="none"/>
        </w:rPr>
        <w:t>；</w:t>
      </w:r>
    </w:p>
    <w:p w14:paraId="494094CD">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最高限价：</w:t>
      </w:r>
      <w:r>
        <w:rPr>
          <w:rFonts w:hint="eastAsia" w:ascii="宋体" w:hAnsi="宋体" w:cs="宋体"/>
          <w:color w:val="auto"/>
          <w:sz w:val="24"/>
          <w:highlight w:val="none"/>
          <w:lang w:eastAsia="zh-CN"/>
        </w:rPr>
        <w:t>1822903.00元（其中A包：厨房设备347687.00元；B包：教学设备999780.00元；C包：办公用品475436.00元）</w:t>
      </w:r>
      <w:r>
        <w:rPr>
          <w:rFonts w:hint="eastAsia" w:ascii="宋体" w:hAnsi="宋体" w:cs="宋体"/>
          <w:b/>
          <w:bCs/>
          <w:color w:val="auto"/>
          <w:sz w:val="24"/>
          <w:highlight w:val="none"/>
        </w:rPr>
        <w:t>超出最高限价</w:t>
      </w:r>
      <w:r>
        <w:rPr>
          <w:rFonts w:hint="eastAsia" w:ascii="宋体" w:hAnsi="宋体" w:cs="宋体"/>
          <w:b/>
          <w:bCs/>
          <w:color w:val="auto"/>
          <w:sz w:val="24"/>
          <w:highlight w:val="none"/>
          <w:lang w:eastAsia="zh-CN"/>
        </w:rPr>
        <w:t>及单项最高限价</w:t>
      </w:r>
      <w:r>
        <w:rPr>
          <w:rFonts w:hint="eastAsia" w:ascii="宋体" w:hAnsi="宋体" w:cs="宋体"/>
          <w:b/>
          <w:bCs/>
          <w:color w:val="auto"/>
          <w:sz w:val="24"/>
          <w:highlight w:val="none"/>
        </w:rPr>
        <w:t>的投标报价，按无效响应处理</w:t>
      </w:r>
      <w:r>
        <w:rPr>
          <w:rFonts w:hint="eastAsia" w:ascii="宋体" w:hAnsi="宋体" w:cs="宋体"/>
          <w:color w:val="auto"/>
          <w:sz w:val="24"/>
          <w:highlight w:val="none"/>
        </w:rPr>
        <w:t>；</w:t>
      </w:r>
    </w:p>
    <w:p w14:paraId="233AF3DE">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采购需求：</w:t>
      </w:r>
      <w:r>
        <w:rPr>
          <w:rFonts w:hint="eastAsia" w:ascii="宋体" w:hAnsi="宋体" w:cs="宋体"/>
          <w:color w:val="auto"/>
          <w:sz w:val="24"/>
          <w:highlight w:val="none"/>
          <w:lang w:eastAsia="zh-CN"/>
        </w:rPr>
        <w:t>（</w:t>
      </w:r>
      <w:r>
        <w:rPr>
          <w:rFonts w:hint="eastAsia" w:ascii="宋体" w:hAnsi="宋体" w:cs="宋体"/>
          <w:color w:val="auto"/>
          <w:sz w:val="24"/>
          <w:highlight w:val="none"/>
        </w:rPr>
        <w:t>具体详见磋商文件第五部分</w:t>
      </w:r>
      <w:r>
        <w:rPr>
          <w:rFonts w:hint="eastAsia" w:ascii="宋体" w:hAnsi="宋体" w:cs="宋体"/>
          <w:color w:val="auto"/>
          <w:sz w:val="24"/>
          <w:highlight w:val="none"/>
          <w:lang w:eastAsia="zh-CN"/>
        </w:rPr>
        <w:t>）</w:t>
      </w:r>
      <w:r>
        <w:rPr>
          <w:rFonts w:hint="eastAsia" w:ascii="宋体" w:hAnsi="宋体" w:cs="宋体"/>
          <w:color w:val="auto"/>
          <w:sz w:val="24"/>
          <w:highlight w:val="none"/>
        </w:rPr>
        <w:t>；</w:t>
      </w:r>
    </w:p>
    <w:p w14:paraId="02228698">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合同履行期限</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交付期</w:t>
      </w:r>
      <w:r>
        <w:rPr>
          <w:rFonts w:hint="eastAsia" w:ascii="宋体" w:hAnsi="宋体" w:cs="宋体"/>
          <w:color w:val="auto"/>
          <w:sz w:val="24"/>
          <w:highlight w:val="none"/>
          <w:lang w:eastAsia="zh-CN"/>
        </w:rPr>
        <w:t>）</w:t>
      </w:r>
      <w:r>
        <w:rPr>
          <w:rFonts w:hint="eastAsia" w:ascii="宋体" w:hAnsi="宋体" w:cs="宋体"/>
          <w:color w:val="auto"/>
          <w:sz w:val="24"/>
          <w:highlight w:val="none"/>
        </w:rPr>
        <w:t>：合同签订生效之日起</w:t>
      </w:r>
      <w:r>
        <w:rPr>
          <w:rFonts w:hint="eastAsia" w:ascii="宋体" w:hAnsi="宋体" w:cs="宋体"/>
          <w:color w:val="auto"/>
          <w:sz w:val="24"/>
          <w:highlight w:val="none"/>
          <w:lang w:val="en-US" w:eastAsia="zh-CN"/>
        </w:rPr>
        <w:t>30</w:t>
      </w:r>
      <w:r>
        <w:rPr>
          <w:rFonts w:hint="eastAsia" w:ascii="宋体" w:hAnsi="宋体" w:cs="宋体"/>
          <w:color w:val="auto"/>
          <w:sz w:val="24"/>
          <w:highlight w:val="none"/>
        </w:rPr>
        <w:t>日历天内交付；</w:t>
      </w:r>
    </w:p>
    <w:p w14:paraId="20D5BE5A">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所属行业：</w:t>
      </w:r>
      <w:r>
        <w:rPr>
          <w:rFonts w:hint="eastAsia" w:ascii="宋体" w:hAnsi="宋体" w:cs="宋体"/>
          <w:color w:val="auto"/>
          <w:sz w:val="24"/>
          <w:highlight w:val="none"/>
          <w:lang w:val="en-US" w:eastAsia="zh-CN"/>
        </w:rPr>
        <w:t>工业</w:t>
      </w:r>
      <w:r>
        <w:rPr>
          <w:rFonts w:hint="eastAsia" w:ascii="宋体" w:hAnsi="宋体" w:cs="宋体"/>
          <w:color w:val="auto"/>
          <w:sz w:val="24"/>
          <w:highlight w:val="none"/>
        </w:rPr>
        <w:t>；</w:t>
      </w:r>
    </w:p>
    <w:p w14:paraId="2203CCF6">
      <w:pPr>
        <w:pStyle w:val="8"/>
        <w:keepNext w:val="0"/>
        <w:keepLines w:val="0"/>
        <w:pageBreakBefore w:val="0"/>
        <w:widowControl w:val="0"/>
        <w:numPr>
          <w:ilvl w:val="0"/>
          <w:numId w:val="2"/>
        </w:numPr>
        <w:kinsoku/>
        <w:wordWrap/>
        <w:overflowPunct/>
        <w:topLinePunct w:val="0"/>
        <w:autoSpaceDE/>
        <w:autoSpaceDN/>
        <w:bidi w:val="0"/>
        <w:adjustRightInd/>
        <w:snapToGrid/>
        <w:spacing w:after="0" w:afterAutospacing="0" w:line="360" w:lineRule="auto"/>
        <w:ind w:firstLine="480"/>
        <w:textAlignment w:val="auto"/>
        <w:rPr>
          <w:rFonts w:ascii="宋体" w:hAnsi="宋体" w:cs="宋体"/>
          <w:color w:val="auto"/>
          <w:sz w:val="24"/>
          <w:highlight w:val="none"/>
        </w:rPr>
      </w:pPr>
      <w:r>
        <w:rPr>
          <w:rFonts w:hint="eastAsia" w:ascii="宋体" w:hAnsi="宋体" w:cs="宋体"/>
          <w:color w:val="auto"/>
          <w:sz w:val="24"/>
          <w:highlight w:val="none"/>
        </w:rPr>
        <w:t>联合体：</w:t>
      </w:r>
      <w:r>
        <w:rPr>
          <w:rFonts w:hint="eastAsia" w:ascii="宋体" w:hAnsi="宋体" w:cs="宋体"/>
          <w:color w:val="auto"/>
          <w:sz w:val="24"/>
          <w:highlight w:val="none"/>
          <w:lang w:val="en-US" w:eastAsia="zh-CN"/>
        </w:rPr>
        <w:t>A包B包不接受联合体，C包接受联合体；</w:t>
      </w:r>
      <w:r>
        <w:rPr>
          <w:rFonts w:hint="eastAsia" w:ascii="宋体" w:hAnsi="宋体" w:cs="宋体"/>
          <w:b/>
          <w:bCs/>
          <w:color w:val="auto"/>
          <w:sz w:val="24"/>
          <w:highlight w:val="none"/>
          <w:lang w:val="en-US" w:eastAsia="zh-CN"/>
        </w:rPr>
        <w:t>（</w:t>
      </w:r>
      <w:r>
        <w:rPr>
          <w:rFonts w:hint="eastAsia" w:ascii="宋体" w:hAnsi="宋体" w:cs="宋体"/>
          <w:b/>
          <w:bCs/>
          <w:color w:val="auto"/>
          <w:sz w:val="24"/>
          <w:highlight w:val="none"/>
          <w:lang w:eastAsia="zh-CN"/>
        </w:rPr>
        <w:t>联合体组成家数不能超过2家）</w:t>
      </w:r>
      <w:r>
        <w:rPr>
          <w:rFonts w:hint="eastAsia" w:ascii="宋体" w:hAnsi="宋体" w:cs="宋体"/>
          <w:color w:val="auto"/>
          <w:sz w:val="24"/>
          <w:highlight w:val="none"/>
        </w:rPr>
        <w:t>。</w:t>
      </w:r>
    </w:p>
    <w:p w14:paraId="0CFC863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4"/>
          <w:highlight w:val="none"/>
          <w:lang w:eastAsia="zh-CN"/>
        </w:rPr>
      </w:pPr>
      <w:r>
        <w:rPr>
          <w:rFonts w:hint="eastAsia" w:ascii="宋体" w:hAnsi="宋体" w:cs="宋体"/>
          <w:b/>
          <w:bCs/>
          <w:color w:val="auto"/>
          <w:sz w:val="24"/>
          <w:highlight w:val="none"/>
        </w:rPr>
        <w:t>二、申请人的资格要求</w:t>
      </w:r>
    </w:p>
    <w:p w14:paraId="6B9E790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1.满足《中华人民共和国政府采购法》第二十二条规定</w:t>
      </w:r>
      <w:r>
        <w:rPr>
          <w:rFonts w:ascii="Tahoma" w:hAnsi="Tahoma" w:eastAsia="Tahoma" w:cs="Tahoma"/>
          <w:b/>
          <w:bCs/>
          <w:i w:val="0"/>
          <w:iCs w:val="0"/>
          <w:caps w:val="0"/>
          <w:color w:val="000000"/>
          <w:spacing w:val="0"/>
          <w:sz w:val="24"/>
          <w:szCs w:val="24"/>
        </w:rPr>
        <w:t>（</w:t>
      </w:r>
      <w:r>
        <w:rPr>
          <w:rFonts w:hint="default" w:ascii="Tahoma" w:hAnsi="Tahoma" w:eastAsia="Tahoma" w:cs="Tahoma"/>
          <w:b/>
          <w:bCs/>
          <w:i w:val="0"/>
          <w:iCs w:val="0"/>
          <w:caps w:val="0"/>
          <w:color w:val="000000"/>
          <w:spacing w:val="0"/>
          <w:sz w:val="24"/>
          <w:szCs w:val="24"/>
        </w:rPr>
        <w:t>如为联合体，联合体双方都应提供）</w:t>
      </w:r>
      <w:r>
        <w:rPr>
          <w:rFonts w:hint="eastAsia" w:ascii="宋体" w:hAnsi="宋体" w:cs="宋体"/>
          <w:color w:val="auto"/>
          <w:sz w:val="24"/>
          <w:highlight w:val="none"/>
        </w:rPr>
        <w:t>；</w:t>
      </w:r>
    </w:p>
    <w:p w14:paraId="74B006D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w:t>
      </w:r>
      <w:r>
        <w:rPr>
          <w:rFonts w:hint="eastAsia" w:ascii="宋体" w:cs="宋体"/>
          <w:color w:val="auto"/>
          <w:sz w:val="24"/>
          <w:highlight w:val="none"/>
          <w:shd w:val="clear" w:color="auto" w:fill="FFFFFF"/>
        </w:rPr>
        <w:t>采购项目需要落实的政府采购政策</w:t>
      </w:r>
      <w:r>
        <w:rPr>
          <w:rFonts w:hint="eastAsia" w:ascii="宋体" w:hAnsi="宋体" w:cs="宋体"/>
          <w:color w:val="auto"/>
          <w:sz w:val="24"/>
          <w:highlight w:val="none"/>
        </w:rPr>
        <w:t>：</w:t>
      </w:r>
      <w:r>
        <w:rPr>
          <w:rFonts w:hint="eastAsia" w:ascii="宋体" w:cs="宋体"/>
          <w:color w:val="auto"/>
          <w:sz w:val="24"/>
          <w:highlight w:val="none"/>
          <w:shd w:val="clear" w:color="auto" w:fill="FFFFFF"/>
        </w:rPr>
        <w:t>落实</w:t>
      </w:r>
      <w:r>
        <w:rPr>
          <w:rFonts w:hint="eastAsia" w:ascii="宋体" w:hAnsi="宋体" w:cs="宋体"/>
          <w:color w:val="auto"/>
          <w:sz w:val="24"/>
          <w:szCs w:val="24"/>
          <w:highlight w:val="none"/>
          <w:shd w:val="clear" w:color="040000" w:fill="FFFFFF"/>
        </w:rPr>
        <w:t>《政府采购促进中小企业发展管理办法》、《财政部发展改革委生态环境部市场监管总局关于调整优化节能产品、环境标志产品政府采购执行机制的通知》、《关于信息安全产品实施政府采购的通知》、《关于促进残疾人就业政府采购政策的通知》、《财政部司法部关于政府采购支持监狱企业发展有关问题的通知》</w:t>
      </w:r>
      <w:r>
        <w:rPr>
          <w:rFonts w:ascii="宋体" w:cs="宋体"/>
          <w:color w:val="auto"/>
          <w:sz w:val="24"/>
          <w:highlight w:val="none"/>
          <w:shd w:val="clear" w:color="auto" w:fill="FFFFFF"/>
        </w:rPr>
        <w:t>等政府采购优惠政策</w:t>
      </w:r>
      <w:r>
        <w:rPr>
          <w:rFonts w:hint="eastAsia" w:ascii="宋体" w:hAnsi="宋体" w:cs="宋体"/>
          <w:b/>
          <w:bCs/>
          <w:color w:val="auto"/>
          <w:sz w:val="24"/>
          <w:highlight w:val="none"/>
          <w:lang w:eastAsia="zh-CN"/>
        </w:rPr>
        <w:t>（</w:t>
      </w:r>
      <w:r>
        <w:rPr>
          <w:rFonts w:hint="eastAsia" w:ascii="宋体" w:hAnsi="宋体" w:cs="宋体"/>
          <w:b/>
          <w:bCs/>
          <w:color w:val="auto"/>
          <w:sz w:val="24"/>
          <w:highlight w:val="none"/>
          <w:lang w:val="en-US" w:eastAsia="zh-CN"/>
        </w:rPr>
        <w:t>如为联合体，联合体双方都应提供</w:t>
      </w:r>
      <w:r>
        <w:rPr>
          <w:rFonts w:hint="eastAsia" w:ascii="宋体" w:hAnsi="宋体" w:cs="宋体"/>
          <w:b/>
          <w:bCs/>
          <w:color w:val="auto"/>
          <w:sz w:val="24"/>
          <w:highlight w:val="none"/>
          <w:lang w:eastAsia="zh-CN"/>
        </w:rPr>
        <w:t>）</w:t>
      </w:r>
      <w:r>
        <w:rPr>
          <w:rFonts w:hint="eastAsia" w:ascii="宋体" w:cs="宋体"/>
          <w:color w:val="auto"/>
          <w:sz w:val="24"/>
          <w:highlight w:val="none"/>
          <w:shd w:val="clear" w:color="auto" w:fill="FFFFFF"/>
        </w:rPr>
        <w:t>。</w:t>
      </w:r>
    </w:p>
    <w:p w14:paraId="3D92330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highlight w:val="none"/>
          <w:shd w:val="clear" w:color="auto" w:fill="FFFFFF"/>
        </w:rPr>
      </w:pPr>
      <w:r>
        <w:rPr>
          <w:rFonts w:hint="eastAsia" w:ascii="宋体" w:hAnsi="宋体" w:cs="宋体"/>
          <w:color w:val="auto"/>
          <w:sz w:val="24"/>
          <w:highlight w:val="none"/>
        </w:rPr>
        <w:t>3.本项目的特定资格要求：</w:t>
      </w:r>
    </w:p>
    <w:p w14:paraId="2EBBCF77">
      <w:pPr>
        <w:keepNext w:val="0"/>
        <w:keepLines w:val="0"/>
        <w:pageBreakBefore w:val="0"/>
        <w:widowControl w:val="0"/>
        <w:kinsoku/>
        <w:wordWrap/>
        <w:overflowPunct/>
        <w:topLinePunct w:val="0"/>
        <w:autoSpaceDE/>
        <w:autoSpaceDN/>
        <w:bidi w:val="0"/>
        <w:adjustRightInd/>
        <w:snapToGrid/>
        <w:spacing w:line="360" w:lineRule="auto"/>
        <w:ind w:firstLine="460" w:firstLineChars="192"/>
        <w:textAlignment w:val="auto"/>
        <w:rPr>
          <w:rFonts w:ascii="宋体" w:cs="宋体"/>
          <w:color w:val="auto"/>
          <w:sz w:val="24"/>
          <w:highlight w:val="none"/>
          <w:shd w:val="clear" w:color="auto" w:fill="FFFFFF"/>
        </w:rPr>
      </w:pPr>
      <w:r>
        <w:rPr>
          <w:rFonts w:hint="eastAsia" w:ascii="宋体" w:cs="宋体"/>
          <w:color w:val="auto"/>
          <w:sz w:val="24"/>
          <w:highlight w:val="none"/>
          <w:shd w:val="clear" w:color="auto" w:fill="FFFFFF"/>
        </w:rPr>
        <w:t>（1）在中华人民共和国注册，具有独立承担民事责任能力的供应商（注：①投标人若为企业法人：提供有效的“统一社会信用代码营业执照”；②若为事业法人：提供有效的“统一社会信用代码法人登记证书”；③若为其他组织：提供“对应主管部门颁发的准许执业证明文件或营业执照”；④若为自然人的，提供“身份证明文件”；以上均提供复印件加盖公章</w:t>
      </w:r>
      <w:r>
        <w:rPr>
          <w:rFonts w:hint="eastAsia" w:ascii="宋体" w:hAnsi="宋体" w:cs="宋体"/>
          <w:b/>
          <w:bCs/>
          <w:color w:val="auto"/>
          <w:sz w:val="24"/>
          <w:highlight w:val="none"/>
          <w:lang w:eastAsia="zh-CN"/>
        </w:rPr>
        <w:t>（</w:t>
      </w:r>
      <w:r>
        <w:rPr>
          <w:rFonts w:hint="eastAsia" w:ascii="宋体" w:hAnsi="宋体" w:cs="宋体"/>
          <w:b/>
          <w:bCs/>
          <w:color w:val="auto"/>
          <w:sz w:val="24"/>
          <w:highlight w:val="none"/>
          <w:lang w:val="en-US" w:eastAsia="zh-CN"/>
        </w:rPr>
        <w:t>如为联合体，联合体双方都应提供</w:t>
      </w:r>
      <w:r>
        <w:rPr>
          <w:rFonts w:hint="eastAsia" w:ascii="宋体" w:hAnsi="宋体" w:cs="宋体"/>
          <w:b/>
          <w:bCs/>
          <w:color w:val="auto"/>
          <w:sz w:val="24"/>
          <w:highlight w:val="none"/>
          <w:lang w:eastAsia="zh-CN"/>
        </w:rPr>
        <w:t>）</w:t>
      </w:r>
      <w:r>
        <w:rPr>
          <w:rFonts w:hint="eastAsia" w:ascii="宋体" w:cs="宋体"/>
          <w:color w:val="auto"/>
          <w:sz w:val="24"/>
          <w:highlight w:val="none"/>
          <w:shd w:val="clear" w:color="auto" w:fill="FFFFFF"/>
        </w:rPr>
        <w:t>）；</w:t>
      </w:r>
    </w:p>
    <w:p w14:paraId="15DF52EB">
      <w:pPr>
        <w:keepNext w:val="0"/>
        <w:keepLines w:val="0"/>
        <w:pageBreakBefore w:val="0"/>
        <w:widowControl w:val="0"/>
        <w:kinsoku/>
        <w:wordWrap/>
        <w:overflowPunct/>
        <w:topLinePunct w:val="0"/>
        <w:autoSpaceDE/>
        <w:autoSpaceDN/>
        <w:bidi w:val="0"/>
        <w:adjustRightInd/>
        <w:snapToGrid/>
        <w:spacing w:line="360" w:lineRule="auto"/>
        <w:ind w:firstLine="460" w:firstLineChars="192"/>
        <w:textAlignment w:val="auto"/>
        <w:rPr>
          <w:rFonts w:ascii="宋体" w:cs="宋体"/>
          <w:color w:val="auto"/>
          <w:sz w:val="24"/>
          <w:highlight w:val="none"/>
          <w:shd w:val="clear" w:color="auto" w:fill="FFFFFF"/>
        </w:rPr>
      </w:pPr>
      <w:r>
        <w:rPr>
          <w:rFonts w:hint="eastAsia" w:ascii="宋体" w:cs="宋体"/>
          <w:color w:val="auto"/>
          <w:sz w:val="24"/>
          <w:highlight w:val="none"/>
          <w:shd w:val="clear" w:color="auto" w:fill="FFFFFF"/>
        </w:rPr>
        <w:t>（2）具有良好的商业信誉和健全的财务会计制度</w:t>
      </w:r>
      <w:r>
        <w:rPr>
          <w:rFonts w:hint="eastAsia" w:ascii="宋体" w:cs="宋体"/>
          <w:b/>
          <w:bCs/>
          <w:color w:val="auto"/>
          <w:sz w:val="24"/>
          <w:highlight w:val="none"/>
          <w:shd w:val="clear" w:color="auto" w:fill="FFFFFF"/>
        </w:rPr>
        <w:t>（提供承诺函加盖公章，格式自拟</w:t>
      </w:r>
      <w:r>
        <w:rPr>
          <w:rFonts w:hint="eastAsia" w:ascii="宋体" w:hAnsi="宋体" w:cs="宋体"/>
          <w:b/>
          <w:bCs/>
          <w:color w:val="auto"/>
          <w:sz w:val="24"/>
          <w:highlight w:val="none"/>
          <w:lang w:eastAsia="zh-CN"/>
        </w:rPr>
        <w:t>（</w:t>
      </w:r>
      <w:r>
        <w:rPr>
          <w:rFonts w:hint="eastAsia" w:ascii="宋体" w:hAnsi="宋体" w:cs="宋体"/>
          <w:b/>
          <w:bCs/>
          <w:color w:val="auto"/>
          <w:sz w:val="24"/>
          <w:highlight w:val="none"/>
          <w:lang w:val="en-US" w:eastAsia="zh-CN"/>
        </w:rPr>
        <w:t>如为联合体，联合体双方都应提供</w:t>
      </w:r>
      <w:r>
        <w:rPr>
          <w:rFonts w:hint="eastAsia" w:ascii="宋体" w:hAnsi="宋体" w:cs="宋体"/>
          <w:b/>
          <w:bCs/>
          <w:color w:val="auto"/>
          <w:sz w:val="24"/>
          <w:highlight w:val="none"/>
          <w:lang w:eastAsia="zh-CN"/>
        </w:rPr>
        <w:t>）</w:t>
      </w:r>
      <w:r>
        <w:rPr>
          <w:rFonts w:hint="eastAsia" w:ascii="宋体" w:cs="宋体"/>
          <w:b/>
          <w:bCs/>
          <w:color w:val="auto"/>
          <w:sz w:val="24"/>
          <w:highlight w:val="none"/>
          <w:shd w:val="clear" w:color="auto" w:fill="FFFFFF"/>
        </w:rPr>
        <w:t>）</w:t>
      </w:r>
      <w:r>
        <w:rPr>
          <w:rFonts w:hint="eastAsia" w:ascii="宋体" w:cs="宋体"/>
          <w:color w:val="auto"/>
          <w:sz w:val="24"/>
          <w:highlight w:val="none"/>
          <w:shd w:val="clear" w:color="auto" w:fill="FFFFFF"/>
        </w:rPr>
        <w:t>；</w:t>
      </w:r>
    </w:p>
    <w:p w14:paraId="2EF97E90">
      <w:pPr>
        <w:keepNext w:val="0"/>
        <w:keepLines w:val="0"/>
        <w:pageBreakBefore w:val="0"/>
        <w:widowControl w:val="0"/>
        <w:kinsoku/>
        <w:wordWrap/>
        <w:overflowPunct/>
        <w:topLinePunct w:val="0"/>
        <w:autoSpaceDE/>
        <w:autoSpaceDN/>
        <w:bidi w:val="0"/>
        <w:adjustRightInd/>
        <w:snapToGrid/>
        <w:spacing w:line="360" w:lineRule="auto"/>
        <w:ind w:firstLine="460" w:firstLineChars="192"/>
        <w:textAlignment w:val="auto"/>
        <w:rPr>
          <w:rFonts w:ascii="宋体" w:cs="宋体"/>
          <w:color w:val="auto"/>
          <w:sz w:val="24"/>
          <w:highlight w:val="none"/>
          <w:shd w:val="clear" w:color="auto" w:fill="FFFFFF"/>
        </w:rPr>
      </w:pPr>
      <w:r>
        <w:rPr>
          <w:rFonts w:hint="eastAsia" w:ascii="宋体" w:cs="宋体"/>
          <w:color w:val="auto"/>
          <w:sz w:val="24"/>
          <w:highlight w:val="none"/>
          <w:shd w:val="clear" w:color="auto" w:fill="FFFFFF"/>
        </w:rPr>
        <w:t>（3）具有依法缴纳税收和社会保障资金的良好记录</w:t>
      </w:r>
      <w:r>
        <w:rPr>
          <w:rFonts w:hint="eastAsia" w:ascii="宋体" w:cs="宋体"/>
          <w:b/>
          <w:bCs/>
          <w:color w:val="auto"/>
          <w:sz w:val="24"/>
          <w:highlight w:val="none"/>
          <w:shd w:val="clear" w:color="auto" w:fill="FFFFFF"/>
        </w:rPr>
        <w:t>（提供承诺函加盖公章，格式自拟</w:t>
      </w:r>
      <w:r>
        <w:rPr>
          <w:rFonts w:hint="eastAsia" w:ascii="宋体" w:hAnsi="宋体" w:cs="宋体"/>
          <w:b/>
          <w:bCs/>
          <w:color w:val="auto"/>
          <w:sz w:val="24"/>
          <w:highlight w:val="none"/>
          <w:lang w:eastAsia="zh-CN"/>
        </w:rPr>
        <w:t>（</w:t>
      </w:r>
      <w:r>
        <w:rPr>
          <w:rFonts w:hint="eastAsia" w:ascii="宋体" w:hAnsi="宋体" w:cs="宋体"/>
          <w:b/>
          <w:bCs/>
          <w:color w:val="auto"/>
          <w:sz w:val="24"/>
          <w:highlight w:val="none"/>
          <w:lang w:val="en-US" w:eastAsia="zh-CN"/>
        </w:rPr>
        <w:t>如为联合体，联合体双方都应提供</w:t>
      </w:r>
      <w:r>
        <w:rPr>
          <w:rFonts w:hint="eastAsia" w:ascii="宋体" w:hAnsi="宋体" w:cs="宋体"/>
          <w:b/>
          <w:bCs/>
          <w:color w:val="auto"/>
          <w:sz w:val="24"/>
          <w:highlight w:val="none"/>
          <w:lang w:eastAsia="zh-CN"/>
        </w:rPr>
        <w:t>）</w:t>
      </w:r>
      <w:r>
        <w:rPr>
          <w:rFonts w:hint="eastAsia" w:ascii="宋体" w:cs="宋体"/>
          <w:b/>
          <w:bCs/>
          <w:color w:val="auto"/>
          <w:sz w:val="24"/>
          <w:highlight w:val="none"/>
          <w:shd w:val="clear" w:color="auto" w:fill="FFFFFF"/>
        </w:rPr>
        <w:t>）</w:t>
      </w:r>
      <w:r>
        <w:rPr>
          <w:rFonts w:hint="eastAsia" w:ascii="宋体" w:cs="宋体"/>
          <w:color w:val="auto"/>
          <w:sz w:val="24"/>
          <w:highlight w:val="none"/>
          <w:shd w:val="clear" w:color="auto" w:fill="FFFFFF"/>
        </w:rPr>
        <w:t>；</w:t>
      </w:r>
    </w:p>
    <w:p w14:paraId="53A63F76">
      <w:pPr>
        <w:keepNext w:val="0"/>
        <w:keepLines w:val="0"/>
        <w:pageBreakBefore w:val="0"/>
        <w:widowControl w:val="0"/>
        <w:tabs>
          <w:tab w:val="left" w:pos="6300"/>
        </w:tabs>
        <w:kinsoku/>
        <w:wordWrap/>
        <w:overflowPunct/>
        <w:topLinePunct w:val="0"/>
        <w:autoSpaceDE/>
        <w:autoSpaceDN/>
        <w:bidi w:val="0"/>
        <w:adjustRightInd/>
        <w:snapToGrid/>
        <w:spacing w:line="360" w:lineRule="auto"/>
        <w:ind w:firstLine="460" w:firstLineChars="192"/>
        <w:textAlignment w:val="auto"/>
        <w:rPr>
          <w:rFonts w:ascii="宋体" w:cs="宋体"/>
          <w:color w:val="auto"/>
          <w:sz w:val="24"/>
          <w:highlight w:val="none"/>
          <w:shd w:val="clear" w:color="auto" w:fill="FFFFFF"/>
        </w:rPr>
      </w:pPr>
      <w:r>
        <w:rPr>
          <w:rFonts w:hint="eastAsia" w:ascii="宋体" w:cs="宋体"/>
          <w:color w:val="auto"/>
          <w:sz w:val="24"/>
          <w:highlight w:val="none"/>
          <w:shd w:val="clear" w:color="auto" w:fill="FFFFFF"/>
        </w:rPr>
        <w:t>（4）供应商参加政府采购活动前三年内，在经营活动中没有重大违法记录和环保类行政处罚记录</w:t>
      </w:r>
      <w:r>
        <w:rPr>
          <w:rFonts w:hint="eastAsia" w:ascii="宋体" w:cs="宋体"/>
          <w:b/>
          <w:bCs/>
          <w:color w:val="auto"/>
          <w:sz w:val="24"/>
          <w:highlight w:val="none"/>
          <w:shd w:val="clear" w:color="auto" w:fill="FFFFFF"/>
        </w:rPr>
        <w:t>（提供声明函加盖公章，供应商注册成立时间不足三年的，从注册时间起算</w:t>
      </w:r>
      <w:r>
        <w:rPr>
          <w:rFonts w:hint="eastAsia" w:ascii="宋体" w:hAnsi="宋体" w:cs="宋体"/>
          <w:b/>
          <w:bCs/>
          <w:color w:val="auto"/>
          <w:sz w:val="24"/>
          <w:highlight w:val="none"/>
          <w:lang w:eastAsia="zh-CN"/>
        </w:rPr>
        <w:t>（</w:t>
      </w:r>
      <w:r>
        <w:rPr>
          <w:rFonts w:hint="eastAsia" w:ascii="宋体" w:hAnsi="宋体" w:cs="宋体"/>
          <w:b/>
          <w:bCs/>
          <w:color w:val="auto"/>
          <w:sz w:val="24"/>
          <w:highlight w:val="none"/>
          <w:lang w:val="en-US" w:eastAsia="zh-CN"/>
        </w:rPr>
        <w:t>如为联合体，联合体双方都应提供</w:t>
      </w:r>
      <w:r>
        <w:rPr>
          <w:rFonts w:hint="eastAsia" w:ascii="宋体" w:hAnsi="宋体" w:cs="宋体"/>
          <w:b/>
          <w:bCs/>
          <w:color w:val="auto"/>
          <w:sz w:val="24"/>
          <w:highlight w:val="none"/>
          <w:lang w:eastAsia="zh-CN"/>
        </w:rPr>
        <w:t>）</w:t>
      </w:r>
      <w:r>
        <w:rPr>
          <w:rFonts w:hint="eastAsia" w:ascii="宋体" w:cs="宋体"/>
          <w:b/>
          <w:bCs/>
          <w:color w:val="auto"/>
          <w:sz w:val="24"/>
          <w:highlight w:val="none"/>
          <w:shd w:val="clear" w:color="auto" w:fill="FFFFFF"/>
        </w:rPr>
        <w:t>）</w:t>
      </w:r>
      <w:r>
        <w:rPr>
          <w:rFonts w:hint="eastAsia" w:ascii="宋体" w:cs="宋体"/>
          <w:color w:val="auto"/>
          <w:sz w:val="24"/>
          <w:highlight w:val="none"/>
          <w:shd w:val="clear" w:color="auto" w:fill="FFFFFF"/>
        </w:rPr>
        <w:t>；</w:t>
      </w:r>
    </w:p>
    <w:p w14:paraId="5ABF11C3">
      <w:pPr>
        <w:keepNext w:val="0"/>
        <w:keepLines w:val="0"/>
        <w:pageBreakBefore w:val="0"/>
        <w:widowControl w:val="0"/>
        <w:kinsoku/>
        <w:wordWrap/>
        <w:overflowPunct/>
        <w:topLinePunct w:val="0"/>
        <w:autoSpaceDE/>
        <w:autoSpaceDN/>
        <w:bidi w:val="0"/>
        <w:adjustRightInd/>
        <w:snapToGrid/>
        <w:spacing w:line="360" w:lineRule="auto"/>
        <w:ind w:firstLine="460" w:firstLineChars="192"/>
        <w:textAlignment w:val="auto"/>
        <w:rPr>
          <w:rFonts w:ascii="宋体" w:cs="宋体"/>
          <w:color w:val="auto"/>
          <w:sz w:val="24"/>
          <w:highlight w:val="none"/>
          <w:shd w:val="clear" w:color="auto" w:fill="FFFFFF"/>
        </w:rPr>
      </w:pPr>
      <w:r>
        <w:rPr>
          <w:rFonts w:hint="eastAsia" w:ascii="宋体" w:cs="宋体"/>
          <w:color w:val="auto"/>
          <w:sz w:val="24"/>
          <w:highlight w:val="none"/>
          <w:shd w:val="clear" w:color="auto" w:fill="FFFFFF"/>
        </w:rPr>
        <w:t>（5）供应商应具有履行合同所必需的设备和专业技术能力</w:t>
      </w:r>
      <w:r>
        <w:rPr>
          <w:rFonts w:hint="eastAsia" w:ascii="宋体" w:cs="宋体"/>
          <w:b/>
          <w:bCs/>
          <w:color w:val="auto"/>
          <w:sz w:val="24"/>
          <w:highlight w:val="none"/>
          <w:shd w:val="clear" w:color="auto" w:fill="FFFFFF"/>
        </w:rPr>
        <w:t>(提供承诺函加盖公章</w:t>
      </w:r>
      <w:r>
        <w:rPr>
          <w:rFonts w:hint="eastAsia" w:ascii="宋体" w:hAnsi="宋体" w:cs="宋体"/>
          <w:b/>
          <w:bCs/>
          <w:color w:val="auto"/>
          <w:sz w:val="24"/>
          <w:highlight w:val="none"/>
          <w:lang w:eastAsia="zh-CN"/>
        </w:rPr>
        <w:t>（</w:t>
      </w:r>
      <w:r>
        <w:rPr>
          <w:rFonts w:hint="eastAsia" w:ascii="宋体" w:hAnsi="宋体" w:cs="宋体"/>
          <w:b/>
          <w:bCs/>
          <w:color w:val="auto"/>
          <w:sz w:val="24"/>
          <w:highlight w:val="none"/>
          <w:lang w:val="en-US" w:eastAsia="zh-CN"/>
        </w:rPr>
        <w:t>如为联合体，联合体双方都应提供</w:t>
      </w:r>
      <w:r>
        <w:rPr>
          <w:rFonts w:hint="eastAsia" w:ascii="宋体" w:hAnsi="宋体" w:cs="宋体"/>
          <w:b/>
          <w:bCs/>
          <w:color w:val="auto"/>
          <w:sz w:val="24"/>
          <w:highlight w:val="none"/>
          <w:lang w:eastAsia="zh-CN"/>
        </w:rPr>
        <w:t>）</w:t>
      </w:r>
      <w:r>
        <w:rPr>
          <w:rFonts w:hint="eastAsia" w:ascii="宋体" w:cs="宋体"/>
          <w:b/>
          <w:bCs/>
          <w:color w:val="auto"/>
          <w:sz w:val="24"/>
          <w:highlight w:val="none"/>
          <w:shd w:val="clear" w:color="auto" w:fill="FFFFFF"/>
        </w:rPr>
        <w:t>)</w:t>
      </w:r>
      <w:r>
        <w:rPr>
          <w:rFonts w:hint="eastAsia" w:ascii="宋体" w:cs="宋体"/>
          <w:color w:val="auto"/>
          <w:sz w:val="24"/>
          <w:highlight w:val="none"/>
          <w:shd w:val="clear" w:color="auto" w:fill="FFFFFF"/>
        </w:rPr>
        <w:t>；</w:t>
      </w:r>
    </w:p>
    <w:p w14:paraId="6847EB50">
      <w:pPr>
        <w:keepNext w:val="0"/>
        <w:keepLines w:val="0"/>
        <w:pageBreakBefore w:val="0"/>
        <w:widowControl w:val="0"/>
        <w:kinsoku/>
        <w:wordWrap/>
        <w:overflowPunct/>
        <w:topLinePunct w:val="0"/>
        <w:autoSpaceDE/>
        <w:autoSpaceDN/>
        <w:bidi w:val="0"/>
        <w:adjustRightInd/>
        <w:snapToGrid/>
        <w:spacing w:line="360" w:lineRule="auto"/>
        <w:ind w:firstLine="460" w:firstLineChars="192"/>
        <w:textAlignment w:val="auto"/>
        <w:rPr>
          <w:rFonts w:ascii="宋体" w:cs="宋体"/>
          <w:color w:val="auto"/>
          <w:sz w:val="24"/>
          <w:highlight w:val="none"/>
          <w:shd w:val="clear" w:color="auto" w:fill="FFFFFF"/>
        </w:rPr>
      </w:pPr>
      <w:r>
        <w:rPr>
          <w:rFonts w:hint="eastAsia" w:ascii="宋体" w:cs="宋体"/>
          <w:color w:val="auto"/>
          <w:sz w:val="24"/>
          <w:highlight w:val="none"/>
          <w:shd w:val="clear" w:color="auto" w:fill="FFFFFF"/>
        </w:rPr>
        <w:t>（6）必须为未被列入信用中国网站(www.creditchina.gov.cn)的“重大税收违法失信主体”、“政府采购严重违法失信行为记录名单”和中国政府采购网(www.ccgp.gov.cn)的“政府采购严重违法失信行为记录名单”以及中国执行信息公开网（http://zxgk.court.gov.cn/shixin/）“失信被执行人”的供应商</w:t>
      </w:r>
      <w:r>
        <w:rPr>
          <w:rFonts w:hint="eastAsia" w:ascii="宋体" w:cs="宋体"/>
          <w:b/>
          <w:bCs/>
          <w:color w:val="auto"/>
          <w:sz w:val="24"/>
          <w:highlight w:val="none"/>
          <w:shd w:val="clear" w:color="auto" w:fill="FFFFFF"/>
        </w:rPr>
        <w:t>（提供承诺函加盖公章，格式自拟；采购人和代理机构于开标现场实时查询核实，若查询情况与承诺不一致，以实际查询为准</w:t>
      </w:r>
      <w:r>
        <w:rPr>
          <w:rFonts w:hint="eastAsia" w:ascii="宋体" w:hAnsi="宋体" w:cs="宋体"/>
          <w:b/>
          <w:bCs/>
          <w:color w:val="auto"/>
          <w:sz w:val="24"/>
          <w:highlight w:val="none"/>
          <w:lang w:eastAsia="zh-CN"/>
        </w:rPr>
        <w:t>（</w:t>
      </w:r>
      <w:r>
        <w:rPr>
          <w:rFonts w:hint="eastAsia" w:ascii="宋体" w:hAnsi="宋体" w:cs="宋体"/>
          <w:b/>
          <w:bCs/>
          <w:color w:val="auto"/>
          <w:sz w:val="24"/>
          <w:highlight w:val="none"/>
          <w:lang w:val="en-US" w:eastAsia="zh-CN"/>
        </w:rPr>
        <w:t>如为联合体，联合体双方都应提供</w:t>
      </w:r>
      <w:r>
        <w:rPr>
          <w:rFonts w:hint="eastAsia" w:ascii="宋体" w:hAnsi="宋体" w:cs="宋体"/>
          <w:b/>
          <w:bCs/>
          <w:color w:val="auto"/>
          <w:sz w:val="24"/>
          <w:highlight w:val="none"/>
          <w:lang w:eastAsia="zh-CN"/>
        </w:rPr>
        <w:t>）</w:t>
      </w:r>
      <w:r>
        <w:rPr>
          <w:rFonts w:hint="eastAsia" w:ascii="宋体" w:cs="宋体"/>
          <w:b/>
          <w:bCs/>
          <w:color w:val="auto"/>
          <w:sz w:val="24"/>
          <w:highlight w:val="none"/>
          <w:shd w:val="clear" w:color="auto" w:fill="FFFFFF"/>
        </w:rPr>
        <w:t>）</w:t>
      </w:r>
      <w:r>
        <w:rPr>
          <w:rFonts w:hint="eastAsia" w:ascii="宋体" w:cs="宋体"/>
          <w:color w:val="auto"/>
          <w:sz w:val="24"/>
          <w:highlight w:val="none"/>
          <w:shd w:val="clear" w:color="auto" w:fill="FFFFFF"/>
        </w:rPr>
        <w:t>；</w:t>
      </w:r>
    </w:p>
    <w:p w14:paraId="39AD3D9A">
      <w:pPr>
        <w:keepNext w:val="0"/>
        <w:keepLines w:val="0"/>
        <w:pageBreakBefore w:val="0"/>
        <w:widowControl w:val="0"/>
        <w:kinsoku/>
        <w:wordWrap/>
        <w:overflowPunct/>
        <w:topLinePunct w:val="0"/>
        <w:autoSpaceDE/>
        <w:autoSpaceDN/>
        <w:bidi w:val="0"/>
        <w:adjustRightInd/>
        <w:snapToGrid/>
        <w:spacing w:line="360" w:lineRule="auto"/>
        <w:ind w:firstLine="460" w:firstLineChars="192"/>
        <w:textAlignment w:val="auto"/>
        <w:rPr>
          <w:rFonts w:ascii="宋体" w:cs="宋体"/>
          <w:color w:val="auto"/>
          <w:sz w:val="24"/>
          <w:highlight w:val="none"/>
          <w:shd w:val="clear" w:color="auto" w:fill="FFFFFF"/>
        </w:rPr>
      </w:pPr>
      <w:r>
        <w:rPr>
          <w:rFonts w:hint="eastAsia" w:ascii="宋体" w:cs="宋体"/>
          <w:color w:val="auto"/>
          <w:sz w:val="24"/>
          <w:highlight w:val="none"/>
          <w:shd w:val="clear" w:color="auto" w:fill="FFFFFF"/>
        </w:rPr>
        <w:t>（7）单位负责人为同一人或者存在直接控股、管理关系的不同供应商，或公司董事、监事和高级管理人员与</w:t>
      </w:r>
      <w:r>
        <w:rPr>
          <w:rFonts w:hint="eastAsia" w:ascii="宋体" w:cs="宋体"/>
          <w:color w:val="auto"/>
          <w:sz w:val="24"/>
          <w:highlight w:val="none"/>
          <w:shd w:val="clear" w:color="auto" w:fill="FFFFFF"/>
          <w:lang w:eastAsia="zh-CN"/>
        </w:rPr>
        <w:t>海口市琼山区振群幼儿园</w:t>
      </w:r>
      <w:r>
        <w:rPr>
          <w:rFonts w:hint="eastAsia" w:ascii="宋体" w:cs="宋体"/>
          <w:color w:val="auto"/>
          <w:sz w:val="24"/>
          <w:highlight w:val="none"/>
          <w:shd w:val="clear" w:color="auto" w:fill="FFFFFF"/>
        </w:rPr>
        <w:t>员工存在直系亲属关系的供应商，不得参加本项目的采购活动</w:t>
      </w:r>
      <w:r>
        <w:rPr>
          <w:rFonts w:hint="eastAsia" w:ascii="宋体" w:cs="宋体"/>
          <w:b/>
          <w:bCs/>
          <w:color w:val="auto"/>
          <w:sz w:val="24"/>
          <w:highlight w:val="none"/>
          <w:shd w:val="clear" w:color="auto" w:fill="FFFFFF"/>
        </w:rPr>
        <w:t>（提供承诺函</w:t>
      </w:r>
      <w:r>
        <w:rPr>
          <w:rFonts w:hint="eastAsia" w:ascii="宋体" w:cs="宋体"/>
          <w:b/>
          <w:bCs/>
          <w:color w:val="auto"/>
          <w:sz w:val="24"/>
          <w:highlight w:val="none"/>
          <w:shd w:val="clear" w:color="auto" w:fill="FFFFFF"/>
          <w:lang w:val="en-US" w:eastAsia="zh-CN"/>
        </w:rPr>
        <w:t>加盖公章</w:t>
      </w:r>
      <w:r>
        <w:rPr>
          <w:rFonts w:hint="eastAsia" w:ascii="宋体" w:hAnsi="宋体" w:cs="宋体"/>
          <w:b/>
          <w:bCs/>
          <w:color w:val="auto"/>
          <w:sz w:val="24"/>
          <w:highlight w:val="none"/>
          <w:lang w:eastAsia="zh-CN"/>
        </w:rPr>
        <w:t>（</w:t>
      </w:r>
      <w:r>
        <w:rPr>
          <w:rFonts w:hint="eastAsia" w:ascii="宋体" w:hAnsi="宋体" w:cs="宋体"/>
          <w:b/>
          <w:bCs/>
          <w:color w:val="auto"/>
          <w:sz w:val="24"/>
          <w:highlight w:val="none"/>
          <w:lang w:val="en-US" w:eastAsia="zh-CN"/>
        </w:rPr>
        <w:t>如为联合体，联合体双方都应提供</w:t>
      </w:r>
      <w:r>
        <w:rPr>
          <w:rFonts w:hint="eastAsia" w:ascii="宋体" w:hAnsi="宋体" w:cs="宋体"/>
          <w:b/>
          <w:bCs/>
          <w:color w:val="auto"/>
          <w:sz w:val="24"/>
          <w:highlight w:val="none"/>
          <w:lang w:eastAsia="zh-CN"/>
        </w:rPr>
        <w:t>）</w:t>
      </w:r>
      <w:r>
        <w:rPr>
          <w:rFonts w:hint="eastAsia" w:ascii="宋体" w:cs="宋体"/>
          <w:b/>
          <w:bCs/>
          <w:color w:val="auto"/>
          <w:sz w:val="24"/>
          <w:highlight w:val="none"/>
          <w:shd w:val="clear" w:color="auto" w:fill="FFFFFF"/>
        </w:rPr>
        <w:t>）</w:t>
      </w:r>
      <w:r>
        <w:rPr>
          <w:rFonts w:hint="eastAsia" w:ascii="宋体" w:cs="宋体"/>
          <w:color w:val="auto"/>
          <w:sz w:val="24"/>
          <w:highlight w:val="none"/>
          <w:shd w:val="clear" w:color="auto" w:fill="FFFFFF"/>
        </w:rPr>
        <w:t>；</w:t>
      </w:r>
    </w:p>
    <w:p w14:paraId="282872FA">
      <w:pPr>
        <w:widowControl w:val="0"/>
        <w:wordWrap/>
        <w:adjustRightInd/>
        <w:snapToGrid/>
        <w:spacing w:line="384" w:lineRule="auto"/>
        <w:ind w:firstLine="460" w:firstLineChars="192"/>
        <w:textAlignment w:val="auto"/>
        <w:rPr>
          <w:rFonts w:hint="eastAsia" w:ascii="宋体" w:cs="宋体"/>
          <w:color w:val="auto"/>
          <w:sz w:val="24"/>
          <w:highlight w:val="none"/>
          <w:shd w:val="clear" w:color="auto" w:fill="FFFFFF"/>
        </w:rPr>
      </w:pPr>
      <w:r>
        <w:rPr>
          <w:rFonts w:hint="eastAsia" w:ascii="宋体" w:cs="宋体"/>
          <w:color w:val="auto"/>
          <w:sz w:val="24"/>
          <w:highlight w:val="none"/>
          <w:shd w:val="clear" w:color="auto" w:fill="FFFFFF"/>
          <w:lang w:eastAsia="zh-CN"/>
        </w:rPr>
        <w:t>（</w:t>
      </w:r>
      <w:r>
        <w:rPr>
          <w:rFonts w:hint="eastAsia" w:ascii="宋体" w:cs="宋体"/>
          <w:color w:val="auto"/>
          <w:sz w:val="24"/>
          <w:highlight w:val="none"/>
          <w:shd w:val="clear" w:color="auto" w:fill="FFFFFF"/>
          <w:lang w:val="en-US" w:eastAsia="zh-CN"/>
        </w:rPr>
        <w:t>8）</w:t>
      </w:r>
      <w:r>
        <w:rPr>
          <w:rFonts w:hint="eastAsia" w:ascii="宋体" w:cs="宋体"/>
          <w:color w:val="auto"/>
          <w:sz w:val="24"/>
          <w:highlight w:val="none"/>
          <w:shd w:val="clear" w:color="auto" w:fill="FFFFFF"/>
        </w:rPr>
        <w:t>本项目不接受分包或转包。</w:t>
      </w:r>
      <w:r>
        <w:rPr>
          <w:rFonts w:hint="eastAsia" w:ascii="宋体" w:cs="宋体"/>
          <w:b/>
          <w:bCs/>
          <w:color w:val="auto"/>
          <w:sz w:val="24"/>
          <w:highlight w:val="none"/>
          <w:shd w:val="clear" w:color="auto" w:fill="FFFFFF"/>
        </w:rPr>
        <w:t>（提供承诺函加盖公章</w:t>
      </w:r>
      <w:r>
        <w:rPr>
          <w:rFonts w:hint="eastAsia" w:ascii="宋体" w:cs="宋体"/>
          <w:b/>
          <w:bCs/>
          <w:color w:val="auto"/>
          <w:sz w:val="24"/>
          <w:highlight w:val="none"/>
          <w:shd w:val="clear" w:color="auto" w:fill="FFFFFF"/>
          <w:lang w:eastAsia="zh-CN"/>
        </w:rPr>
        <w:t>，</w:t>
      </w:r>
      <w:r>
        <w:rPr>
          <w:rFonts w:hint="eastAsia" w:ascii="宋体" w:cs="宋体"/>
          <w:b/>
          <w:bCs/>
          <w:color w:val="auto"/>
          <w:sz w:val="24"/>
          <w:highlight w:val="none"/>
          <w:shd w:val="clear" w:color="auto" w:fill="FFFFFF"/>
        </w:rPr>
        <w:t>格式自拟</w:t>
      </w:r>
      <w:r>
        <w:rPr>
          <w:rFonts w:hint="eastAsia" w:ascii="宋体" w:hAnsi="宋体" w:cs="宋体"/>
          <w:b/>
          <w:bCs/>
          <w:color w:val="auto"/>
          <w:sz w:val="24"/>
          <w:highlight w:val="none"/>
          <w:lang w:eastAsia="zh-CN"/>
        </w:rPr>
        <w:t>（</w:t>
      </w:r>
      <w:r>
        <w:rPr>
          <w:rFonts w:hint="eastAsia" w:ascii="宋体" w:hAnsi="宋体" w:cs="宋体"/>
          <w:b/>
          <w:bCs/>
          <w:color w:val="auto"/>
          <w:sz w:val="24"/>
          <w:highlight w:val="none"/>
          <w:lang w:val="en-US" w:eastAsia="zh-CN"/>
        </w:rPr>
        <w:t>如为联合体，联合体双方都应提供</w:t>
      </w:r>
      <w:r>
        <w:rPr>
          <w:rFonts w:hint="eastAsia" w:ascii="宋体" w:hAnsi="宋体" w:cs="宋体"/>
          <w:b/>
          <w:bCs/>
          <w:color w:val="auto"/>
          <w:sz w:val="24"/>
          <w:highlight w:val="none"/>
          <w:lang w:eastAsia="zh-CN"/>
        </w:rPr>
        <w:t>）</w:t>
      </w:r>
      <w:r>
        <w:rPr>
          <w:rFonts w:hint="eastAsia" w:ascii="宋体" w:cs="宋体"/>
          <w:b/>
          <w:bCs/>
          <w:color w:val="auto"/>
          <w:sz w:val="24"/>
          <w:highlight w:val="none"/>
          <w:shd w:val="clear" w:color="auto" w:fill="FFFFFF"/>
        </w:rPr>
        <w:t>）</w:t>
      </w:r>
      <w:r>
        <w:rPr>
          <w:rFonts w:hint="eastAsia" w:ascii="宋体" w:cs="宋体"/>
          <w:b/>
          <w:bCs/>
          <w:color w:val="auto"/>
          <w:sz w:val="24"/>
          <w:highlight w:val="none"/>
          <w:shd w:val="clear" w:color="auto" w:fill="FFFFFF"/>
          <w:lang w:eastAsia="zh-CN"/>
        </w:rPr>
        <w:t>；</w:t>
      </w:r>
    </w:p>
    <w:p w14:paraId="5BF7724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s="宋体"/>
          <w:color w:val="auto"/>
          <w:sz w:val="24"/>
          <w:highlight w:val="none"/>
          <w:shd w:val="clear" w:color="auto" w:fill="FFFFFF"/>
        </w:rPr>
      </w:pPr>
      <w:r>
        <w:rPr>
          <w:rFonts w:hint="eastAsia" w:ascii="宋体" w:cs="宋体"/>
          <w:color w:val="auto"/>
          <w:sz w:val="24"/>
          <w:highlight w:val="none"/>
          <w:shd w:val="clear" w:color="auto" w:fill="FFFFFF"/>
        </w:rPr>
        <w:t>（</w:t>
      </w:r>
      <w:r>
        <w:rPr>
          <w:rFonts w:hint="eastAsia" w:ascii="宋体" w:cs="宋体"/>
          <w:color w:val="auto"/>
          <w:sz w:val="24"/>
          <w:highlight w:val="none"/>
          <w:shd w:val="clear" w:color="auto" w:fill="FFFFFF"/>
          <w:lang w:val="en-US" w:eastAsia="zh-CN"/>
        </w:rPr>
        <w:t>9</w:t>
      </w:r>
      <w:r>
        <w:rPr>
          <w:rFonts w:hint="eastAsia" w:ascii="宋体" w:cs="宋体"/>
          <w:color w:val="auto"/>
          <w:sz w:val="24"/>
          <w:highlight w:val="none"/>
          <w:shd w:val="clear" w:color="auto" w:fill="FFFFFF"/>
        </w:rPr>
        <w:t>）购买本项目磋商文件。</w:t>
      </w:r>
    </w:p>
    <w:p w14:paraId="19941DA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Times New Roman" w:eastAsia="宋体" w:cs="宋体"/>
          <w:color w:val="auto"/>
          <w:sz w:val="24"/>
          <w:highlight w:val="none"/>
          <w:shd w:val="clear" w:color="auto" w:fill="FFFFFF"/>
        </w:rPr>
      </w:pPr>
      <w:r>
        <w:rPr>
          <w:rFonts w:hint="eastAsia" w:ascii="宋体" w:hAnsi="Times New Roman" w:eastAsia="宋体" w:cs="宋体"/>
          <w:color w:val="auto"/>
          <w:sz w:val="24"/>
          <w:highlight w:val="none"/>
          <w:shd w:val="clear" w:color="auto" w:fill="FFFFFF"/>
          <w:lang w:eastAsia="zh-CN"/>
        </w:rPr>
        <w:t>（</w:t>
      </w:r>
      <w:r>
        <w:rPr>
          <w:rFonts w:hint="eastAsia" w:ascii="宋体" w:hAnsi="Times New Roman" w:eastAsia="宋体" w:cs="宋体"/>
          <w:color w:val="auto"/>
          <w:sz w:val="24"/>
          <w:highlight w:val="none"/>
          <w:shd w:val="clear" w:color="auto" w:fill="FFFFFF"/>
          <w:lang w:val="en-US" w:eastAsia="zh-CN"/>
        </w:rPr>
        <w:t>10</w:t>
      </w:r>
      <w:r>
        <w:rPr>
          <w:rFonts w:hint="eastAsia" w:ascii="宋体" w:hAnsi="Times New Roman" w:eastAsia="宋体" w:cs="宋体"/>
          <w:color w:val="auto"/>
          <w:sz w:val="24"/>
          <w:highlight w:val="none"/>
          <w:shd w:val="clear" w:color="auto" w:fill="FFFFFF"/>
          <w:lang w:eastAsia="zh-CN"/>
        </w:rPr>
        <w:t>）</w:t>
      </w:r>
      <w:r>
        <w:rPr>
          <w:rFonts w:hint="eastAsia" w:ascii="宋体" w:hAnsi="Times New Roman" w:eastAsia="宋体" w:cs="宋体"/>
          <w:color w:val="auto"/>
          <w:sz w:val="24"/>
          <w:highlight w:val="none"/>
          <w:shd w:val="clear" w:color="auto" w:fill="FFFFFF"/>
        </w:rPr>
        <w:t>联合体：</w:t>
      </w:r>
      <w:r>
        <w:rPr>
          <w:rFonts w:hint="eastAsia" w:ascii="宋体" w:hAnsi="Times New Roman" w:eastAsia="宋体" w:cs="宋体"/>
          <w:color w:val="auto"/>
          <w:sz w:val="24"/>
          <w:highlight w:val="none"/>
          <w:shd w:val="clear" w:color="auto" w:fill="FFFFFF"/>
          <w:lang w:val="en-US" w:eastAsia="zh-CN"/>
        </w:rPr>
        <w:t>①</w:t>
      </w:r>
      <w:r>
        <w:rPr>
          <w:rFonts w:hint="eastAsia" w:ascii="宋体" w:hAnsi="Times New Roman" w:eastAsia="宋体" w:cs="宋体"/>
          <w:color w:val="auto"/>
          <w:sz w:val="24"/>
          <w:highlight w:val="none"/>
          <w:shd w:val="clear" w:color="auto" w:fill="FFFFFF"/>
        </w:rPr>
        <w:t>两个以上供应商可以组成一个联合体，以一个投标人的身份参加投标。联合体应当确定其中一方为本次采购活动的牵头单位，代表联合体处理参加采购活动的一切事务。以联合体形式参加政府采购活动的，联合体各方不得再单独参加或者与其他供应商另外组成联合体参加同一合同项下的政府采购活动。</w:t>
      </w:r>
    </w:p>
    <w:p w14:paraId="2FFA626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Times New Roman" w:eastAsia="宋体" w:cs="宋体"/>
          <w:color w:val="auto"/>
          <w:sz w:val="24"/>
          <w:highlight w:val="none"/>
          <w:shd w:val="clear" w:color="auto" w:fill="FFFFFF"/>
        </w:rPr>
      </w:pPr>
      <w:r>
        <w:rPr>
          <w:rFonts w:hint="eastAsia" w:ascii="宋体" w:hAnsi="Times New Roman" w:eastAsia="宋体" w:cs="宋体"/>
          <w:color w:val="auto"/>
          <w:sz w:val="24"/>
          <w:highlight w:val="none"/>
          <w:shd w:val="clear" w:color="auto" w:fill="FFFFFF"/>
          <w:lang w:val="en-US" w:eastAsia="zh-CN"/>
        </w:rPr>
        <w:t>②</w:t>
      </w:r>
      <w:r>
        <w:rPr>
          <w:rFonts w:hint="eastAsia" w:ascii="宋体" w:hAnsi="Times New Roman" w:eastAsia="宋体" w:cs="宋体"/>
          <w:color w:val="auto"/>
          <w:sz w:val="24"/>
          <w:highlight w:val="none"/>
          <w:shd w:val="clear" w:color="auto" w:fill="FFFFFF"/>
        </w:rPr>
        <w:t>参加联合体的供应商均应当具备政府采购法第二十二条规定的条件，并应当向采购人提交联合协议，载明联合体各方承担的工作和义务。联合体中有同类资质的供应商按照联合体分工承担相同工作的，应当按照资质等级较低的供应商确定资质等级。按照联合体分工承担不同工作的供应商，应当具备承担对应工作内容的特定资格条件。</w:t>
      </w:r>
    </w:p>
    <w:p w14:paraId="41D11EB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Times New Roman" w:eastAsia="宋体" w:cs="宋体"/>
          <w:color w:val="auto"/>
          <w:sz w:val="24"/>
          <w:highlight w:val="none"/>
          <w:shd w:val="clear" w:color="auto" w:fill="FFFFFF"/>
        </w:rPr>
      </w:pPr>
      <w:r>
        <w:rPr>
          <w:rFonts w:hint="eastAsia" w:ascii="宋体" w:hAnsi="Times New Roman" w:eastAsia="宋体" w:cs="宋体"/>
          <w:color w:val="auto"/>
          <w:sz w:val="24"/>
          <w:highlight w:val="none"/>
          <w:shd w:val="clear" w:color="auto" w:fill="FFFFFF"/>
          <w:lang w:val="en-US" w:eastAsia="zh-CN"/>
        </w:rPr>
        <w:t>③</w:t>
      </w:r>
      <w:r>
        <w:rPr>
          <w:rFonts w:hint="eastAsia" w:ascii="宋体" w:hAnsi="Times New Roman" w:eastAsia="宋体" w:cs="宋体"/>
          <w:color w:val="auto"/>
          <w:sz w:val="24"/>
          <w:highlight w:val="none"/>
          <w:shd w:val="clear" w:color="auto" w:fill="FFFFFF"/>
        </w:rPr>
        <w:t>联合体各方应当共同与采购人签订采购合同，就采购合同约定的事项对采购人承担连带责任。</w:t>
      </w:r>
    </w:p>
    <w:p w14:paraId="0A714D1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Times New Roman" w:eastAsia="宋体" w:cs="宋体"/>
          <w:color w:val="auto"/>
          <w:sz w:val="24"/>
          <w:highlight w:val="none"/>
          <w:shd w:val="clear" w:color="auto" w:fill="FFFFFF"/>
          <w:lang w:val="en-US" w:eastAsia="zh-CN"/>
        </w:rPr>
      </w:pPr>
      <w:r>
        <w:rPr>
          <w:rFonts w:hint="eastAsia" w:ascii="宋体" w:hAnsi="Times New Roman" w:eastAsia="宋体" w:cs="宋体"/>
          <w:color w:val="auto"/>
          <w:sz w:val="24"/>
          <w:highlight w:val="none"/>
          <w:shd w:val="clear" w:color="auto" w:fill="FFFFFF"/>
          <w:lang w:val="en-US" w:eastAsia="zh-CN"/>
        </w:rPr>
        <w:t>④联合体组成家数不能超过2家。</w:t>
      </w:r>
    </w:p>
    <w:p w14:paraId="36CE31A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Times New Roman" w:eastAsia="宋体" w:cs="宋体"/>
          <w:color w:val="auto"/>
          <w:sz w:val="24"/>
          <w:highlight w:val="none"/>
          <w:shd w:val="clear" w:color="auto" w:fill="FFFFFF"/>
          <w:lang w:val="en-US" w:eastAsia="zh-CN"/>
        </w:rPr>
      </w:pPr>
      <w:r>
        <w:rPr>
          <w:rFonts w:hint="eastAsia" w:ascii="宋体" w:hAnsi="Times New Roman" w:eastAsia="宋体" w:cs="宋体"/>
          <w:color w:val="auto"/>
          <w:sz w:val="24"/>
          <w:highlight w:val="none"/>
          <w:shd w:val="clear" w:color="auto" w:fill="FFFFFF"/>
          <w:lang w:val="en-US" w:eastAsia="zh-CN"/>
        </w:rPr>
        <w:t>（11）</w:t>
      </w:r>
      <w:r>
        <w:rPr>
          <w:rFonts w:hint="eastAsia" w:ascii="宋体" w:hAnsi="Times New Roman" w:eastAsia="宋体" w:cs="宋体"/>
          <w:color w:val="auto"/>
          <w:sz w:val="24"/>
          <w:highlight w:val="none"/>
          <w:shd w:val="clear" w:color="auto" w:fill="FFFFFF"/>
        </w:rPr>
        <w:t>投标人须具有有关行政部门颁发的《中华人民共和国出版物经营许可证》（提供证书复印件并加盖投标人公章，如联合体投标（须提供联合协议且联合体组成家数不能超过2家）则联合体成员任意一方提供即可。</w:t>
      </w:r>
      <w:r>
        <w:rPr>
          <w:rFonts w:hint="eastAsia" w:ascii="宋体" w:hAnsi="Times New Roman" w:eastAsia="宋体" w:cs="宋体"/>
          <w:b/>
          <w:bCs/>
          <w:color w:val="auto"/>
          <w:sz w:val="24"/>
          <w:highlight w:val="none"/>
          <w:shd w:val="clear" w:color="auto" w:fill="FFFFFF"/>
          <w:lang w:eastAsia="zh-CN"/>
        </w:rPr>
        <w:t>（</w:t>
      </w:r>
      <w:r>
        <w:rPr>
          <w:rFonts w:hint="eastAsia" w:ascii="宋体" w:hAnsi="Times New Roman" w:eastAsia="宋体" w:cs="宋体"/>
          <w:b/>
          <w:bCs/>
          <w:color w:val="auto"/>
          <w:sz w:val="24"/>
          <w:highlight w:val="none"/>
          <w:shd w:val="clear" w:color="auto" w:fill="FFFFFF"/>
          <w:lang w:val="en-US" w:eastAsia="zh-CN"/>
        </w:rPr>
        <w:t>仅适用于C包提供</w:t>
      </w:r>
      <w:r>
        <w:rPr>
          <w:rFonts w:hint="eastAsia" w:ascii="宋体" w:hAnsi="Times New Roman" w:eastAsia="宋体" w:cs="宋体"/>
          <w:b/>
          <w:bCs/>
          <w:color w:val="auto"/>
          <w:sz w:val="24"/>
          <w:highlight w:val="none"/>
          <w:shd w:val="clear" w:color="auto" w:fill="FFFFFF"/>
          <w:lang w:eastAsia="zh-CN"/>
        </w:rPr>
        <w:t>）</w:t>
      </w:r>
      <w:r>
        <w:rPr>
          <w:rFonts w:hint="eastAsia" w:ascii="宋体" w:hAnsi="Times New Roman" w:eastAsia="宋体" w:cs="宋体"/>
          <w:color w:val="auto"/>
          <w:sz w:val="24"/>
          <w:highlight w:val="none"/>
          <w:shd w:val="clear" w:color="auto" w:fill="FFFFFF"/>
        </w:rPr>
        <w:t>）</w:t>
      </w:r>
    </w:p>
    <w:p w14:paraId="4B6A536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b/>
          <w:bCs/>
          <w:color w:val="auto"/>
          <w:sz w:val="24"/>
          <w:highlight w:val="none"/>
        </w:rPr>
      </w:pPr>
    </w:p>
    <w:p w14:paraId="56BF622D">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b/>
          <w:bCs/>
          <w:color w:val="auto"/>
          <w:sz w:val="24"/>
          <w:highlight w:val="none"/>
        </w:rPr>
      </w:pPr>
      <w:r>
        <w:rPr>
          <w:rFonts w:hint="eastAsia" w:ascii="宋体" w:hAnsi="宋体" w:cs="宋体"/>
          <w:b/>
          <w:bCs/>
          <w:color w:val="auto"/>
          <w:sz w:val="24"/>
          <w:highlight w:val="none"/>
        </w:rPr>
        <w:t>三、获取磋商文件</w:t>
      </w:r>
    </w:p>
    <w:p w14:paraId="74377F5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highlight w:val="none"/>
          <w:shd w:val="clear" w:color="auto" w:fill="FFFFFF"/>
        </w:rPr>
      </w:pPr>
      <w:r>
        <w:rPr>
          <w:rFonts w:hint="eastAsia" w:ascii="宋体" w:hAnsi="宋体" w:cs="宋体"/>
          <w:color w:val="auto"/>
          <w:sz w:val="24"/>
          <w:highlight w:val="none"/>
          <w:shd w:val="clear" w:color="auto" w:fill="FFFFFF"/>
        </w:rPr>
        <w:t>时间：</w:t>
      </w:r>
      <w:r>
        <w:rPr>
          <w:rFonts w:hint="eastAsia" w:ascii="宋体" w:hAnsi="宋体" w:cs="宋体"/>
          <w:color w:val="auto"/>
          <w:sz w:val="24"/>
          <w:highlight w:val="none"/>
          <w:u w:val="single"/>
          <w:shd w:val="clear" w:color="auto" w:fill="FFFFFF"/>
        </w:rPr>
        <w:t>202</w:t>
      </w:r>
      <w:r>
        <w:rPr>
          <w:rFonts w:hint="eastAsia" w:ascii="宋体" w:hAnsi="宋体" w:cs="宋体"/>
          <w:color w:val="auto"/>
          <w:sz w:val="24"/>
          <w:highlight w:val="none"/>
          <w:u w:val="single"/>
          <w:shd w:val="clear" w:color="auto" w:fill="FFFFFF"/>
          <w:lang w:val="en-US" w:eastAsia="zh-CN"/>
        </w:rPr>
        <w:t>5</w:t>
      </w:r>
      <w:r>
        <w:rPr>
          <w:rFonts w:hint="eastAsia" w:ascii="宋体" w:hAnsi="宋体" w:cs="宋体"/>
          <w:color w:val="auto"/>
          <w:sz w:val="24"/>
          <w:highlight w:val="none"/>
          <w:u w:val="single"/>
          <w:shd w:val="clear" w:color="auto" w:fill="FFFFFF"/>
        </w:rPr>
        <w:t>年</w:t>
      </w:r>
      <w:r>
        <w:rPr>
          <w:rFonts w:hint="eastAsia" w:ascii="宋体" w:hAnsi="宋体" w:cs="宋体"/>
          <w:color w:val="auto"/>
          <w:sz w:val="24"/>
          <w:highlight w:val="none"/>
          <w:u w:val="single"/>
          <w:shd w:val="clear" w:color="auto" w:fill="FFFFFF"/>
          <w:lang w:val="en-US" w:eastAsia="zh-CN"/>
        </w:rPr>
        <w:t xml:space="preserve"> 09 </w:t>
      </w:r>
      <w:r>
        <w:rPr>
          <w:rFonts w:hint="eastAsia" w:ascii="宋体" w:hAnsi="宋体" w:cs="宋体"/>
          <w:color w:val="auto"/>
          <w:sz w:val="24"/>
          <w:highlight w:val="none"/>
          <w:u w:val="single"/>
          <w:shd w:val="clear" w:color="auto" w:fill="FFFFFF"/>
        </w:rPr>
        <w:t>月</w:t>
      </w:r>
      <w:r>
        <w:rPr>
          <w:rFonts w:hint="eastAsia" w:ascii="宋体" w:hAnsi="宋体" w:cs="宋体"/>
          <w:color w:val="auto"/>
          <w:sz w:val="24"/>
          <w:highlight w:val="none"/>
          <w:u w:val="single"/>
          <w:shd w:val="clear" w:color="auto" w:fill="FFFFFF"/>
          <w:lang w:val="en-US" w:eastAsia="zh-CN"/>
        </w:rPr>
        <w:t xml:space="preserve"> 01 </w:t>
      </w:r>
      <w:r>
        <w:rPr>
          <w:rFonts w:hint="eastAsia" w:ascii="宋体" w:hAnsi="宋体" w:cs="宋体"/>
          <w:color w:val="auto"/>
          <w:sz w:val="24"/>
          <w:highlight w:val="none"/>
          <w:u w:val="single"/>
          <w:shd w:val="clear" w:color="auto" w:fill="FFFFFF"/>
        </w:rPr>
        <w:t>日至202</w:t>
      </w:r>
      <w:r>
        <w:rPr>
          <w:rFonts w:hint="eastAsia" w:ascii="宋体" w:hAnsi="宋体" w:cs="宋体"/>
          <w:color w:val="auto"/>
          <w:sz w:val="24"/>
          <w:highlight w:val="none"/>
          <w:u w:val="single"/>
          <w:shd w:val="clear" w:color="auto" w:fill="FFFFFF"/>
          <w:lang w:val="en-US" w:eastAsia="zh-CN"/>
        </w:rPr>
        <w:t>5</w:t>
      </w:r>
      <w:r>
        <w:rPr>
          <w:rFonts w:hint="eastAsia" w:ascii="宋体" w:hAnsi="宋体" w:cs="宋体"/>
          <w:color w:val="auto"/>
          <w:sz w:val="24"/>
          <w:highlight w:val="none"/>
          <w:u w:val="single"/>
          <w:shd w:val="clear" w:color="auto" w:fill="FFFFFF"/>
        </w:rPr>
        <w:t>年</w:t>
      </w:r>
      <w:r>
        <w:rPr>
          <w:rFonts w:hint="eastAsia" w:ascii="宋体" w:hAnsi="宋体" w:cs="宋体"/>
          <w:color w:val="auto"/>
          <w:sz w:val="24"/>
          <w:highlight w:val="none"/>
          <w:u w:val="single"/>
          <w:shd w:val="clear" w:color="auto" w:fill="FFFFFF"/>
          <w:lang w:val="en-US" w:eastAsia="zh-CN"/>
        </w:rPr>
        <w:t xml:space="preserve"> 09 </w:t>
      </w:r>
      <w:r>
        <w:rPr>
          <w:rFonts w:hint="eastAsia" w:ascii="宋体" w:hAnsi="宋体" w:cs="宋体"/>
          <w:color w:val="auto"/>
          <w:sz w:val="24"/>
          <w:highlight w:val="none"/>
          <w:u w:val="single"/>
          <w:shd w:val="clear" w:color="auto" w:fill="FFFFFF"/>
        </w:rPr>
        <w:t>月</w:t>
      </w:r>
      <w:r>
        <w:rPr>
          <w:rFonts w:hint="eastAsia" w:ascii="宋体" w:hAnsi="宋体" w:cs="宋体"/>
          <w:color w:val="auto"/>
          <w:sz w:val="24"/>
          <w:highlight w:val="none"/>
          <w:u w:val="single"/>
          <w:shd w:val="clear" w:color="auto" w:fill="FFFFFF"/>
          <w:lang w:val="en-US" w:eastAsia="zh-CN"/>
        </w:rPr>
        <w:t xml:space="preserve"> 08 </w:t>
      </w:r>
      <w:r>
        <w:rPr>
          <w:rFonts w:hint="eastAsia" w:ascii="宋体" w:hAnsi="宋体" w:cs="宋体"/>
          <w:color w:val="auto"/>
          <w:sz w:val="24"/>
          <w:highlight w:val="none"/>
          <w:u w:val="single"/>
          <w:shd w:val="clear" w:color="auto" w:fill="FFFFFF"/>
        </w:rPr>
        <w:t>日</w:t>
      </w:r>
      <w:r>
        <w:rPr>
          <w:rFonts w:hint="eastAsia" w:ascii="宋体" w:hAnsi="宋体" w:cs="宋体"/>
          <w:color w:val="auto"/>
          <w:sz w:val="24"/>
          <w:highlight w:val="none"/>
          <w:shd w:val="clear" w:color="auto" w:fill="FFFFFF"/>
        </w:rPr>
        <w:t>，每天上午09:00至12:00，下午15:00至1</w:t>
      </w:r>
      <w:r>
        <w:rPr>
          <w:rFonts w:hint="eastAsia" w:ascii="宋体" w:hAnsi="宋体" w:cs="宋体"/>
          <w:color w:val="auto"/>
          <w:sz w:val="24"/>
          <w:highlight w:val="none"/>
          <w:shd w:val="clear" w:color="auto" w:fill="FFFFFF"/>
          <w:lang w:val="en-US" w:eastAsia="zh-CN"/>
        </w:rPr>
        <w:t>7</w:t>
      </w:r>
      <w:r>
        <w:rPr>
          <w:rFonts w:hint="eastAsia" w:ascii="宋体" w:hAnsi="宋体" w:cs="宋体"/>
          <w:color w:val="auto"/>
          <w:sz w:val="24"/>
          <w:highlight w:val="none"/>
          <w:shd w:val="clear" w:color="auto" w:fill="FFFFFF"/>
        </w:rPr>
        <w:t>:</w:t>
      </w:r>
      <w:r>
        <w:rPr>
          <w:rFonts w:hint="eastAsia" w:ascii="宋体" w:hAnsi="宋体" w:cs="宋体"/>
          <w:color w:val="auto"/>
          <w:sz w:val="24"/>
          <w:highlight w:val="none"/>
          <w:shd w:val="clear" w:color="auto" w:fill="FFFFFF"/>
          <w:lang w:val="en-US" w:eastAsia="zh-CN"/>
        </w:rPr>
        <w:t>3</w:t>
      </w:r>
      <w:r>
        <w:rPr>
          <w:rFonts w:hint="eastAsia" w:ascii="宋体" w:hAnsi="宋体" w:cs="宋体"/>
          <w:color w:val="auto"/>
          <w:sz w:val="24"/>
          <w:highlight w:val="none"/>
          <w:shd w:val="clear" w:color="auto" w:fill="FFFFFF"/>
        </w:rPr>
        <w:t>0（北京时间，法定节假日除外）；</w:t>
      </w:r>
    </w:p>
    <w:p w14:paraId="63A1CB0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highlight w:val="none"/>
          <w:shd w:val="clear" w:color="auto" w:fill="FFFFFF"/>
        </w:rPr>
      </w:pPr>
      <w:r>
        <w:rPr>
          <w:rFonts w:hint="eastAsia" w:ascii="宋体" w:hAnsi="宋体" w:cs="宋体"/>
          <w:color w:val="auto"/>
          <w:sz w:val="24"/>
          <w:highlight w:val="none"/>
          <w:shd w:val="clear" w:color="auto" w:fill="FFFFFF"/>
        </w:rPr>
        <w:t>地点：</w:t>
      </w:r>
      <w:r>
        <w:rPr>
          <w:rFonts w:hint="eastAsia" w:ascii="宋体" w:hAnsi="宋体" w:cs="宋体"/>
          <w:color w:val="auto"/>
          <w:sz w:val="24"/>
          <w:highlight w:val="none"/>
          <w:shd w:val="clear" w:color="auto" w:fill="FFFFFF"/>
          <w:lang w:eastAsia="zh-CN"/>
        </w:rPr>
        <w:t>海南省海口市美兰区国兴大道11号国瑞大厦C座东塔1204房</w:t>
      </w:r>
      <w:r>
        <w:rPr>
          <w:rFonts w:hint="eastAsia" w:ascii="宋体" w:hAnsi="宋体" w:cs="宋体"/>
          <w:color w:val="auto"/>
          <w:sz w:val="24"/>
          <w:highlight w:val="none"/>
          <w:shd w:val="clear" w:color="auto" w:fill="FFFFFF"/>
        </w:rPr>
        <w:t>；</w:t>
      </w:r>
    </w:p>
    <w:p w14:paraId="035E8E4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shd w:val="clear" w:color="auto" w:fill="FFFFFF"/>
          <w:lang w:val="en-US" w:eastAsia="zh-CN"/>
        </w:rPr>
      </w:pPr>
      <w:r>
        <w:rPr>
          <w:rFonts w:hint="eastAsia" w:ascii="宋体" w:hAnsi="宋体" w:cs="宋体"/>
          <w:color w:val="auto"/>
          <w:sz w:val="24"/>
          <w:highlight w:val="none"/>
          <w:shd w:val="clear" w:color="auto" w:fill="FFFFFF"/>
        </w:rPr>
        <w:t>方式：现场购买，购买文件时必须出示法定代表人授权委托书原件</w:t>
      </w:r>
      <w:r>
        <w:rPr>
          <w:rFonts w:hint="eastAsia" w:ascii="宋体" w:hAnsi="宋体" w:cs="宋体"/>
          <w:color w:val="auto"/>
          <w:sz w:val="24"/>
          <w:highlight w:val="none"/>
          <w:shd w:val="clear" w:color="auto" w:fill="FFFFFF"/>
          <w:lang w:eastAsia="zh-CN"/>
        </w:rPr>
        <w:t>、</w:t>
      </w:r>
      <w:r>
        <w:rPr>
          <w:rFonts w:hint="eastAsia" w:ascii="宋体" w:hAnsi="宋体" w:cs="宋体"/>
          <w:color w:val="auto"/>
          <w:sz w:val="24"/>
          <w:highlight w:val="none"/>
          <w:shd w:val="clear" w:color="auto" w:fill="FFFFFF"/>
        </w:rPr>
        <w:t>复印件加盖公章的“营业执照副本、授权代理人身份证、法定代表人身份证”至</w:t>
      </w:r>
      <w:r>
        <w:rPr>
          <w:rFonts w:hint="eastAsia" w:ascii="宋体" w:hAnsi="宋体" w:cs="宋体"/>
          <w:color w:val="auto"/>
          <w:sz w:val="24"/>
          <w:highlight w:val="none"/>
          <w:shd w:val="clear" w:color="auto" w:fill="FFFFFF"/>
          <w:lang w:eastAsia="zh-CN"/>
        </w:rPr>
        <w:t>海南省海口市美兰区国兴大道11号国瑞大厦C座东塔1204房</w:t>
      </w:r>
      <w:r>
        <w:rPr>
          <w:rFonts w:hint="eastAsia" w:ascii="宋体" w:hAnsi="宋体" w:cs="宋体"/>
          <w:color w:val="auto"/>
          <w:sz w:val="24"/>
          <w:highlight w:val="none"/>
          <w:shd w:val="clear" w:color="auto" w:fill="FFFFFF"/>
        </w:rPr>
        <w:t>获取（注：其他组织可提供负责人或经营者的身份证复印件加盖公章及其授权委托书原件）；</w:t>
      </w:r>
      <w:r>
        <w:rPr>
          <w:rFonts w:hint="eastAsia" w:ascii="宋体" w:hAnsi="宋体" w:cs="宋体"/>
          <w:color w:val="auto"/>
          <w:sz w:val="24"/>
          <w:highlight w:val="none"/>
          <w:shd w:val="clear" w:color="auto" w:fill="FFFFFF"/>
          <w:lang w:val="en-US" w:eastAsia="zh-CN"/>
        </w:rPr>
        <w:t xml:space="preserve"> </w:t>
      </w:r>
    </w:p>
    <w:p w14:paraId="54404D6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highlight w:val="none"/>
          <w:shd w:val="clear" w:color="auto" w:fill="FFFFFF"/>
        </w:rPr>
      </w:pPr>
      <w:r>
        <w:rPr>
          <w:rFonts w:hint="eastAsia" w:ascii="宋体" w:hAnsi="宋体" w:cs="宋体"/>
          <w:color w:val="auto"/>
          <w:sz w:val="24"/>
          <w:highlight w:val="none"/>
          <w:shd w:val="clear" w:color="auto" w:fill="FFFFFF"/>
        </w:rPr>
        <w:t>售价：</w:t>
      </w:r>
      <w:r>
        <w:rPr>
          <w:rFonts w:hint="eastAsia" w:ascii="宋体" w:hAnsi="宋体" w:cs="宋体"/>
          <w:color w:val="auto"/>
          <w:sz w:val="24"/>
          <w:highlight w:val="none"/>
          <w:shd w:val="clear" w:color="auto" w:fill="FFFFFF"/>
          <w:lang w:val="en-US" w:eastAsia="zh-CN"/>
        </w:rPr>
        <w:t>3</w:t>
      </w:r>
      <w:r>
        <w:rPr>
          <w:rFonts w:hint="eastAsia" w:ascii="宋体" w:hAnsi="宋体" w:cs="宋体"/>
          <w:color w:val="auto"/>
          <w:sz w:val="24"/>
          <w:highlight w:val="none"/>
          <w:shd w:val="clear" w:color="auto" w:fill="FFFFFF"/>
        </w:rPr>
        <w:t>00.00元/份（转账时请附备注：“</w:t>
      </w:r>
      <w:r>
        <w:rPr>
          <w:rFonts w:hint="eastAsia" w:ascii="宋体" w:hAnsi="宋体" w:cs="宋体"/>
          <w:color w:val="auto"/>
          <w:sz w:val="24"/>
          <w:highlight w:val="none"/>
          <w:shd w:val="clear" w:color="auto" w:fill="FFFFFF"/>
          <w:lang w:eastAsia="zh-CN"/>
        </w:rPr>
        <w:t>供应商</w:t>
      </w:r>
      <w:r>
        <w:rPr>
          <w:rFonts w:hint="eastAsia" w:ascii="宋体" w:hAnsi="宋体" w:cs="宋体"/>
          <w:color w:val="auto"/>
          <w:sz w:val="24"/>
          <w:highlight w:val="none"/>
          <w:shd w:val="clear" w:color="auto" w:fill="FFFFFF"/>
        </w:rPr>
        <w:t>名称简称</w:t>
      </w:r>
      <w:r>
        <w:rPr>
          <w:rFonts w:hint="eastAsia" w:ascii="宋体" w:hAnsi="宋体" w:cs="宋体"/>
          <w:color w:val="auto"/>
          <w:sz w:val="24"/>
          <w:highlight w:val="none"/>
          <w:shd w:val="clear" w:color="auto" w:fill="FFFFFF"/>
          <w:lang w:val="en-US" w:eastAsia="zh-CN"/>
        </w:rPr>
        <w:t>+</w:t>
      </w:r>
      <w:r>
        <w:rPr>
          <w:rFonts w:hint="eastAsia" w:ascii="宋体" w:hAnsi="宋体" w:cs="宋体"/>
          <w:color w:val="auto"/>
          <w:sz w:val="24"/>
          <w:highlight w:val="none"/>
          <w:shd w:val="clear" w:color="auto" w:fill="FFFFFF"/>
          <w:lang w:eastAsia="zh-CN"/>
        </w:rPr>
        <w:t>项目编号或</w:t>
      </w:r>
      <w:r>
        <w:rPr>
          <w:rFonts w:hint="eastAsia" w:ascii="宋体" w:hAnsi="宋体" w:cs="宋体"/>
          <w:color w:val="auto"/>
          <w:sz w:val="24"/>
          <w:highlight w:val="none"/>
          <w:shd w:val="clear" w:color="auto" w:fill="FFFFFF"/>
        </w:rPr>
        <w:t>项目名称+报名费”字样，项目名称过长的可写项目名称简称）。</w:t>
      </w:r>
    </w:p>
    <w:p w14:paraId="39A9EEFE">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b/>
          <w:bCs/>
          <w:color w:val="auto"/>
          <w:sz w:val="24"/>
          <w:highlight w:val="none"/>
        </w:rPr>
      </w:pPr>
      <w:r>
        <w:rPr>
          <w:rFonts w:hint="eastAsia" w:ascii="宋体" w:hAnsi="宋体" w:cs="宋体"/>
          <w:b/>
          <w:bCs/>
          <w:color w:val="auto"/>
          <w:sz w:val="24"/>
          <w:highlight w:val="none"/>
        </w:rPr>
        <w:t>四、响应文件提交</w:t>
      </w:r>
    </w:p>
    <w:p w14:paraId="69A1A69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highlight w:val="none"/>
          <w:shd w:val="clear" w:color="auto" w:fill="FFFFFF"/>
        </w:rPr>
      </w:pPr>
      <w:r>
        <w:rPr>
          <w:rFonts w:hint="eastAsia" w:ascii="宋体" w:hAnsi="宋体" w:cs="宋体"/>
          <w:color w:val="auto"/>
          <w:sz w:val="24"/>
          <w:highlight w:val="none"/>
          <w:shd w:val="clear" w:color="auto" w:fill="FFFFFF"/>
        </w:rPr>
        <w:t>截止时间：</w:t>
      </w:r>
      <w:r>
        <w:rPr>
          <w:rFonts w:hint="eastAsia" w:ascii="宋体" w:hAnsi="宋体" w:cs="宋体"/>
          <w:color w:val="auto"/>
          <w:sz w:val="24"/>
          <w:highlight w:val="none"/>
          <w:u w:val="single"/>
          <w:shd w:val="clear" w:color="auto" w:fill="FFFFFF"/>
        </w:rPr>
        <w:t>202</w:t>
      </w:r>
      <w:r>
        <w:rPr>
          <w:rFonts w:hint="eastAsia" w:ascii="宋体" w:hAnsi="宋体" w:cs="宋体"/>
          <w:color w:val="auto"/>
          <w:sz w:val="24"/>
          <w:highlight w:val="none"/>
          <w:u w:val="single"/>
          <w:shd w:val="clear" w:color="auto" w:fill="FFFFFF"/>
          <w:lang w:val="en-US" w:eastAsia="zh-CN"/>
        </w:rPr>
        <w:t>5</w:t>
      </w:r>
      <w:r>
        <w:rPr>
          <w:rFonts w:hint="eastAsia" w:ascii="宋体" w:hAnsi="宋体" w:cs="宋体"/>
          <w:color w:val="auto"/>
          <w:sz w:val="24"/>
          <w:highlight w:val="none"/>
          <w:u w:val="single"/>
          <w:shd w:val="clear" w:color="auto" w:fill="FFFFFF"/>
        </w:rPr>
        <w:t>年</w:t>
      </w:r>
      <w:r>
        <w:rPr>
          <w:rFonts w:hint="eastAsia" w:ascii="宋体" w:hAnsi="宋体" w:cs="宋体"/>
          <w:color w:val="auto"/>
          <w:sz w:val="24"/>
          <w:highlight w:val="none"/>
          <w:u w:val="single"/>
          <w:shd w:val="clear" w:color="auto" w:fill="FFFFFF"/>
          <w:lang w:val="en-US" w:eastAsia="zh-CN"/>
        </w:rPr>
        <w:t xml:space="preserve"> 09 </w:t>
      </w:r>
      <w:r>
        <w:rPr>
          <w:rFonts w:hint="eastAsia" w:ascii="宋体" w:hAnsi="宋体" w:cs="宋体"/>
          <w:color w:val="auto"/>
          <w:sz w:val="24"/>
          <w:highlight w:val="none"/>
          <w:u w:val="single"/>
          <w:shd w:val="clear" w:color="auto" w:fill="FFFFFF"/>
        </w:rPr>
        <w:t>月</w:t>
      </w:r>
      <w:r>
        <w:rPr>
          <w:rFonts w:hint="eastAsia" w:ascii="宋体" w:hAnsi="宋体" w:cs="宋体"/>
          <w:color w:val="auto"/>
          <w:sz w:val="24"/>
          <w:highlight w:val="none"/>
          <w:u w:val="single"/>
          <w:shd w:val="clear" w:color="auto" w:fill="FFFFFF"/>
          <w:lang w:val="en-US" w:eastAsia="zh-CN"/>
        </w:rPr>
        <w:t xml:space="preserve"> 12 </w:t>
      </w:r>
      <w:r>
        <w:rPr>
          <w:rFonts w:hint="eastAsia" w:ascii="宋体" w:hAnsi="宋体" w:cs="宋体"/>
          <w:color w:val="auto"/>
          <w:sz w:val="24"/>
          <w:highlight w:val="none"/>
          <w:u w:val="single"/>
          <w:shd w:val="clear" w:color="auto" w:fill="FFFFFF"/>
        </w:rPr>
        <w:t>日</w:t>
      </w:r>
      <w:r>
        <w:rPr>
          <w:rFonts w:hint="eastAsia" w:ascii="宋体" w:hAnsi="宋体" w:cs="宋体"/>
          <w:color w:val="auto"/>
          <w:sz w:val="24"/>
          <w:highlight w:val="none"/>
          <w:u w:val="single"/>
          <w:shd w:val="clear" w:color="auto" w:fill="FFFFFF"/>
          <w:lang w:val="en-US" w:eastAsia="zh-CN"/>
        </w:rPr>
        <w:t>09</w:t>
      </w:r>
      <w:r>
        <w:rPr>
          <w:rFonts w:hint="eastAsia" w:ascii="宋体" w:hAnsi="宋体" w:cs="宋体"/>
          <w:color w:val="auto"/>
          <w:sz w:val="24"/>
          <w:highlight w:val="none"/>
          <w:u w:val="single"/>
          <w:shd w:val="clear" w:color="auto" w:fill="FFFFFF"/>
        </w:rPr>
        <w:t>点</w:t>
      </w:r>
      <w:r>
        <w:rPr>
          <w:rFonts w:hint="eastAsia" w:ascii="宋体" w:hAnsi="宋体" w:cs="宋体"/>
          <w:color w:val="auto"/>
          <w:sz w:val="24"/>
          <w:highlight w:val="none"/>
          <w:u w:val="single"/>
          <w:shd w:val="clear" w:color="auto" w:fill="FFFFFF"/>
          <w:lang w:val="en-US" w:eastAsia="zh-CN"/>
        </w:rPr>
        <w:t>3</w:t>
      </w:r>
      <w:r>
        <w:rPr>
          <w:rFonts w:hint="eastAsia" w:ascii="宋体" w:hAnsi="宋体" w:cs="宋体"/>
          <w:color w:val="auto"/>
          <w:sz w:val="24"/>
          <w:highlight w:val="none"/>
          <w:u w:val="single"/>
          <w:shd w:val="clear" w:color="auto" w:fill="FFFFFF"/>
        </w:rPr>
        <w:t>0分</w:t>
      </w:r>
      <w:r>
        <w:rPr>
          <w:rFonts w:hint="eastAsia" w:ascii="宋体" w:hAnsi="宋体" w:cs="宋体"/>
          <w:color w:val="auto"/>
          <w:sz w:val="24"/>
          <w:highlight w:val="none"/>
          <w:shd w:val="clear" w:color="auto" w:fill="FFFFFF"/>
        </w:rPr>
        <w:t>（北京时间）；</w:t>
      </w:r>
    </w:p>
    <w:p w14:paraId="6AA0FFF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highlight w:val="none"/>
          <w:shd w:val="clear" w:color="auto" w:fill="FFFFFF"/>
        </w:rPr>
      </w:pPr>
      <w:r>
        <w:rPr>
          <w:rFonts w:hint="eastAsia" w:ascii="宋体" w:hAnsi="宋体" w:cs="宋体"/>
          <w:color w:val="auto"/>
          <w:sz w:val="24"/>
          <w:highlight w:val="none"/>
          <w:shd w:val="clear" w:color="auto" w:fill="FFFFFF"/>
        </w:rPr>
        <w:t>地点：</w:t>
      </w:r>
      <w:r>
        <w:rPr>
          <w:rFonts w:hint="eastAsia" w:ascii="宋体" w:hAnsi="宋体" w:cs="宋体"/>
          <w:color w:val="auto"/>
          <w:sz w:val="24"/>
          <w:highlight w:val="none"/>
          <w:shd w:val="clear" w:color="auto" w:fill="FFFFFF"/>
          <w:lang w:eastAsia="zh-CN"/>
        </w:rPr>
        <w:t>海南省海口市美兰区国兴大道11号国瑞大厦C座东塔1204房</w:t>
      </w:r>
      <w:r>
        <w:rPr>
          <w:rFonts w:hint="eastAsia" w:ascii="宋体" w:hAnsi="宋体" w:cs="宋体"/>
          <w:color w:val="auto"/>
          <w:sz w:val="24"/>
          <w:highlight w:val="none"/>
          <w:shd w:val="clear" w:color="auto" w:fill="FFFFFF"/>
        </w:rPr>
        <w:t>，如有变动另行通知。</w:t>
      </w:r>
    </w:p>
    <w:p w14:paraId="33F9783E">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b/>
          <w:bCs/>
          <w:color w:val="auto"/>
          <w:sz w:val="24"/>
          <w:highlight w:val="none"/>
        </w:rPr>
      </w:pPr>
      <w:r>
        <w:rPr>
          <w:rFonts w:hint="eastAsia" w:ascii="宋体" w:hAnsi="宋体" w:cs="宋体"/>
          <w:b/>
          <w:bCs/>
          <w:color w:val="auto"/>
          <w:sz w:val="24"/>
          <w:highlight w:val="none"/>
        </w:rPr>
        <w:t>五、开启</w:t>
      </w:r>
    </w:p>
    <w:p w14:paraId="2FD2515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bCs/>
          <w:color w:val="auto"/>
          <w:sz w:val="24"/>
          <w:highlight w:val="none"/>
          <w:u w:val="single"/>
        </w:rPr>
      </w:pPr>
      <w:r>
        <w:rPr>
          <w:rFonts w:hint="eastAsia" w:ascii="宋体" w:hAnsi="宋体" w:cs="宋体"/>
          <w:color w:val="auto"/>
          <w:sz w:val="24"/>
          <w:highlight w:val="none"/>
        </w:rPr>
        <w:t>时间：</w:t>
      </w:r>
      <w:r>
        <w:rPr>
          <w:rFonts w:hint="eastAsia" w:ascii="宋体" w:hAnsi="宋体" w:cs="宋体"/>
          <w:color w:val="auto"/>
          <w:sz w:val="24"/>
          <w:highlight w:val="none"/>
          <w:u w:val="single"/>
        </w:rPr>
        <w:t>202</w:t>
      </w:r>
      <w:r>
        <w:rPr>
          <w:rFonts w:hint="eastAsia" w:ascii="宋体" w:hAnsi="宋体" w:cs="宋体"/>
          <w:color w:val="auto"/>
          <w:sz w:val="24"/>
          <w:highlight w:val="none"/>
          <w:u w:val="single"/>
          <w:lang w:val="en-US" w:eastAsia="zh-CN"/>
        </w:rPr>
        <w:t>4</w:t>
      </w:r>
      <w:r>
        <w:rPr>
          <w:rFonts w:hint="eastAsia" w:ascii="宋体" w:hAnsi="宋体" w:cs="宋体"/>
          <w:color w:val="auto"/>
          <w:sz w:val="24"/>
          <w:highlight w:val="none"/>
          <w:u w:val="single"/>
        </w:rPr>
        <w:t>年</w:t>
      </w:r>
      <w:r>
        <w:rPr>
          <w:rFonts w:hint="eastAsia" w:ascii="宋体" w:hAnsi="宋体" w:cs="宋体"/>
          <w:color w:val="auto"/>
          <w:sz w:val="24"/>
          <w:highlight w:val="none"/>
          <w:u w:val="single"/>
          <w:lang w:val="en-US" w:eastAsia="zh-CN"/>
        </w:rPr>
        <w:t xml:space="preserve"> 09 </w:t>
      </w:r>
      <w:r>
        <w:rPr>
          <w:rFonts w:hint="eastAsia" w:ascii="宋体" w:hAnsi="宋体" w:cs="宋体"/>
          <w:color w:val="auto"/>
          <w:sz w:val="24"/>
          <w:highlight w:val="none"/>
          <w:u w:val="single"/>
        </w:rPr>
        <w:t>月</w:t>
      </w:r>
      <w:r>
        <w:rPr>
          <w:rFonts w:hint="eastAsia" w:ascii="宋体" w:hAnsi="宋体" w:cs="宋体"/>
          <w:color w:val="auto"/>
          <w:sz w:val="24"/>
          <w:highlight w:val="none"/>
          <w:u w:val="single"/>
          <w:lang w:val="en-US" w:eastAsia="zh-CN"/>
        </w:rPr>
        <w:t xml:space="preserve"> 12 </w:t>
      </w:r>
      <w:r>
        <w:rPr>
          <w:rFonts w:hint="eastAsia" w:ascii="宋体" w:hAnsi="宋体" w:cs="宋体"/>
          <w:color w:val="auto"/>
          <w:sz w:val="24"/>
          <w:highlight w:val="none"/>
          <w:u w:val="single"/>
        </w:rPr>
        <w:t>日</w:t>
      </w:r>
      <w:r>
        <w:rPr>
          <w:rFonts w:hint="eastAsia" w:ascii="宋体" w:hAnsi="宋体" w:cs="宋体"/>
          <w:color w:val="auto"/>
          <w:sz w:val="24"/>
          <w:highlight w:val="none"/>
          <w:u w:val="single"/>
          <w:lang w:val="en-US" w:eastAsia="zh-CN"/>
        </w:rPr>
        <w:t>09</w:t>
      </w:r>
      <w:r>
        <w:rPr>
          <w:rFonts w:hint="eastAsia" w:ascii="宋体" w:hAnsi="宋体" w:cs="宋体"/>
          <w:color w:val="auto"/>
          <w:sz w:val="24"/>
          <w:highlight w:val="none"/>
          <w:u w:val="single"/>
        </w:rPr>
        <w:t>点</w:t>
      </w:r>
      <w:r>
        <w:rPr>
          <w:rFonts w:hint="eastAsia" w:ascii="宋体" w:hAnsi="宋体" w:cs="宋体"/>
          <w:color w:val="auto"/>
          <w:sz w:val="24"/>
          <w:highlight w:val="none"/>
          <w:u w:val="single"/>
          <w:lang w:val="en-US" w:eastAsia="zh-CN"/>
        </w:rPr>
        <w:t>3</w:t>
      </w:r>
      <w:r>
        <w:rPr>
          <w:rFonts w:hint="eastAsia" w:ascii="宋体" w:hAnsi="宋体" w:cs="宋体"/>
          <w:color w:val="auto"/>
          <w:sz w:val="24"/>
          <w:highlight w:val="none"/>
          <w:u w:val="single"/>
        </w:rPr>
        <w:t>0分</w:t>
      </w:r>
      <w:r>
        <w:rPr>
          <w:rFonts w:hint="eastAsia" w:ascii="宋体" w:hAnsi="宋体" w:cs="宋体"/>
          <w:bCs/>
          <w:color w:val="auto"/>
          <w:sz w:val="24"/>
          <w:highlight w:val="none"/>
        </w:rPr>
        <w:t>（北京时间）；</w:t>
      </w:r>
    </w:p>
    <w:p w14:paraId="0E35F58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地点：</w:t>
      </w:r>
      <w:r>
        <w:rPr>
          <w:rFonts w:hint="eastAsia" w:ascii="宋体" w:hAnsi="宋体" w:cs="宋体"/>
          <w:color w:val="auto"/>
          <w:sz w:val="24"/>
          <w:szCs w:val="24"/>
          <w:highlight w:val="none"/>
          <w:lang w:eastAsia="zh-CN"/>
        </w:rPr>
        <w:t>海南省海口市美兰区国兴大道11号国瑞大厦C座东塔1204房</w:t>
      </w:r>
      <w:r>
        <w:rPr>
          <w:rFonts w:hint="eastAsia" w:ascii="宋体" w:hAnsi="宋体" w:cs="宋体"/>
          <w:color w:val="auto"/>
          <w:sz w:val="24"/>
          <w:highlight w:val="none"/>
        </w:rPr>
        <w:t>，如有变动另行通知。</w:t>
      </w:r>
    </w:p>
    <w:p w14:paraId="25989823">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b/>
          <w:bCs/>
          <w:color w:val="auto"/>
          <w:sz w:val="24"/>
          <w:highlight w:val="none"/>
        </w:rPr>
      </w:pPr>
      <w:r>
        <w:rPr>
          <w:rFonts w:hint="eastAsia" w:ascii="宋体" w:hAnsi="宋体" w:cs="宋体"/>
          <w:b/>
          <w:bCs/>
          <w:color w:val="auto"/>
          <w:sz w:val="24"/>
          <w:highlight w:val="none"/>
        </w:rPr>
        <w:t>六、公告期限</w:t>
      </w:r>
    </w:p>
    <w:p w14:paraId="084145B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kern w:val="0"/>
          <w:sz w:val="24"/>
          <w:highlight w:val="none"/>
        </w:rPr>
      </w:pPr>
      <w:r>
        <w:rPr>
          <w:rFonts w:hint="eastAsia" w:ascii="宋体" w:hAnsi="宋体" w:cs="宋体"/>
          <w:color w:val="auto"/>
          <w:kern w:val="0"/>
          <w:sz w:val="24"/>
          <w:highlight w:val="none"/>
        </w:rPr>
        <w:t>自本公告发布之日起3个工作日。</w:t>
      </w:r>
    </w:p>
    <w:p w14:paraId="3629645F">
      <w:pPr>
        <w:keepNext w:val="0"/>
        <w:keepLines w:val="0"/>
        <w:pageBreakBefore w:val="0"/>
        <w:widowControl w:val="0"/>
        <w:numPr>
          <w:ilvl w:val="0"/>
          <w:numId w:val="3"/>
        </w:numPr>
        <w:tabs>
          <w:tab w:val="clear" w:pos="0"/>
        </w:tabs>
        <w:kinsoku/>
        <w:wordWrap/>
        <w:overflowPunct/>
        <w:topLinePunct w:val="0"/>
        <w:autoSpaceDE/>
        <w:autoSpaceDN/>
        <w:bidi w:val="0"/>
        <w:adjustRightInd/>
        <w:snapToGrid/>
        <w:spacing w:line="360" w:lineRule="auto"/>
        <w:textAlignment w:val="auto"/>
        <w:rPr>
          <w:rFonts w:ascii="宋体" w:hAnsi="宋体" w:cs="宋体"/>
          <w:b/>
          <w:bCs/>
          <w:color w:val="auto"/>
          <w:sz w:val="24"/>
          <w:highlight w:val="none"/>
        </w:rPr>
      </w:pPr>
      <w:r>
        <w:rPr>
          <w:rFonts w:hint="eastAsia" w:ascii="宋体" w:hAnsi="宋体" w:cs="宋体"/>
          <w:b/>
          <w:bCs/>
          <w:color w:val="auto"/>
          <w:sz w:val="24"/>
          <w:highlight w:val="none"/>
        </w:rPr>
        <w:t>其他补充事宜</w:t>
      </w:r>
    </w:p>
    <w:p w14:paraId="789B9B4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highlight w:val="none"/>
          <w:shd w:val="clear" w:color="auto" w:fill="FFFFFF"/>
          <w:lang w:eastAsia="zh-CN"/>
        </w:rPr>
      </w:pPr>
      <w:r>
        <w:rPr>
          <w:rFonts w:hint="eastAsia" w:ascii="宋体" w:hAnsi="宋体" w:cs="宋体"/>
          <w:color w:val="auto"/>
          <w:sz w:val="24"/>
          <w:highlight w:val="none"/>
          <w:shd w:val="clear" w:color="auto" w:fill="FFFFFF"/>
        </w:rPr>
        <w:t>1.本项目采购信息指定发布媒体为</w:t>
      </w:r>
      <w:r>
        <w:rPr>
          <w:rFonts w:hint="eastAsia" w:ascii="宋体" w:hAnsi="宋体" w:cs="宋体"/>
          <w:color w:val="auto"/>
          <w:sz w:val="24"/>
          <w:highlight w:val="none"/>
          <w:shd w:val="clear" w:color="auto" w:fill="FFFFFF"/>
          <w:lang w:eastAsia="zh-CN"/>
        </w:rPr>
        <w:t>：</w:t>
      </w:r>
      <w:r>
        <w:rPr>
          <w:rFonts w:hint="eastAsia" w:ascii="宋体" w:hAnsi="宋体" w:cs="宋体"/>
          <w:b/>
          <w:bCs/>
          <w:color w:val="auto"/>
          <w:sz w:val="24"/>
          <w:highlight w:val="none"/>
          <w:u w:val="single"/>
          <w:shd w:val="clear" w:color="auto" w:fill="FFFFFF"/>
          <w:lang w:eastAsia="zh-CN"/>
        </w:rPr>
        <w:t>海南省政府采购行业协会http://www.hnzfcgxh.com/。</w:t>
      </w:r>
    </w:p>
    <w:p w14:paraId="3C55B45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highlight w:val="none"/>
          <w:shd w:val="clear" w:color="auto" w:fill="FFFFFF"/>
        </w:rPr>
      </w:pPr>
      <w:r>
        <w:rPr>
          <w:rFonts w:hint="eastAsia" w:ascii="宋体" w:hAnsi="宋体" w:cs="宋体"/>
          <w:color w:val="auto"/>
          <w:sz w:val="24"/>
          <w:highlight w:val="none"/>
          <w:shd w:val="clear" w:color="auto" w:fill="FFFFFF"/>
        </w:rPr>
        <w:t>2.有关本项目竞争性磋商文件的补遗、澄清及变更信息以上述网站公告为准，代理机构不再另行通知，竞争性磋商文件与更正公告的内容相互矛盾时，以最后发出的更正公告内容为准。</w:t>
      </w:r>
    </w:p>
    <w:p w14:paraId="2C9CCFE0">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24"/>
          <w:highlight w:val="none"/>
          <w:shd w:val="clear" w:color="auto" w:fill="FFFFFF"/>
        </w:rPr>
      </w:pPr>
      <w:r>
        <w:rPr>
          <w:rFonts w:hint="eastAsia" w:ascii="宋体" w:hAnsi="宋体" w:cs="宋体"/>
          <w:b/>
          <w:bCs/>
          <w:color w:val="auto"/>
          <w:sz w:val="24"/>
          <w:highlight w:val="none"/>
        </w:rPr>
        <w:t>八、凡对本次采购提出询问，请按以下方式联系</w:t>
      </w:r>
    </w:p>
    <w:p w14:paraId="2D2908F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highlight w:val="none"/>
          <w:shd w:val="clear" w:color="auto" w:fill="FFFFFF"/>
        </w:rPr>
      </w:pPr>
      <w:r>
        <w:rPr>
          <w:rFonts w:hint="eastAsia" w:ascii="宋体" w:hAnsi="宋体" w:cs="宋体"/>
          <w:color w:val="auto"/>
          <w:sz w:val="24"/>
          <w:highlight w:val="none"/>
          <w:shd w:val="clear" w:color="auto" w:fill="FFFFFF"/>
        </w:rPr>
        <w:t>1.采购人信息</w:t>
      </w:r>
    </w:p>
    <w:p w14:paraId="212897F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shd w:val="clear" w:color="auto" w:fill="FFFFFF"/>
          <w:lang w:eastAsia="zh-CN"/>
        </w:rPr>
      </w:pPr>
      <w:r>
        <w:rPr>
          <w:rFonts w:hint="eastAsia" w:ascii="宋体" w:hAnsi="宋体" w:cs="宋体"/>
          <w:color w:val="auto"/>
          <w:sz w:val="24"/>
          <w:highlight w:val="none"/>
          <w:shd w:val="clear" w:color="auto" w:fill="FFFFFF"/>
        </w:rPr>
        <w:t>名    称：</w:t>
      </w:r>
      <w:r>
        <w:rPr>
          <w:rFonts w:hint="eastAsia" w:ascii="宋体" w:hAnsi="宋体" w:cs="宋体"/>
          <w:color w:val="auto"/>
          <w:sz w:val="24"/>
          <w:highlight w:val="none"/>
          <w:shd w:val="clear" w:color="auto" w:fill="FFFFFF"/>
          <w:lang w:eastAsia="zh-CN"/>
        </w:rPr>
        <w:t>海口市琼山区振群幼儿园</w:t>
      </w:r>
    </w:p>
    <w:p w14:paraId="7DD349C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cs="宋体"/>
          <w:color w:val="auto"/>
          <w:sz w:val="24"/>
          <w:highlight w:val="none"/>
          <w:shd w:val="clear" w:color="auto" w:fill="FFFFFF"/>
          <w:lang w:val="en-US" w:eastAsia="zh-CN"/>
        </w:rPr>
      </w:pPr>
      <w:r>
        <w:rPr>
          <w:rFonts w:hint="eastAsia" w:ascii="宋体" w:hAnsi="宋体" w:cs="宋体"/>
          <w:color w:val="auto"/>
          <w:sz w:val="24"/>
          <w:highlight w:val="none"/>
          <w:shd w:val="clear" w:color="auto" w:fill="FFFFFF"/>
        </w:rPr>
        <w:t>地    址：</w:t>
      </w:r>
      <w:r>
        <w:rPr>
          <w:rFonts w:hint="eastAsia" w:ascii="宋体" w:hAnsi="宋体" w:cs="宋体"/>
          <w:color w:val="auto"/>
          <w:sz w:val="24"/>
          <w:highlight w:val="none"/>
          <w:shd w:val="clear" w:color="auto" w:fill="FFFFFF"/>
          <w:lang w:val="en-US" w:eastAsia="zh-CN"/>
        </w:rPr>
        <w:t>海口市琼山区振群幼儿园龙海街62号</w:t>
      </w:r>
    </w:p>
    <w:p w14:paraId="20CB545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auto"/>
          <w:sz w:val="24"/>
          <w:highlight w:val="none"/>
          <w:shd w:val="clear" w:color="auto" w:fill="FFFFFF"/>
          <w:lang w:val="en-US" w:eastAsia="zh-CN"/>
        </w:rPr>
      </w:pPr>
      <w:r>
        <w:rPr>
          <w:rFonts w:hint="eastAsia" w:ascii="宋体" w:hAnsi="宋体" w:cs="宋体"/>
          <w:color w:val="auto"/>
          <w:sz w:val="24"/>
          <w:highlight w:val="none"/>
          <w:shd w:val="clear" w:color="auto" w:fill="FFFFFF"/>
        </w:rPr>
        <w:t>联系方式：15649606761</w:t>
      </w:r>
    </w:p>
    <w:p w14:paraId="6B61E756">
      <w:pPr>
        <w:keepNext w:val="0"/>
        <w:keepLines w:val="0"/>
        <w:pageBreakBefore w:val="0"/>
        <w:widowControl w:val="0"/>
        <w:kinsoku/>
        <w:wordWrap/>
        <w:overflowPunct/>
        <w:topLinePunct w:val="0"/>
        <w:autoSpaceDE/>
        <w:autoSpaceDN/>
        <w:bidi w:val="0"/>
        <w:adjustRightInd/>
        <w:snapToGrid/>
        <w:spacing w:before="213" w:beforeLines="50" w:line="360" w:lineRule="auto"/>
        <w:ind w:firstLine="480" w:firstLineChars="200"/>
        <w:textAlignment w:val="auto"/>
        <w:rPr>
          <w:rFonts w:ascii="宋体" w:hAnsi="宋体" w:cs="宋体"/>
          <w:color w:val="auto"/>
          <w:sz w:val="24"/>
          <w:highlight w:val="none"/>
          <w:shd w:val="clear" w:color="auto" w:fill="FFFFFF"/>
        </w:rPr>
      </w:pPr>
      <w:r>
        <w:rPr>
          <w:rFonts w:hint="eastAsia" w:ascii="宋体" w:hAnsi="宋体" w:cs="宋体"/>
          <w:color w:val="auto"/>
          <w:sz w:val="24"/>
          <w:highlight w:val="none"/>
          <w:shd w:val="clear" w:color="auto" w:fill="FFFFFF"/>
        </w:rPr>
        <w:t>2.采购代理机构信息</w:t>
      </w:r>
    </w:p>
    <w:p w14:paraId="544DFFA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highlight w:val="none"/>
          <w:shd w:val="clear" w:color="auto" w:fill="FFFFFF"/>
        </w:rPr>
      </w:pPr>
      <w:r>
        <w:rPr>
          <w:rFonts w:hint="eastAsia" w:ascii="宋体" w:hAnsi="宋体" w:cs="宋体"/>
          <w:color w:val="auto"/>
          <w:sz w:val="24"/>
          <w:highlight w:val="none"/>
          <w:shd w:val="clear" w:color="auto" w:fill="FFFFFF"/>
        </w:rPr>
        <w:t>名    称：海南政源招标代理有限公司</w:t>
      </w:r>
    </w:p>
    <w:p w14:paraId="6FD0359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highlight w:val="none"/>
          <w:shd w:val="clear" w:color="auto" w:fill="FFFFFF"/>
        </w:rPr>
      </w:pPr>
      <w:r>
        <w:rPr>
          <w:rFonts w:hint="eastAsia" w:ascii="宋体" w:hAnsi="宋体" w:cs="宋体"/>
          <w:color w:val="auto"/>
          <w:sz w:val="24"/>
          <w:highlight w:val="none"/>
          <w:shd w:val="clear" w:color="auto" w:fill="FFFFFF"/>
        </w:rPr>
        <w:t>地　　址：</w:t>
      </w:r>
      <w:r>
        <w:rPr>
          <w:rFonts w:hint="eastAsia" w:ascii="宋体" w:hAnsi="宋体" w:cs="宋体"/>
          <w:color w:val="auto"/>
          <w:sz w:val="24"/>
          <w:highlight w:val="none"/>
          <w:shd w:val="clear" w:color="auto" w:fill="FFFFFF"/>
          <w:lang w:eastAsia="zh-CN"/>
        </w:rPr>
        <w:t>海南省海口市美兰区国兴大道11号国瑞大厦C座东塔1204房</w:t>
      </w:r>
    </w:p>
    <w:p w14:paraId="3A6C78A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shd w:val="clear" w:color="auto" w:fill="FFFFFF"/>
        </w:rPr>
        <w:t>联系方式：0898-65343462</w:t>
      </w:r>
    </w:p>
    <w:p w14:paraId="2A1B67F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rPr>
      </w:pPr>
    </w:p>
    <w:p w14:paraId="00BED8F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3.项目联系方式</w:t>
      </w:r>
    </w:p>
    <w:p w14:paraId="78C407E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项目联系人：</w:t>
      </w:r>
      <w:r>
        <w:rPr>
          <w:rFonts w:hint="eastAsia" w:ascii="宋体" w:hAnsi="宋体" w:cs="宋体"/>
          <w:color w:val="auto"/>
          <w:sz w:val="24"/>
          <w:highlight w:val="none"/>
          <w:lang w:eastAsia="zh-CN"/>
        </w:rPr>
        <w:t>翁</w:t>
      </w:r>
      <w:r>
        <w:rPr>
          <w:rFonts w:hint="eastAsia" w:ascii="宋体" w:hAnsi="宋体" w:cs="宋体"/>
          <w:color w:val="auto"/>
          <w:sz w:val="24"/>
          <w:highlight w:val="none"/>
        </w:rPr>
        <w:t>工</w:t>
      </w:r>
    </w:p>
    <w:p w14:paraId="5F3B40C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电 　　 话：0898-65343462</w:t>
      </w:r>
    </w:p>
    <w:p w14:paraId="030C36D9">
      <w:pPr>
        <w:spacing w:before="159" w:after="159" w:line="384" w:lineRule="auto"/>
        <w:jc w:val="center"/>
        <w:outlineLvl w:val="0"/>
        <w:rPr>
          <w:rStyle w:val="40"/>
          <w:color w:val="auto"/>
          <w:highlight w:val="none"/>
        </w:rPr>
      </w:pPr>
      <w:r>
        <w:rPr>
          <w:rFonts w:hint="eastAsia" w:ascii="宋体" w:hAnsi="宋体" w:cs="宋体"/>
          <w:b/>
          <w:color w:val="auto"/>
          <w:sz w:val="44"/>
          <w:szCs w:val="44"/>
          <w:highlight w:val="none"/>
        </w:rPr>
        <w:br w:type="page"/>
      </w:r>
      <w:bookmarkStart w:id="1" w:name="_Toc21264"/>
      <w:r>
        <w:rPr>
          <w:rStyle w:val="40"/>
          <w:rFonts w:hint="eastAsia"/>
          <w:color w:val="auto"/>
          <w:highlight w:val="none"/>
        </w:rPr>
        <w:t>第二部分  供应商须知</w:t>
      </w:r>
      <w:bookmarkEnd w:id="1"/>
    </w:p>
    <w:p w14:paraId="16805731">
      <w:pPr>
        <w:keepNext w:val="0"/>
        <w:keepLines w:val="0"/>
        <w:pageBreakBefore w:val="0"/>
        <w:kinsoku/>
        <w:overflowPunct/>
        <w:topLinePunct w:val="0"/>
        <w:bidi w:val="0"/>
        <w:spacing w:before="159" w:after="159" w:line="360" w:lineRule="auto"/>
        <w:textAlignment w:val="auto"/>
        <w:outlineLvl w:val="1"/>
        <w:rPr>
          <w:rFonts w:ascii="宋体" w:hAnsi="宋体" w:cs="宋体"/>
          <w:b/>
          <w:color w:val="auto"/>
          <w:sz w:val="28"/>
          <w:szCs w:val="28"/>
          <w:highlight w:val="none"/>
        </w:rPr>
      </w:pPr>
      <w:r>
        <w:rPr>
          <w:rFonts w:hint="eastAsia" w:ascii="宋体" w:hAnsi="宋体" w:cs="宋体"/>
          <w:b/>
          <w:color w:val="auto"/>
          <w:sz w:val="28"/>
          <w:szCs w:val="28"/>
          <w:highlight w:val="none"/>
        </w:rPr>
        <w:t>（一）总则</w:t>
      </w:r>
    </w:p>
    <w:p w14:paraId="31D05767">
      <w:pPr>
        <w:keepNext w:val="0"/>
        <w:keepLines w:val="0"/>
        <w:pageBreakBefore w:val="0"/>
        <w:kinsoku/>
        <w:overflowPunct/>
        <w:topLinePunct w:val="0"/>
        <w:bidi w:val="0"/>
        <w:spacing w:line="360" w:lineRule="auto"/>
        <w:ind w:firstLine="482" w:firstLineChars="200"/>
        <w:textAlignment w:val="auto"/>
        <w:outlineLvl w:val="2"/>
        <w:rPr>
          <w:rFonts w:ascii="宋体" w:hAnsi="宋体" w:cs="宋体"/>
          <w:b/>
          <w:bCs/>
          <w:color w:val="auto"/>
          <w:sz w:val="24"/>
          <w:highlight w:val="none"/>
        </w:rPr>
      </w:pPr>
      <w:r>
        <w:rPr>
          <w:rFonts w:hint="eastAsia" w:ascii="宋体" w:hAnsi="宋体" w:cs="宋体"/>
          <w:b/>
          <w:bCs/>
          <w:color w:val="auto"/>
          <w:sz w:val="24"/>
          <w:highlight w:val="none"/>
        </w:rPr>
        <w:t>1、适用范围</w:t>
      </w:r>
    </w:p>
    <w:p w14:paraId="6023AE01">
      <w:pPr>
        <w:keepNext w:val="0"/>
        <w:keepLines w:val="0"/>
        <w:pageBreakBefore w:val="0"/>
        <w:kinsoku/>
        <w:overflowPunct/>
        <w:topLinePunct w:val="0"/>
        <w:bidi w:val="0"/>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本</w:t>
      </w:r>
      <w:r>
        <w:rPr>
          <w:rFonts w:hint="eastAsia" w:ascii="宋体" w:hAnsi="宋体" w:cs="宋体"/>
          <w:bCs/>
          <w:color w:val="auto"/>
          <w:kern w:val="0"/>
          <w:sz w:val="24"/>
          <w:highlight w:val="none"/>
        </w:rPr>
        <w:t>竞争性磋商</w:t>
      </w:r>
      <w:r>
        <w:rPr>
          <w:rFonts w:hint="eastAsia" w:ascii="宋体" w:hAnsi="宋体" w:cs="宋体"/>
          <w:color w:val="auto"/>
          <w:sz w:val="24"/>
          <w:highlight w:val="none"/>
        </w:rPr>
        <w:t>文件适用于</w:t>
      </w:r>
      <w:r>
        <w:rPr>
          <w:rFonts w:hint="eastAsia" w:ascii="宋体" w:hAnsi="宋体" w:cs="宋体"/>
          <w:bCs/>
          <w:color w:val="auto"/>
          <w:kern w:val="0"/>
          <w:sz w:val="24"/>
          <w:highlight w:val="none"/>
        </w:rPr>
        <w:t>本次磋商邀请中所叙述项目的货物或服务磋商。</w:t>
      </w:r>
    </w:p>
    <w:p w14:paraId="1328CE7D">
      <w:pPr>
        <w:keepNext w:val="0"/>
        <w:keepLines w:val="0"/>
        <w:pageBreakBefore w:val="0"/>
        <w:tabs>
          <w:tab w:val="left" w:pos="7665"/>
        </w:tabs>
        <w:kinsoku/>
        <w:overflowPunct/>
        <w:topLinePunct w:val="0"/>
        <w:bidi w:val="0"/>
        <w:spacing w:line="360" w:lineRule="auto"/>
        <w:ind w:firstLine="482" w:firstLineChars="200"/>
        <w:textAlignment w:val="auto"/>
        <w:outlineLvl w:val="2"/>
        <w:rPr>
          <w:rFonts w:ascii="宋体" w:hAnsi="宋体" w:cs="宋体"/>
          <w:b/>
          <w:color w:val="auto"/>
          <w:sz w:val="24"/>
          <w:highlight w:val="none"/>
        </w:rPr>
      </w:pPr>
      <w:r>
        <w:rPr>
          <w:rFonts w:hint="eastAsia" w:ascii="宋体" w:hAnsi="宋体" w:cs="宋体"/>
          <w:b/>
          <w:color w:val="auto"/>
          <w:sz w:val="24"/>
          <w:highlight w:val="none"/>
        </w:rPr>
        <w:t>2、有关定义及相应职责</w:t>
      </w:r>
    </w:p>
    <w:p w14:paraId="1A4E1236">
      <w:pPr>
        <w:keepNext w:val="0"/>
        <w:keepLines w:val="0"/>
        <w:pageBreakBefore w:val="0"/>
        <w:tabs>
          <w:tab w:val="left" w:pos="7665"/>
        </w:tabs>
        <w:kinsoku/>
        <w:overflowPunct/>
        <w:topLinePunct w:val="0"/>
        <w:bidi w:val="0"/>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2.1 “采购人”系指依法进行政府采购的国家机关、事业单位、团体组织。本次</w:t>
      </w:r>
      <w:r>
        <w:rPr>
          <w:rFonts w:hint="eastAsia" w:ascii="宋体" w:hAnsi="宋体" w:cs="宋体"/>
          <w:bCs/>
          <w:color w:val="auto"/>
          <w:kern w:val="0"/>
          <w:sz w:val="24"/>
          <w:highlight w:val="none"/>
        </w:rPr>
        <w:t>竞争性磋商的</w:t>
      </w:r>
      <w:r>
        <w:rPr>
          <w:rFonts w:hint="eastAsia" w:ascii="宋体" w:hAnsi="宋体" w:cs="宋体"/>
          <w:color w:val="auto"/>
          <w:sz w:val="24"/>
          <w:highlight w:val="none"/>
        </w:rPr>
        <w:t>采购人是</w:t>
      </w:r>
      <w:r>
        <w:rPr>
          <w:rFonts w:hint="eastAsia" w:ascii="宋体" w:hAnsi="宋体" w:cs="宋体"/>
          <w:b/>
          <w:color w:val="auto"/>
          <w:sz w:val="24"/>
          <w:highlight w:val="none"/>
          <w:u w:val="single"/>
          <w:lang w:eastAsia="zh-CN"/>
        </w:rPr>
        <w:t>海口市琼山区振群幼儿园</w:t>
      </w:r>
      <w:r>
        <w:rPr>
          <w:rFonts w:hint="eastAsia" w:ascii="宋体" w:hAnsi="宋体" w:cs="宋体"/>
          <w:color w:val="auto"/>
          <w:sz w:val="24"/>
          <w:highlight w:val="none"/>
        </w:rPr>
        <w:t>。</w:t>
      </w:r>
    </w:p>
    <w:p w14:paraId="11852C47">
      <w:pPr>
        <w:keepNext w:val="0"/>
        <w:keepLines w:val="0"/>
        <w:pageBreakBefore w:val="0"/>
        <w:tabs>
          <w:tab w:val="left" w:pos="7665"/>
        </w:tabs>
        <w:kinsoku/>
        <w:overflowPunct/>
        <w:topLinePunct w:val="0"/>
        <w:bidi w:val="0"/>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2.2 “采购代理机构”系指受采购人的委托依法办理</w:t>
      </w:r>
      <w:r>
        <w:rPr>
          <w:rFonts w:hint="eastAsia" w:ascii="宋体" w:hAnsi="宋体" w:cs="宋体"/>
          <w:bCs/>
          <w:color w:val="auto"/>
          <w:kern w:val="0"/>
          <w:sz w:val="24"/>
          <w:highlight w:val="none"/>
        </w:rPr>
        <w:t>采购</w:t>
      </w:r>
      <w:r>
        <w:rPr>
          <w:rFonts w:hint="eastAsia" w:ascii="宋体" w:hAnsi="宋体" w:cs="宋体"/>
          <w:color w:val="auto"/>
          <w:sz w:val="24"/>
          <w:highlight w:val="none"/>
        </w:rPr>
        <w:t>事宜的机构。本次</w:t>
      </w:r>
      <w:r>
        <w:rPr>
          <w:rFonts w:hint="eastAsia" w:ascii="宋体" w:hAnsi="宋体" w:cs="宋体"/>
          <w:bCs/>
          <w:color w:val="auto"/>
          <w:kern w:val="0"/>
          <w:sz w:val="24"/>
          <w:highlight w:val="none"/>
        </w:rPr>
        <w:t>竞争性磋商</w:t>
      </w:r>
      <w:r>
        <w:rPr>
          <w:rFonts w:hint="eastAsia" w:ascii="宋体" w:hAnsi="宋体" w:cs="宋体"/>
          <w:color w:val="auto"/>
          <w:sz w:val="24"/>
          <w:highlight w:val="none"/>
        </w:rPr>
        <w:t>的采购代理机构是</w:t>
      </w:r>
      <w:r>
        <w:rPr>
          <w:rFonts w:hint="eastAsia" w:ascii="宋体" w:hAnsi="宋体" w:cs="宋体"/>
          <w:b/>
          <w:bCs/>
          <w:color w:val="auto"/>
          <w:sz w:val="24"/>
          <w:highlight w:val="none"/>
          <w:u w:val="single"/>
        </w:rPr>
        <w:t>海南政源招标代理有限公司</w:t>
      </w:r>
      <w:r>
        <w:rPr>
          <w:rFonts w:hint="eastAsia" w:ascii="宋体" w:hAnsi="宋体" w:cs="宋体"/>
          <w:color w:val="auto"/>
          <w:sz w:val="24"/>
          <w:highlight w:val="none"/>
        </w:rPr>
        <w:t>。</w:t>
      </w:r>
    </w:p>
    <w:p w14:paraId="144F9F97">
      <w:pPr>
        <w:keepNext w:val="0"/>
        <w:keepLines w:val="0"/>
        <w:pageBreakBefore w:val="0"/>
        <w:tabs>
          <w:tab w:val="left" w:pos="7665"/>
        </w:tabs>
        <w:kinsoku/>
        <w:overflowPunct/>
        <w:topLinePunct w:val="0"/>
        <w:bidi w:val="0"/>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2.3 “供应商”系指实名购买</w:t>
      </w:r>
      <w:r>
        <w:rPr>
          <w:rFonts w:hint="eastAsia" w:ascii="宋体" w:hAnsi="宋体" w:cs="宋体"/>
          <w:bCs/>
          <w:color w:val="auto"/>
          <w:kern w:val="0"/>
          <w:sz w:val="24"/>
          <w:highlight w:val="none"/>
        </w:rPr>
        <w:t>竞争性磋商</w:t>
      </w:r>
      <w:r>
        <w:rPr>
          <w:rFonts w:hint="eastAsia" w:ascii="宋体" w:hAnsi="宋体" w:cs="宋体"/>
          <w:color w:val="auto"/>
          <w:sz w:val="24"/>
          <w:highlight w:val="none"/>
        </w:rPr>
        <w:t>文件拟参加竞争性磋商和拟向采购人提供货物或服务的供应商。其职责如下：</w:t>
      </w:r>
    </w:p>
    <w:p w14:paraId="59886B5C">
      <w:pPr>
        <w:keepNext w:val="0"/>
        <w:keepLines w:val="0"/>
        <w:pageBreakBefore w:val="0"/>
        <w:tabs>
          <w:tab w:val="left" w:pos="7665"/>
        </w:tabs>
        <w:kinsoku/>
        <w:overflowPunct/>
        <w:topLinePunct w:val="0"/>
        <w:bidi w:val="0"/>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2.3.1 对</w:t>
      </w:r>
      <w:r>
        <w:rPr>
          <w:rFonts w:hint="eastAsia" w:ascii="宋体" w:hAnsi="宋体" w:cs="宋体"/>
          <w:bCs/>
          <w:color w:val="auto"/>
          <w:kern w:val="0"/>
          <w:sz w:val="24"/>
          <w:highlight w:val="none"/>
        </w:rPr>
        <w:t>竞争性磋商</w:t>
      </w:r>
      <w:r>
        <w:rPr>
          <w:rFonts w:hint="eastAsia" w:ascii="宋体" w:hAnsi="宋体" w:cs="宋体"/>
          <w:color w:val="auto"/>
          <w:sz w:val="24"/>
          <w:highlight w:val="none"/>
        </w:rPr>
        <w:t>文件错、漏之处提出疑问；</w:t>
      </w:r>
    </w:p>
    <w:p w14:paraId="14939E1C">
      <w:pPr>
        <w:keepNext w:val="0"/>
        <w:keepLines w:val="0"/>
        <w:pageBreakBefore w:val="0"/>
        <w:tabs>
          <w:tab w:val="left" w:pos="3060"/>
        </w:tabs>
        <w:kinsoku/>
        <w:overflowPunct/>
        <w:topLinePunct w:val="0"/>
        <w:bidi w:val="0"/>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2.3.2 按要求缴纳磋商保证金</w:t>
      </w:r>
      <w:r>
        <w:rPr>
          <w:rFonts w:hint="eastAsia" w:ascii="宋体" w:hAnsi="宋体" w:cs="宋体"/>
          <w:b/>
          <w:bCs/>
          <w:color w:val="auto"/>
          <w:sz w:val="24"/>
          <w:highlight w:val="none"/>
          <w:lang w:eastAsia="zh-CN"/>
        </w:rPr>
        <w:t>（</w:t>
      </w:r>
      <w:r>
        <w:rPr>
          <w:rFonts w:hint="eastAsia" w:ascii="宋体" w:hAnsi="宋体" w:cs="宋体"/>
          <w:b/>
          <w:bCs/>
          <w:color w:val="auto"/>
          <w:sz w:val="24"/>
          <w:highlight w:val="none"/>
          <w:lang w:val="en-US" w:eastAsia="zh-CN"/>
        </w:rPr>
        <w:t>本项目不要求磋商保证金</w:t>
      </w:r>
      <w:r>
        <w:rPr>
          <w:rFonts w:hint="eastAsia" w:ascii="宋体" w:hAnsi="宋体" w:cs="宋体"/>
          <w:b/>
          <w:bCs/>
          <w:color w:val="auto"/>
          <w:sz w:val="24"/>
          <w:highlight w:val="none"/>
          <w:lang w:eastAsia="zh-CN"/>
        </w:rPr>
        <w:t>）</w:t>
      </w:r>
      <w:r>
        <w:rPr>
          <w:rFonts w:hint="eastAsia" w:ascii="宋体" w:hAnsi="宋体" w:cs="宋体"/>
          <w:color w:val="auto"/>
          <w:sz w:val="24"/>
          <w:highlight w:val="none"/>
        </w:rPr>
        <w:t>；</w:t>
      </w:r>
    </w:p>
    <w:p w14:paraId="5C689231">
      <w:pPr>
        <w:keepNext w:val="0"/>
        <w:keepLines w:val="0"/>
        <w:pageBreakBefore w:val="0"/>
        <w:tabs>
          <w:tab w:val="left" w:pos="3060"/>
        </w:tabs>
        <w:kinsoku/>
        <w:overflowPunct/>
        <w:topLinePunct w:val="0"/>
        <w:bidi w:val="0"/>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2.3.3 按要求编制响应文件；</w:t>
      </w:r>
    </w:p>
    <w:p w14:paraId="389BF49B">
      <w:pPr>
        <w:keepNext w:val="0"/>
        <w:keepLines w:val="0"/>
        <w:pageBreakBefore w:val="0"/>
        <w:tabs>
          <w:tab w:val="left" w:pos="3060"/>
        </w:tabs>
        <w:kinsoku/>
        <w:overflowPunct/>
        <w:topLinePunct w:val="0"/>
        <w:bidi w:val="0"/>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2.3.4 派磋商代表递交响应文件，参加磋商活动，对磋商小组就响应文件提出的问题进行澄清；“磋商代表”系指在磋商过程中代表提交响应文件单位处理磋商事宜的人员，包括单位法定代表人或负责人及取得授权的单位人员；</w:t>
      </w:r>
    </w:p>
    <w:p w14:paraId="5ADBD053">
      <w:pPr>
        <w:keepNext w:val="0"/>
        <w:keepLines w:val="0"/>
        <w:pageBreakBefore w:val="0"/>
        <w:tabs>
          <w:tab w:val="left" w:pos="3060"/>
        </w:tabs>
        <w:kinsoku/>
        <w:overflowPunct/>
        <w:topLinePunct w:val="0"/>
        <w:bidi w:val="0"/>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2.3.5 配合相关职能部门就</w:t>
      </w:r>
      <w:r>
        <w:rPr>
          <w:rFonts w:hint="eastAsia" w:ascii="宋体" w:hAnsi="宋体" w:cs="宋体"/>
          <w:bCs/>
          <w:color w:val="auto"/>
          <w:kern w:val="0"/>
          <w:sz w:val="24"/>
          <w:highlight w:val="none"/>
        </w:rPr>
        <w:t>竞争性磋商采购</w:t>
      </w:r>
      <w:r>
        <w:rPr>
          <w:rFonts w:hint="eastAsia" w:ascii="宋体" w:hAnsi="宋体" w:cs="宋体"/>
          <w:color w:val="auto"/>
          <w:sz w:val="24"/>
          <w:highlight w:val="none"/>
        </w:rPr>
        <w:t>项目的投诉和举报的处理工作；</w:t>
      </w:r>
    </w:p>
    <w:p w14:paraId="20E17802">
      <w:pPr>
        <w:keepNext w:val="0"/>
        <w:keepLines w:val="0"/>
        <w:pageBreakBefore w:val="0"/>
        <w:tabs>
          <w:tab w:val="left" w:pos="3060"/>
        </w:tabs>
        <w:kinsoku/>
        <w:overflowPunct/>
        <w:topLinePunct w:val="0"/>
        <w:bidi w:val="0"/>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2.3.6 与采购人签订采购合同，按照合同规定向采购人提供服务；</w:t>
      </w:r>
    </w:p>
    <w:p w14:paraId="2E53791F">
      <w:pPr>
        <w:keepNext w:val="0"/>
        <w:keepLines w:val="0"/>
        <w:pageBreakBefore w:val="0"/>
        <w:tabs>
          <w:tab w:val="left" w:pos="7665"/>
        </w:tabs>
        <w:kinsoku/>
        <w:overflowPunct/>
        <w:topLinePunct w:val="0"/>
        <w:bidi w:val="0"/>
        <w:spacing w:line="360" w:lineRule="auto"/>
        <w:ind w:firstLine="480" w:firstLineChars="200"/>
        <w:textAlignment w:val="auto"/>
        <w:rPr>
          <w:rFonts w:ascii="宋体" w:hAnsi="宋体" w:cs="宋体"/>
          <w:b/>
          <w:color w:val="auto"/>
          <w:sz w:val="24"/>
          <w:highlight w:val="none"/>
        </w:rPr>
      </w:pPr>
      <w:r>
        <w:rPr>
          <w:rFonts w:hint="eastAsia" w:ascii="宋体" w:hAnsi="宋体" w:cs="宋体"/>
          <w:color w:val="auto"/>
          <w:sz w:val="24"/>
          <w:highlight w:val="none"/>
        </w:rPr>
        <w:t xml:space="preserve">2.3.7 </w:t>
      </w:r>
      <w:r>
        <w:rPr>
          <w:rFonts w:hint="eastAsia" w:ascii="宋体" w:hAnsi="宋体" w:cs="宋体"/>
          <w:color w:val="auto"/>
          <w:sz w:val="24"/>
          <w:highlight w:val="none"/>
          <w:shd w:val="clear" w:color="auto" w:fill="FFFFFF"/>
        </w:rPr>
        <w:t>单位负责人为同一人或者存在直接控股、管理关系的不同供应商或公司董事、监事和高级管理人员与</w:t>
      </w:r>
      <w:r>
        <w:rPr>
          <w:rFonts w:hint="eastAsia" w:ascii="宋体" w:hAnsi="宋体" w:cs="宋体"/>
          <w:color w:val="auto"/>
          <w:sz w:val="24"/>
          <w:highlight w:val="none"/>
          <w:shd w:val="clear" w:color="auto" w:fill="FFFFFF"/>
          <w:lang w:eastAsia="zh-CN"/>
        </w:rPr>
        <w:t>海口市琼山区振群幼儿园</w:t>
      </w:r>
      <w:r>
        <w:rPr>
          <w:rFonts w:hint="eastAsia" w:ascii="宋体" w:hAnsi="宋体" w:cs="宋体"/>
          <w:color w:val="auto"/>
          <w:sz w:val="24"/>
          <w:highlight w:val="none"/>
          <w:shd w:val="clear" w:color="auto" w:fill="FFFFFF"/>
        </w:rPr>
        <w:t>员工存在直系亲属关系的供应商不得参加同一合同项下的采购活动</w:t>
      </w:r>
      <w:r>
        <w:rPr>
          <w:rFonts w:hint="eastAsia" w:ascii="宋体" w:hAnsi="宋体" w:cs="宋体"/>
          <w:b/>
          <w:color w:val="auto"/>
          <w:sz w:val="24"/>
          <w:highlight w:val="none"/>
        </w:rPr>
        <w:t>。违反该规定的，相关投标均无效，由此产生的一切后果均由相关供应商承担；</w:t>
      </w:r>
    </w:p>
    <w:p w14:paraId="33D4CC03">
      <w:pPr>
        <w:keepNext w:val="0"/>
        <w:keepLines w:val="0"/>
        <w:pageBreakBefore w:val="0"/>
        <w:tabs>
          <w:tab w:val="left" w:pos="7665"/>
        </w:tabs>
        <w:kinsoku/>
        <w:overflowPunct/>
        <w:topLinePunct w:val="0"/>
        <w:bidi w:val="0"/>
        <w:spacing w:line="360" w:lineRule="auto"/>
        <w:ind w:firstLine="482" w:firstLineChars="200"/>
        <w:textAlignment w:val="auto"/>
        <w:rPr>
          <w:rFonts w:ascii="宋体" w:hAnsi="宋体" w:cs="宋体"/>
          <w:b/>
          <w:color w:val="auto"/>
          <w:sz w:val="24"/>
          <w:highlight w:val="none"/>
        </w:rPr>
      </w:pPr>
      <w:r>
        <w:rPr>
          <w:rFonts w:hint="eastAsia" w:ascii="宋体" w:hAnsi="宋体" w:cs="宋体"/>
          <w:b/>
          <w:color w:val="auto"/>
          <w:sz w:val="24"/>
          <w:highlight w:val="none"/>
        </w:rPr>
        <w:t>2.3.8 除单一来源采购项目外，为采购项目提供整体设计、规范编制或者项目管理、监理、检测等服务的供应商，不得再参加该采购项目的其他采购活动；</w:t>
      </w:r>
    </w:p>
    <w:p w14:paraId="3DB1D4B7">
      <w:pPr>
        <w:keepNext w:val="0"/>
        <w:keepLines w:val="0"/>
        <w:pageBreakBefore w:val="0"/>
        <w:tabs>
          <w:tab w:val="left" w:pos="7665"/>
        </w:tabs>
        <w:kinsoku/>
        <w:overflowPunct/>
        <w:topLinePunct w:val="0"/>
        <w:bidi w:val="0"/>
        <w:spacing w:line="360" w:lineRule="auto"/>
        <w:ind w:firstLine="482" w:firstLineChars="200"/>
        <w:textAlignment w:val="auto"/>
        <w:rPr>
          <w:rFonts w:ascii="宋体" w:hAnsi="宋体" w:cs="宋体"/>
          <w:color w:val="auto"/>
          <w:highlight w:val="none"/>
        </w:rPr>
      </w:pPr>
      <w:r>
        <w:rPr>
          <w:rFonts w:hint="eastAsia" w:ascii="宋体" w:hAnsi="宋体" w:cs="宋体"/>
          <w:b/>
          <w:color w:val="auto"/>
          <w:sz w:val="24"/>
          <w:highlight w:val="none"/>
        </w:rPr>
        <w:t>2.3.9 供应商被列入失信被执行人、重大税收违法失信主体、政府采购严重违法失信行为记录名单、或存在其他不符合《中华人民共和国政府采购法》第二十二条规定条件的情况的供应商不得参与投标。</w:t>
      </w:r>
    </w:p>
    <w:p w14:paraId="7FDCB4D2">
      <w:pPr>
        <w:keepNext w:val="0"/>
        <w:keepLines w:val="0"/>
        <w:pageBreakBefore w:val="0"/>
        <w:tabs>
          <w:tab w:val="left" w:pos="7665"/>
        </w:tabs>
        <w:kinsoku/>
        <w:overflowPunct/>
        <w:topLinePunct w:val="0"/>
        <w:bidi w:val="0"/>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 xml:space="preserve">2.4 合格的供应商 </w:t>
      </w:r>
    </w:p>
    <w:p w14:paraId="4BF238F0">
      <w:pPr>
        <w:keepNext w:val="0"/>
        <w:keepLines w:val="0"/>
        <w:pageBreakBefore w:val="0"/>
        <w:tabs>
          <w:tab w:val="left" w:pos="7665"/>
        </w:tabs>
        <w:kinsoku/>
        <w:overflowPunct/>
        <w:topLinePunct w:val="0"/>
        <w:bidi w:val="0"/>
        <w:spacing w:line="360" w:lineRule="auto"/>
        <w:ind w:firstLine="480" w:firstLineChars="200"/>
        <w:textAlignment w:val="auto"/>
        <w:rPr>
          <w:rFonts w:ascii="宋体" w:hAnsi="宋体" w:cs="宋体"/>
          <w:bCs/>
          <w:color w:val="auto"/>
          <w:kern w:val="0"/>
          <w:sz w:val="24"/>
          <w:highlight w:val="none"/>
        </w:rPr>
      </w:pPr>
      <w:r>
        <w:rPr>
          <w:rFonts w:hint="eastAsia" w:ascii="宋体" w:hAnsi="宋体" w:cs="宋体"/>
          <w:bCs/>
          <w:color w:val="auto"/>
          <w:kern w:val="0"/>
          <w:sz w:val="24"/>
          <w:highlight w:val="none"/>
        </w:rPr>
        <w:t>2.4.1 符合《中华人民共和国政府采购法》第二十二条规定的供应商。</w:t>
      </w:r>
    </w:p>
    <w:p w14:paraId="3070533D">
      <w:pPr>
        <w:keepNext w:val="0"/>
        <w:keepLines w:val="0"/>
        <w:pageBreakBefore w:val="0"/>
        <w:tabs>
          <w:tab w:val="left" w:pos="7665"/>
        </w:tabs>
        <w:kinsoku/>
        <w:overflowPunct/>
        <w:topLinePunct w:val="0"/>
        <w:bidi w:val="0"/>
        <w:spacing w:line="360" w:lineRule="auto"/>
        <w:ind w:firstLine="480" w:firstLineChars="200"/>
        <w:textAlignment w:val="auto"/>
        <w:rPr>
          <w:rFonts w:ascii="宋体" w:hAnsi="宋体" w:cs="宋体"/>
          <w:bCs/>
          <w:color w:val="auto"/>
          <w:kern w:val="0"/>
          <w:sz w:val="24"/>
          <w:highlight w:val="none"/>
        </w:rPr>
      </w:pPr>
      <w:r>
        <w:rPr>
          <w:rFonts w:hint="eastAsia" w:ascii="宋体" w:hAnsi="宋体" w:cs="宋体"/>
          <w:bCs/>
          <w:color w:val="auto"/>
          <w:kern w:val="0"/>
          <w:sz w:val="24"/>
          <w:highlight w:val="none"/>
        </w:rPr>
        <w:t>2.4.2 符合竞争性磋商</w:t>
      </w:r>
      <w:r>
        <w:rPr>
          <w:rFonts w:hint="eastAsia" w:ascii="宋体" w:hAnsi="宋体" w:cs="宋体"/>
          <w:color w:val="auto"/>
          <w:sz w:val="24"/>
          <w:highlight w:val="none"/>
        </w:rPr>
        <w:t>文件</w:t>
      </w:r>
      <w:r>
        <w:rPr>
          <w:rFonts w:hint="eastAsia" w:ascii="宋体" w:hAnsi="宋体" w:cs="宋体"/>
          <w:bCs/>
          <w:color w:val="auto"/>
          <w:kern w:val="0"/>
          <w:sz w:val="24"/>
          <w:highlight w:val="none"/>
        </w:rPr>
        <w:t>规定的资格要求，有能力提供满足竞争性磋商</w:t>
      </w:r>
      <w:r>
        <w:rPr>
          <w:rFonts w:hint="eastAsia" w:ascii="宋体" w:hAnsi="宋体" w:cs="宋体"/>
          <w:color w:val="auto"/>
          <w:sz w:val="24"/>
          <w:highlight w:val="none"/>
        </w:rPr>
        <w:t>文件</w:t>
      </w:r>
      <w:r>
        <w:rPr>
          <w:rFonts w:hint="eastAsia" w:ascii="宋体" w:hAnsi="宋体" w:cs="宋体"/>
          <w:bCs/>
          <w:color w:val="auto"/>
          <w:kern w:val="0"/>
          <w:sz w:val="24"/>
          <w:highlight w:val="none"/>
        </w:rPr>
        <w:t>要求的相关服务的法人实体。</w:t>
      </w:r>
    </w:p>
    <w:p w14:paraId="4A416F7C">
      <w:pPr>
        <w:keepNext w:val="0"/>
        <w:keepLines w:val="0"/>
        <w:pageBreakBefore w:val="0"/>
        <w:tabs>
          <w:tab w:val="left" w:pos="7665"/>
        </w:tabs>
        <w:kinsoku/>
        <w:overflowPunct/>
        <w:topLinePunct w:val="0"/>
        <w:bidi w:val="0"/>
        <w:spacing w:line="360" w:lineRule="auto"/>
        <w:ind w:firstLine="480" w:firstLineChars="200"/>
        <w:textAlignment w:val="auto"/>
        <w:rPr>
          <w:rFonts w:ascii="宋体" w:hAnsi="宋体" w:cs="宋体"/>
          <w:bCs/>
          <w:color w:val="auto"/>
          <w:kern w:val="0"/>
          <w:sz w:val="24"/>
          <w:highlight w:val="none"/>
        </w:rPr>
      </w:pPr>
      <w:r>
        <w:rPr>
          <w:rFonts w:hint="eastAsia" w:ascii="宋体" w:hAnsi="宋体" w:cs="宋体"/>
          <w:color w:val="auto"/>
          <w:sz w:val="24"/>
          <w:highlight w:val="none"/>
        </w:rPr>
        <w:t xml:space="preserve">2.5 </w:t>
      </w:r>
      <w:r>
        <w:rPr>
          <w:rFonts w:hint="eastAsia" w:ascii="宋体" w:hAnsi="宋体" w:cs="宋体"/>
          <w:bCs/>
          <w:color w:val="auto"/>
          <w:kern w:val="0"/>
          <w:sz w:val="24"/>
          <w:highlight w:val="none"/>
        </w:rPr>
        <w:t>“成交供应商”按照磋商文件确定的评审标准和方法，对响应文件进行评审，推荐合格的成交候选人，采购人根据磋商小组提出的书面评审报告和推荐的成交候选人确定成交供应商。</w:t>
      </w:r>
    </w:p>
    <w:p w14:paraId="14E84746">
      <w:pPr>
        <w:pStyle w:val="13"/>
        <w:keepNext w:val="0"/>
        <w:keepLines w:val="0"/>
        <w:pageBreakBefore w:val="0"/>
        <w:kinsoku/>
        <w:overflowPunct/>
        <w:topLinePunct w:val="0"/>
        <w:bidi w:val="0"/>
        <w:spacing w:line="360" w:lineRule="auto"/>
        <w:ind w:firstLine="482" w:firstLineChars="200"/>
        <w:textAlignment w:val="auto"/>
        <w:outlineLvl w:val="2"/>
        <w:rPr>
          <w:rFonts w:hAnsi="宋体" w:cs="宋体"/>
          <w:bCs/>
          <w:color w:val="auto"/>
          <w:kern w:val="0"/>
          <w:sz w:val="24"/>
          <w:highlight w:val="none"/>
        </w:rPr>
      </w:pPr>
      <w:r>
        <w:rPr>
          <w:rFonts w:hint="eastAsia" w:hAnsi="宋体" w:cs="宋体"/>
          <w:b/>
          <w:color w:val="auto"/>
          <w:sz w:val="24"/>
          <w:highlight w:val="none"/>
        </w:rPr>
        <w:t>3、合格的货物和服务</w:t>
      </w:r>
    </w:p>
    <w:p w14:paraId="0F0BD40E">
      <w:pPr>
        <w:keepNext w:val="0"/>
        <w:keepLines w:val="0"/>
        <w:pageBreakBefore w:val="0"/>
        <w:kinsoku/>
        <w:overflowPunct/>
        <w:topLinePunct w:val="0"/>
        <w:bidi w:val="0"/>
        <w:adjustRightInd w:val="0"/>
        <w:snapToGrid w:val="0"/>
        <w:spacing w:line="360" w:lineRule="auto"/>
        <w:ind w:firstLine="480" w:firstLineChars="200"/>
        <w:textAlignment w:val="auto"/>
        <w:rPr>
          <w:rFonts w:ascii="宋体" w:hAnsi="宋体" w:cs="宋体"/>
          <w:bCs/>
          <w:color w:val="auto"/>
          <w:kern w:val="0"/>
          <w:sz w:val="24"/>
          <w:highlight w:val="none"/>
        </w:rPr>
      </w:pPr>
      <w:r>
        <w:rPr>
          <w:rFonts w:hint="eastAsia" w:ascii="宋体" w:hAnsi="宋体" w:cs="宋体"/>
          <w:bCs/>
          <w:color w:val="auto"/>
          <w:kern w:val="0"/>
          <w:sz w:val="24"/>
          <w:highlight w:val="none"/>
        </w:rPr>
        <w:t>3.1 “货物”系指供应商制造或组织符合磋商文件要求的货物等。所投货物必须是合法生产的合格货物，并能够按照货物合同规定的品牌、产地、质量、价格和有效期等。</w:t>
      </w:r>
    </w:p>
    <w:p w14:paraId="1CC09E6E">
      <w:pPr>
        <w:keepNext w:val="0"/>
        <w:keepLines w:val="0"/>
        <w:pageBreakBefore w:val="0"/>
        <w:kinsoku/>
        <w:overflowPunct/>
        <w:topLinePunct w:val="0"/>
        <w:bidi w:val="0"/>
        <w:adjustRightInd w:val="0"/>
        <w:snapToGrid w:val="0"/>
        <w:spacing w:line="360" w:lineRule="auto"/>
        <w:ind w:firstLine="480" w:firstLineChars="200"/>
        <w:textAlignment w:val="auto"/>
        <w:rPr>
          <w:rFonts w:ascii="宋体" w:hAnsi="宋体" w:cs="宋体"/>
          <w:bCs/>
          <w:color w:val="auto"/>
          <w:kern w:val="0"/>
          <w:sz w:val="24"/>
          <w:highlight w:val="none"/>
        </w:rPr>
      </w:pPr>
      <w:r>
        <w:rPr>
          <w:rFonts w:hint="eastAsia" w:ascii="宋体" w:hAnsi="宋体" w:cs="宋体"/>
          <w:bCs/>
          <w:color w:val="auto"/>
          <w:kern w:val="0"/>
          <w:sz w:val="24"/>
          <w:highlight w:val="none"/>
        </w:rPr>
        <w:t>3.2 “服务”系指除货物以外的其他政府采购对象，其中包括：卖方须承担的运输、安装、技术支持与升级、培训、验收以及其它类似附加服务的义务。</w:t>
      </w:r>
    </w:p>
    <w:p w14:paraId="4902DACA">
      <w:pPr>
        <w:keepNext w:val="0"/>
        <w:keepLines w:val="0"/>
        <w:pageBreakBefore w:val="0"/>
        <w:tabs>
          <w:tab w:val="left" w:pos="7665"/>
        </w:tabs>
        <w:kinsoku/>
        <w:overflowPunct/>
        <w:topLinePunct w:val="0"/>
        <w:bidi w:val="0"/>
        <w:spacing w:line="360" w:lineRule="auto"/>
        <w:ind w:firstLine="482" w:firstLineChars="200"/>
        <w:textAlignment w:val="auto"/>
        <w:rPr>
          <w:rFonts w:ascii="宋体" w:hAnsi="宋体" w:cs="宋体"/>
          <w:bCs/>
          <w:color w:val="auto"/>
          <w:kern w:val="0"/>
          <w:sz w:val="24"/>
          <w:highlight w:val="none"/>
        </w:rPr>
      </w:pPr>
      <w:r>
        <w:rPr>
          <w:rFonts w:hint="eastAsia" w:ascii="宋体" w:hAnsi="宋体" w:cs="宋体"/>
          <w:b/>
          <w:color w:val="auto"/>
          <w:sz w:val="24"/>
          <w:highlight w:val="none"/>
        </w:rPr>
        <w:t>4、</w:t>
      </w:r>
      <w:r>
        <w:rPr>
          <w:rFonts w:hint="eastAsia" w:ascii="宋体" w:hAnsi="宋体" w:cs="宋体"/>
          <w:b/>
          <w:bCs/>
          <w:color w:val="auto"/>
          <w:kern w:val="0"/>
          <w:sz w:val="24"/>
          <w:highlight w:val="none"/>
        </w:rPr>
        <w:t>本磋商文件由采购人及采购代理机构负责解释</w:t>
      </w:r>
    </w:p>
    <w:p w14:paraId="4BE9A5A4">
      <w:pPr>
        <w:keepNext w:val="0"/>
        <w:keepLines w:val="0"/>
        <w:pageBreakBefore w:val="0"/>
        <w:tabs>
          <w:tab w:val="left" w:pos="7665"/>
        </w:tabs>
        <w:kinsoku/>
        <w:overflowPunct/>
        <w:topLinePunct w:val="0"/>
        <w:bidi w:val="0"/>
        <w:spacing w:line="360" w:lineRule="auto"/>
        <w:ind w:firstLine="482" w:firstLineChars="200"/>
        <w:textAlignment w:val="auto"/>
        <w:outlineLvl w:val="2"/>
        <w:rPr>
          <w:rFonts w:ascii="宋体" w:hAnsi="宋体" w:cs="宋体"/>
          <w:b/>
          <w:color w:val="auto"/>
          <w:sz w:val="24"/>
          <w:highlight w:val="none"/>
        </w:rPr>
      </w:pPr>
      <w:r>
        <w:rPr>
          <w:rFonts w:hint="eastAsia" w:ascii="宋体" w:hAnsi="宋体" w:cs="宋体"/>
          <w:b/>
          <w:color w:val="auto"/>
          <w:sz w:val="24"/>
          <w:highlight w:val="none"/>
        </w:rPr>
        <w:t>5、投标费用</w:t>
      </w:r>
    </w:p>
    <w:p w14:paraId="537D8D1C">
      <w:pPr>
        <w:keepNext w:val="0"/>
        <w:keepLines w:val="0"/>
        <w:pageBreakBefore w:val="0"/>
        <w:kinsoku/>
        <w:overflowPunct/>
        <w:topLinePunct w:val="0"/>
        <w:bidi w:val="0"/>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5.1 供应商应承担所有与准备和参加磋商有关的费用。不论磋商的结果如何，采购代理机构和采购人均无义务和责任承担这些费用。</w:t>
      </w:r>
    </w:p>
    <w:p w14:paraId="1F1C407E">
      <w:pPr>
        <w:keepNext w:val="0"/>
        <w:keepLines w:val="0"/>
        <w:pageBreakBefore w:val="0"/>
        <w:tabs>
          <w:tab w:val="left" w:pos="7665"/>
        </w:tabs>
        <w:kinsoku/>
        <w:overflowPunct/>
        <w:topLinePunct w:val="0"/>
        <w:bidi w:val="0"/>
        <w:spacing w:before="159" w:after="159" w:line="360" w:lineRule="auto"/>
        <w:ind w:firstLine="480" w:firstLineChars="200"/>
        <w:textAlignment w:val="auto"/>
        <w:rPr>
          <w:rFonts w:ascii="宋体" w:hAnsi="宋体" w:cs="宋体"/>
          <w:color w:val="auto"/>
          <w:kern w:val="0"/>
          <w:sz w:val="24"/>
          <w:highlight w:val="none"/>
        </w:rPr>
      </w:pPr>
      <w:r>
        <w:rPr>
          <w:rFonts w:hint="eastAsia" w:ascii="宋体" w:hAnsi="宋体" w:cs="宋体"/>
          <w:color w:val="auto"/>
          <w:sz w:val="24"/>
          <w:highlight w:val="none"/>
        </w:rPr>
        <w:t xml:space="preserve">5.2 </w:t>
      </w:r>
      <w:r>
        <w:rPr>
          <w:rFonts w:hint="eastAsia" w:ascii="宋体" w:hAnsi="宋体" w:cs="宋体"/>
          <w:b/>
          <w:bCs/>
          <w:color w:val="auto"/>
          <w:kern w:val="0"/>
          <w:sz w:val="24"/>
          <w:highlight w:val="none"/>
        </w:rPr>
        <w:t>采购代理服务费根据招标代理协议</w:t>
      </w:r>
      <w:r>
        <w:rPr>
          <w:rFonts w:hint="eastAsia" w:ascii="宋体" w:hAnsi="宋体" w:cs="宋体"/>
          <w:b/>
          <w:bCs/>
          <w:color w:val="auto"/>
          <w:kern w:val="0"/>
          <w:sz w:val="24"/>
          <w:highlight w:val="none"/>
          <w:lang w:eastAsia="zh-CN"/>
        </w:rPr>
        <w:t>：</w:t>
      </w:r>
      <w:r>
        <w:rPr>
          <w:rFonts w:hint="eastAsia" w:ascii="宋体" w:hAnsi="宋体" w:cs="宋体"/>
          <w:b/>
          <w:bCs/>
          <w:color w:val="auto"/>
          <w:kern w:val="0"/>
          <w:sz w:val="24"/>
          <w:highlight w:val="none"/>
          <w:lang w:val="en-US" w:eastAsia="zh-CN"/>
        </w:rPr>
        <w:t>招标代理服务费将严格参照《海南省物价局关于降低部分招标代理服务收费标准的通知》（琼价费管[2011]225号）标准，按6.8折优惠后向成交供应商收取</w:t>
      </w:r>
      <w:r>
        <w:rPr>
          <w:rFonts w:hint="eastAsia" w:ascii="宋体" w:hAnsi="宋体" w:cs="宋体"/>
          <w:b/>
          <w:bCs/>
          <w:color w:val="auto"/>
          <w:kern w:val="0"/>
          <w:sz w:val="24"/>
          <w:highlight w:val="none"/>
        </w:rPr>
        <w:t>采购代理服务费。</w:t>
      </w:r>
    </w:p>
    <w:p w14:paraId="6C48629C">
      <w:pPr>
        <w:keepNext w:val="0"/>
        <w:keepLines w:val="0"/>
        <w:pageBreakBefore w:val="0"/>
        <w:tabs>
          <w:tab w:val="left" w:pos="7665"/>
        </w:tabs>
        <w:kinsoku/>
        <w:overflowPunct/>
        <w:topLinePunct w:val="0"/>
        <w:bidi w:val="0"/>
        <w:spacing w:before="159" w:after="159" w:line="360" w:lineRule="auto"/>
        <w:textAlignment w:val="auto"/>
        <w:outlineLvl w:val="1"/>
        <w:rPr>
          <w:rFonts w:ascii="宋体" w:hAnsi="宋体" w:cs="宋体"/>
          <w:b/>
          <w:color w:val="auto"/>
          <w:sz w:val="28"/>
          <w:szCs w:val="28"/>
          <w:highlight w:val="none"/>
        </w:rPr>
      </w:pPr>
      <w:r>
        <w:rPr>
          <w:rFonts w:hint="eastAsia" w:ascii="宋体" w:hAnsi="宋体" w:cs="宋体"/>
          <w:b/>
          <w:color w:val="auto"/>
          <w:sz w:val="28"/>
          <w:szCs w:val="28"/>
          <w:highlight w:val="none"/>
        </w:rPr>
        <w:t>（二）</w:t>
      </w:r>
      <w:r>
        <w:rPr>
          <w:rFonts w:hint="eastAsia" w:ascii="宋体" w:hAnsi="宋体" w:cs="宋体"/>
          <w:b/>
          <w:bCs/>
          <w:color w:val="auto"/>
          <w:sz w:val="28"/>
          <w:szCs w:val="28"/>
          <w:highlight w:val="none"/>
        </w:rPr>
        <w:t>竞争性磋商</w:t>
      </w:r>
      <w:r>
        <w:rPr>
          <w:rFonts w:hint="eastAsia" w:ascii="宋体" w:hAnsi="宋体" w:cs="宋体"/>
          <w:b/>
          <w:color w:val="auto"/>
          <w:sz w:val="28"/>
          <w:szCs w:val="28"/>
          <w:highlight w:val="none"/>
        </w:rPr>
        <w:t>文件</w:t>
      </w:r>
    </w:p>
    <w:p w14:paraId="6E07C7E7">
      <w:pPr>
        <w:pStyle w:val="13"/>
        <w:keepNext w:val="0"/>
        <w:keepLines w:val="0"/>
        <w:pageBreakBefore w:val="0"/>
        <w:kinsoku/>
        <w:overflowPunct/>
        <w:topLinePunct w:val="0"/>
        <w:bidi w:val="0"/>
        <w:spacing w:line="360" w:lineRule="auto"/>
        <w:ind w:firstLine="482" w:firstLineChars="200"/>
        <w:textAlignment w:val="auto"/>
        <w:outlineLvl w:val="2"/>
        <w:rPr>
          <w:rFonts w:hAnsi="宋体" w:cs="宋体"/>
          <w:b/>
          <w:bCs/>
          <w:color w:val="auto"/>
          <w:sz w:val="24"/>
          <w:highlight w:val="none"/>
        </w:rPr>
      </w:pPr>
      <w:r>
        <w:rPr>
          <w:rFonts w:hint="eastAsia" w:hAnsi="宋体" w:cs="宋体"/>
          <w:b/>
          <w:bCs/>
          <w:color w:val="auto"/>
          <w:sz w:val="24"/>
          <w:highlight w:val="none"/>
        </w:rPr>
        <w:t>6、竞争性磋商文件的构成</w:t>
      </w:r>
    </w:p>
    <w:p w14:paraId="4FFAA44A">
      <w:pPr>
        <w:pStyle w:val="13"/>
        <w:keepNext w:val="0"/>
        <w:keepLines w:val="0"/>
        <w:pageBreakBefore w:val="0"/>
        <w:kinsoku/>
        <w:overflowPunct/>
        <w:topLinePunct w:val="0"/>
        <w:bidi w:val="0"/>
        <w:adjustRightInd w:val="0"/>
        <w:snapToGrid w:val="0"/>
        <w:spacing w:line="360" w:lineRule="auto"/>
        <w:ind w:firstLine="480" w:firstLineChars="200"/>
        <w:textAlignment w:val="auto"/>
        <w:rPr>
          <w:rFonts w:hAnsi="宋体" w:cs="宋体"/>
          <w:color w:val="auto"/>
          <w:sz w:val="24"/>
          <w:highlight w:val="none"/>
        </w:rPr>
      </w:pPr>
      <w:r>
        <w:rPr>
          <w:rFonts w:hint="eastAsia" w:hAnsi="宋体" w:cs="宋体"/>
          <w:color w:val="auto"/>
          <w:sz w:val="24"/>
          <w:highlight w:val="none"/>
        </w:rPr>
        <w:t>6.1 竞争性磋商文件由下列文件以及在磋商过程中发出的修正和补充文件组成：</w:t>
      </w:r>
    </w:p>
    <w:p w14:paraId="28AE340F">
      <w:pPr>
        <w:keepNext w:val="0"/>
        <w:keepLines w:val="0"/>
        <w:pageBreakBefore w:val="0"/>
        <w:kinsoku/>
        <w:overflowPunct/>
        <w:topLinePunct w:val="0"/>
        <w:bidi w:val="0"/>
        <w:spacing w:line="360" w:lineRule="auto"/>
        <w:ind w:firstLine="960" w:firstLineChars="400"/>
        <w:textAlignment w:val="auto"/>
        <w:rPr>
          <w:rFonts w:ascii="宋体" w:hAnsi="宋体" w:cs="宋体"/>
          <w:color w:val="auto"/>
          <w:sz w:val="24"/>
          <w:highlight w:val="none"/>
        </w:rPr>
      </w:pPr>
      <w:r>
        <w:rPr>
          <w:rFonts w:hint="eastAsia" w:ascii="宋体" w:hAnsi="宋体" w:cs="宋体"/>
          <w:color w:val="auto"/>
          <w:sz w:val="24"/>
          <w:highlight w:val="none"/>
        </w:rPr>
        <w:t>第一部分  竞争性磋商公告</w:t>
      </w:r>
    </w:p>
    <w:p w14:paraId="7DBE2072">
      <w:pPr>
        <w:keepNext w:val="0"/>
        <w:keepLines w:val="0"/>
        <w:pageBreakBefore w:val="0"/>
        <w:kinsoku/>
        <w:overflowPunct/>
        <w:topLinePunct w:val="0"/>
        <w:bidi w:val="0"/>
        <w:spacing w:line="360" w:lineRule="auto"/>
        <w:ind w:firstLine="960" w:firstLineChars="400"/>
        <w:textAlignment w:val="auto"/>
        <w:rPr>
          <w:rFonts w:ascii="宋体" w:hAnsi="宋体" w:cs="宋体"/>
          <w:color w:val="auto"/>
          <w:sz w:val="24"/>
          <w:highlight w:val="none"/>
        </w:rPr>
      </w:pPr>
      <w:r>
        <w:rPr>
          <w:rFonts w:hint="eastAsia" w:ascii="宋体" w:hAnsi="宋体" w:cs="宋体"/>
          <w:color w:val="auto"/>
          <w:sz w:val="24"/>
          <w:highlight w:val="none"/>
        </w:rPr>
        <w:t>第二部分  供应商须知</w:t>
      </w:r>
    </w:p>
    <w:p w14:paraId="1D692038">
      <w:pPr>
        <w:keepNext w:val="0"/>
        <w:keepLines w:val="0"/>
        <w:pageBreakBefore w:val="0"/>
        <w:kinsoku/>
        <w:overflowPunct/>
        <w:topLinePunct w:val="0"/>
        <w:bidi w:val="0"/>
        <w:spacing w:line="360" w:lineRule="auto"/>
        <w:ind w:firstLine="960" w:firstLineChars="400"/>
        <w:textAlignment w:val="auto"/>
        <w:rPr>
          <w:rFonts w:ascii="宋体" w:hAnsi="宋体" w:cs="宋体"/>
          <w:color w:val="auto"/>
          <w:sz w:val="24"/>
          <w:highlight w:val="none"/>
        </w:rPr>
      </w:pPr>
      <w:r>
        <w:rPr>
          <w:rFonts w:hint="eastAsia" w:ascii="宋体" w:hAnsi="宋体" w:cs="宋体"/>
          <w:color w:val="auto"/>
          <w:sz w:val="24"/>
          <w:highlight w:val="none"/>
        </w:rPr>
        <w:t>第三部分  合同文本</w:t>
      </w:r>
    </w:p>
    <w:p w14:paraId="281678C1">
      <w:pPr>
        <w:keepNext w:val="0"/>
        <w:keepLines w:val="0"/>
        <w:pageBreakBefore w:val="0"/>
        <w:kinsoku/>
        <w:overflowPunct/>
        <w:topLinePunct w:val="0"/>
        <w:bidi w:val="0"/>
        <w:spacing w:line="360" w:lineRule="auto"/>
        <w:ind w:firstLine="960" w:firstLineChars="400"/>
        <w:textAlignment w:val="auto"/>
        <w:rPr>
          <w:rFonts w:ascii="宋体" w:hAnsi="宋体" w:cs="宋体"/>
          <w:color w:val="auto"/>
          <w:sz w:val="24"/>
          <w:highlight w:val="none"/>
        </w:rPr>
      </w:pPr>
      <w:r>
        <w:rPr>
          <w:rFonts w:hint="eastAsia" w:ascii="宋体" w:hAnsi="宋体" w:cs="宋体"/>
          <w:color w:val="auto"/>
          <w:sz w:val="24"/>
          <w:highlight w:val="none"/>
        </w:rPr>
        <w:t>第四部分  响应文件格式</w:t>
      </w:r>
    </w:p>
    <w:p w14:paraId="1F3CF430">
      <w:pPr>
        <w:keepNext w:val="0"/>
        <w:keepLines w:val="0"/>
        <w:pageBreakBefore w:val="0"/>
        <w:kinsoku/>
        <w:overflowPunct/>
        <w:topLinePunct w:val="0"/>
        <w:bidi w:val="0"/>
        <w:spacing w:line="360" w:lineRule="auto"/>
        <w:ind w:firstLine="960" w:firstLineChars="400"/>
        <w:textAlignment w:val="auto"/>
        <w:rPr>
          <w:rFonts w:ascii="宋体" w:hAnsi="宋体" w:cs="宋体"/>
          <w:color w:val="auto"/>
          <w:sz w:val="24"/>
          <w:highlight w:val="none"/>
        </w:rPr>
      </w:pPr>
      <w:r>
        <w:rPr>
          <w:rFonts w:hint="eastAsia" w:ascii="宋体" w:hAnsi="宋体" w:cs="宋体"/>
          <w:color w:val="auto"/>
          <w:sz w:val="24"/>
          <w:highlight w:val="none"/>
        </w:rPr>
        <w:t>第五部分  采购需求</w:t>
      </w:r>
    </w:p>
    <w:p w14:paraId="16371AB2">
      <w:pPr>
        <w:keepNext w:val="0"/>
        <w:keepLines w:val="0"/>
        <w:pageBreakBefore w:val="0"/>
        <w:kinsoku/>
        <w:overflowPunct/>
        <w:topLinePunct w:val="0"/>
        <w:bidi w:val="0"/>
        <w:spacing w:line="360" w:lineRule="auto"/>
        <w:ind w:firstLine="482" w:firstLineChars="200"/>
        <w:textAlignment w:val="auto"/>
        <w:rPr>
          <w:rFonts w:ascii="宋体" w:hAnsi="宋体" w:cs="宋体"/>
          <w:b/>
          <w:color w:val="auto"/>
          <w:sz w:val="24"/>
          <w:highlight w:val="none"/>
        </w:rPr>
      </w:pPr>
      <w:r>
        <w:rPr>
          <w:rFonts w:hint="eastAsia" w:ascii="宋体" w:hAnsi="宋体" w:cs="宋体"/>
          <w:b/>
          <w:color w:val="auto"/>
          <w:sz w:val="24"/>
          <w:highlight w:val="none"/>
        </w:rPr>
        <w:t>注：请仔细检查竞争性磋商文件是否齐全，如有缺漏，请立即与采购代理联系解决。</w:t>
      </w:r>
    </w:p>
    <w:p w14:paraId="236DD255">
      <w:pPr>
        <w:pStyle w:val="13"/>
        <w:keepNext w:val="0"/>
        <w:keepLines w:val="0"/>
        <w:pageBreakBefore w:val="0"/>
        <w:kinsoku/>
        <w:overflowPunct/>
        <w:topLinePunct w:val="0"/>
        <w:bidi w:val="0"/>
        <w:adjustRightInd w:val="0"/>
        <w:snapToGrid w:val="0"/>
        <w:spacing w:line="360" w:lineRule="auto"/>
        <w:ind w:firstLine="480" w:firstLineChars="200"/>
        <w:textAlignment w:val="auto"/>
        <w:rPr>
          <w:rFonts w:hAnsi="宋体" w:cs="宋体"/>
          <w:color w:val="auto"/>
          <w:sz w:val="24"/>
          <w:highlight w:val="none"/>
        </w:rPr>
      </w:pPr>
      <w:r>
        <w:rPr>
          <w:rFonts w:hint="eastAsia" w:hAnsi="宋体" w:cs="宋体"/>
          <w:color w:val="auto"/>
          <w:sz w:val="24"/>
          <w:highlight w:val="none"/>
        </w:rPr>
        <w:t>6.2 供应商须认真阅读磋商文件中所有的事项、格式、条款和技术规范等。供应商没有按照磋商文件要求提交全部资料，或者供应商没有对磋商文件在各方面都做出实质性响应，可能导致其响应被拒绝或无效响应等风险均由供应商承担。</w:t>
      </w:r>
    </w:p>
    <w:p w14:paraId="3D8ABCA9">
      <w:pPr>
        <w:pStyle w:val="13"/>
        <w:keepNext w:val="0"/>
        <w:keepLines w:val="0"/>
        <w:pageBreakBefore w:val="0"/>
        <w:kinsoku/>
        <w:overflowPunct/>
        <w:topLinePunct w:val="0"/>
        <w:bidi w:val="0"/>
        <w:spacing w:line="360" w:lineRule="auto"/>
        <w:ind w:firstLine="482" w:firstLineChars="200"/>
        <w:textAlignment w:val="auto"/>
        <w:outlineLvl w:val="2"/>
        <w:rPr>
          <w:rFonts w:hAnsi="宋体" w:cs="宋体"/>
          <w:b/>
          <w:bCs/>
          <w:color w:val="auto"/>
          <w:sz w:val="24"/>
          <w:highlight w:val="none"/>
        </w:rPr>
      </w:pPr>
      <w:r>
        <w:rPr>
          <w:rFonts w:hint="eastAsia" w:hAnsi="宋体" w:cs="宋体"/>
          <w:b/>
          <w:bCs/>
          <w:color w:val="auto"/>
          <w:sz w:val="24"/>
          <w:highlight w:val="none"/>
        </w:rPr>
        <w:t>7、竞争性磋商文件的澄清</w:t>
      </w:r>
    </w:p>
    <w:p w14:paraId="78BEB74B">
      <w:pPr>
        <w:pStyle w:val="13"/>
        <w:keepNext w:val="0"/>
        <w:keepLines w:val="0"/>
        <w:pageBreakBefore w:val="0"/>
        <w:kinsoku/>
        <w:overflowPunct/>
        <w:topLinePunct w:val="0"/>
        <w:bidi w:val="0"/>
        <w:adjustRightInd w:val="0"/>
        <w:snapToGrid w:val="0"/>
        <w:spacing w:line="360" w:lineRule="auto"/>
        <w:ind w:firstLine="482" w:firstLineChars="200"/>
        <w:textAlignment w:val="auto"/>
        <w:rPr>
          <w:rFonts w:hAnsi="宋体" w:cs="宋体"/>
          <w:b/>
          <w:bCs/>
          <w:color w:val="auto"/>
          <w:sz w:val="24"/>
          <w:highlight w:val="none"/>
        </w:rPr>
      </w:pPr>
      <w:r>
        <w:rPr>
          <w:rFonts w:hint="eastAsia" w:hAnsi="宋体" w:cs="宋体"/>
          <w:b/>
          <w:bCs/>
          <w:color w:val="auto"/>
          <w:sz w:val="24"/>
          <w:highlight w:val="none"/>
        </w:rPr>
        <w:t>应于递交响应文件截止时间前（逾期不受理）以书面形式向代理机构提出，采购代理机构将以书面形式进行答复，同时采购代理机构有权将答复内容分发给所有购买了本磋商文件的供应商。否则视为完全接受磋商文件所有条款及规定。</w:t>
      </w:r>
    </w:p>
    <w:p w14:paraId="23EEBFE9">
      <w:pPr>
        <w:pStyle w:val="13"/>
        <w:keepNext w:val="0"/>
        <w:keepLines w:val="0"/>
        <w:pageBreakBefore w:val="0"/>
        <w:kinsoku/>
        <w:overflowPunct/>
        <w:topLinePunct w:val="0"/>
        <w:bidi w:val="0"/>
        <w:spacing w:line="360" w:lineRule="auto"/>
        <w:ind w:firstLine="482" w:firstLineChars="200"/>
        <w:textAlignment w:val="auto"/>
        <w:outlineLvl w:val="2"/>
        <w:rPr>
          <w:rFonts w:hAnsi="宋体" w:cs="宋体"/>
          <w:b/>
          <w:bCs/>
          <w:color w:val="auto"/>
          <w:sz w:val="24"/>
          <w:highlight w:val="none"/>
        </w:rPr>
      </w:pPr>
      <w:r>
        <w:rPr>
          <w:rFonts w:hint="eastAsia" w:hAnsi="宋体" w:cs="宋体"/>
          <w:b/>
          <w:bCs/>
          <w:color w:val="auto"/>
          <w:sz w:val="24"/>
          <w:highlight w:val="none"/>
        </w:rPr>
        <w:t>8、竞争性磋商文件的修改</w:t>
      </w:r>
    </w:p>
    <w:p w14:paraId="5D96A6A0">
      <w:pPr>
        <w:pStyle w:val="13"/>
        <w:keepNext w:val="0"/>
        <w:keepLines w:val="0"/>
        <w:pageBreakBefore w:val="0"/>
        <w:kinsoku/>
        <w:overflowPunct/>
        <w:topLinePunct w:val="0"/>
        <w:bidi w:val="0"/>
        <w:adjustRightInd w:val="0"/>
        <w:snapToGrid w:val="0"/>
        <w:spacing w:line="360" w:lineRule="auto"/>
        <w:ind w:firstLine="480" w:firstLineChars="200"/>
        <w:textAlignment w:val="auto"/>
        <w:rPr>
          <w:rFonts w:hAnsi="宋体" w:cs="宋体"/>
          <w:color w:val="auto"/>
          <w:sz w:val="24"/>
          <w:highlight w:val="none"/>
        </w:rPr>
      </w:pPr>
      <w:r>
        <w:rPr>
          <w:rFonts w:hint="eastAsia" w:hAnsi="宋体" w:cs="宋体"/>
          <w:color w:val="auto"/>
          <w:sz w:val="24"/>
          <w:highlight w:val="none"/>
        </w:rPr>
        <w:t>8.l 在响应文件提交截止时间5天前，采购代理机构和采购人可主动或在解答供应商提出的澄清问题时对磋商文件进行修改。</w:t>
      </w:r>
    </w:p>
    <w:p w14:paraId="019AC246">
      <w:pPr>
        <w:pStyle w:val="13"/>
        <w:keepNext w:val="0"/>
        <w:keepLines w:val="0"/>
        <w:pageBreakBefore w:val="0"/>
        <w:kinsoku/>
        <w:overflowPunct/>
        <w:topLinePunct w:val="0"/>
        <w:bidi w:val="0"/>
        <w:adjustRightInd w:val="0"/>
        <w:snapToGrid w:val="0"/>
        <w:spacing w:line="360" w:lineRule="auto"/>
        <w:ind w:firstLine="480" w:firstLineChars="200"/>
        <w:textAlignment w:val="auto"/>
        <w:rPr>
          <w:rFonts w:hAnsi="宋体" w:cs="宋体"/>
          <w:color w:val="auto"/>
          <w:sz w:val="24"/>
          <w:highlight w:val="none"/>
        </w:rPr>
      </w:pPr>
      <w:r>
        <w:rPr>
          <w:rFonts w:hint="eastAsia" w:hAnsi="宋体" w:cs="宋体"/>
          <w:color w:val="auto"/>
          <w:sz w:val="24"/>
          <w:highlight w:val="none"/>
        </w:rPr>
        <w:t>8.2 竞争性磋商文件的修改是竞争性磋商文件的组成部分，采购代理机构将以书面或网上公告的形式通知所有购买本竞争性磋商文件的供应商，并对供应商具有约束力。供应商在收到上述通知后，应立即以书面形式向采购代理机构和采购人确认。</w:t>
      </w:r>
    </w:p>
    <w:p w14:paraId="3E0F7F1F">
      <w:pPr>
        <w:pStyle w:val="13"/>
        <w:keepNext w:val="0"/>
        <w:keepLines w:val="0"/>
        <w:pageBreakBefore w:val="0"/>
        <w:kinsoku/>
        <w:overflowPunct/>
        <w:topLinePunct w:val="0"/>
        <w:bidi w:val="0"/>
        <w:adjustRightInd w:val="0"/>
        <w:snapToGrid w:val="0"/>
        <w:spacing w:line="360" w:lineRule="auto"/>
        <w:ind w:firstLine="480" w:firstLineChars="200"/>
        <w:textAlignment w:val="auto"/>
        <w:rPr>
          <w:rFonts w:hAnsi="宋体" w:cs="宋体"/>
          <w:color w:val="auto"/>
          <w:sz w:val="24"/>
          <w:highlight w:val="none"/>
        </w:rPr>
      </w:pPr>
      <w:r>
        <w:rPr>
          <w:rFonts w:hint="eastAsia" w:hAnsi="宋体" w:cs="宋体"/>
          <w:color w:val="auto"/>
          <w:sz w:val="24"/>
          <w:highlight w:val="none"/>
        </w:rPr>
        <w:t>8.3 为使供应商准备响应文件时有充分的时间对磋商文件修改部分进行研究，采购代理机构和采购人可适当推迟响应文件提交截止时间。</w:t>
      </w:r>
    </w:p>
    <w:p w14:paraId="168F6C07">
      <w:pPr>
        <w:keepNext w:val="0"/>
        <w:keepLines w:val="0"/>
        <w:pageBreakBefore w:val="0"/>
        <w:kinsoku/>
        <w:overflowPunct/>
        <w:topLinePunct w:val="0"/>
        <w:bidi w:val="0"/>
        <w:snapToGrid w:val="0"/>
        <w:spacing w:before="159" w:after="159" w:line="360" w:lineRule="auto"/>
        <w:textAlignment w:val="auto"/>
        <w:outlineLvl w:val="1"/>
        <w:rPr>
          <w:rFonts w:ascii="宋体" w:hAnsi="宋体" w:cs="宋体"/>
          <w:b/>
          <w:color w:val="auto"/>
          <w:sz w:val="28"/>
          <w:szCs w:val="28"/>
          <w:highlight w:val="none"/>
        </w:rPr>
      </w:pPr>
      <w:r>
        <w:rPr>
          <w:rFonts w:hint="eastAsia" w:ascii="宋体" w:hAnsi="宋体" w:cs="宋体"/>
          <w:b/>
          <w:color w:val="auto"/>
          <w:sz w:val="28"/>
          <w:szCs w:val="28"/>
          <w:highlight w:val="none"/>
        </w:rPr>
        <w:t>（三）竞争性磋商文件的编制和数量</w:t>
      </w:r>
    </w:p>
    <w:p w14:paraId="158CD74C">
      <w:pPr>
        <w:pStyle w:val="13"/>
        <w:keepNext w:val="0"/>
        <w:keepLines w:val="0"/>
        <w:pageBreakBefore w:val="0"/>
        <w:kinsoku/>
        <w:overflowPunct/>
        <w:topLinePunct w:val="0"/>
        <w:bidi w:val="0"/>
        <w:spacing w:line="360" w:lineRule="auto"/>
        <w:ind w:firstLine="482" w:firstLineChars="200"/>
        <w:textAlignment w:val="auto"/>
        <w:outlineLvl w:val="2"/>
        <w:rPr>
          <w:rFonts w:hAnsi="宋体" w:cs="宋体"/>
          <w:b/>
          <w:bCs/>
          <w:color w:val="auto"/>
          <w:sz w:val="24"/>
          <w:highlight w:val="none"/>
        </w:rPr>
      </w:pPr>
      <w:r>
        <w:rPr>
          <w:rFonts w:hint="eastAsia" w:hAnsi="宋体" w:cs="宋体"/>
          <w:b/>
          <w:bCs/>
          <w:color w:val="auto"/>
          <w:sz w:val="24"/>
          <w:highlight w:val="none"/>
        </w:rPr>
        <w:t>9、响应文件的语言</w:t>
      </w:r>
    </w:p>
    <w:p w14:paraId="21F21F4F">
      <w:pPr>
        <w:pStyle w:val="13"/>
        <w:keepNext w:val="0"/>
        <w:keepLines w:val="0"/>
        <w:pageBreakBefore w:val="0"/>
        <w:kinsoku/>
        <w:overflowPunct/>
        <w:topLinePunct w:val="0"/>
        <w:bidi w:val="0"/>
        <w:adjustRightInd w:val="0"/>
        <w:snapToGrid w:val="0"/>
        <w:spacing w:line="360" w:lineRule="auto"/>
        <w:ind w:firstLine="480" w:firstLineChars="200"/>
        <w:textAlignment w:val="auto"/>
        <w:rPr>
          <w:rFonts w:hAnsi="宋体" w:cs="宋体"/>
          <w:color w:val="auto"/>
          <w:sz w:val="24"/>
          <w:highlight w:val="none"/>
        </w:rPr>
      </w:pPr>
      <w:r>
        <w:rPr>
          <w:rFonts w:hint="eastAsia" w:hAnsi="宋体" w:cs="宋体"/>
          <w:color w:val="auto"/>
          <w:sz w:val="24"/>
          <w:highlight w:val="none"/>
        </w:rPr>
        <w:t>供应商提交的响应文件以及供应商与采购代理机构和采购人就有关磋商的所有来往函电均应使用中文。供应商提交的支持文件和印刷的文献可以用另一种语言，但相应内容应附有中文翻译本，在解释响应文件时以翻译本为准。</w:t>
      </w:r>
    </w:p>
    <w:p w14:paraId="543003A6">
      <w:pPr>
        <w:pStyle w:val="13"/>
        <w:keepNext w:val="0"/>
        <w:keepLines w:val="0"/>
        <w:pageBreakBefore w:val="0"/>
        <w:kinsoku/>
        <w:overflowPunct/>
        <w:topLinePunct w:val="0"/>
        <w:bidi w:val="0"/>
        <w:spacing w:line="360" w:lineRule="auto"/>
        <w:ind w:firstLine="482" w:firstLineChars="200"/>
        <w:textAlignment w:val="auto"/>
        <w:outlineLvl w:val="2"/>
        <w:rPr>
          <w:rFonts w:hAnsi="宋体" w:cs="宋体"/>
          <w:color w:val="auto"/>
          <w:sz w:val="24"/>
          <w:highlight w:val="none"/>
        </w:rPr>
      </w:pPr>
      <w:r>
        <w:rPr>
          <w:rFonts w:hint="eastAsia" w:hAnsi="宋体" w:cs="宋体"/>
          <w:b/>
          <w:bCs/>
          <w:color w:val="auto"/>
          <w:sz w:val="24"/>
          <w:highlight w:val="none"/>
        </w:rPr>
        <w:t>10、响应文件的构成</w:t>
      </w:r>
    </w:p>
    <w:p w14:paraId="0C2EF779">
      <w:pPr>
        <w:keepNext w:val="0"/>
        <w:keepLines w:val="0"/>
        <w:pageBreakBefore w:val="0"/>
        <w:kinsoku/>
        <w:overflowPunct/>
        <w:topLinePunct w:val="0"/>
        <w:bidi w:val="0"/>
        <w:spacing w:line="360" w:lineRule="auto"/>
        <w:ind w:firstLine="420"/>
        <w:textAlignment w:val="auto"/>
        <w:rPr>
          <w:rFonts w:ascii="宋体" w:hAnsi="宋体" w:cs="宋体"/>
          <w:color w:val="auto"/>
          <w:sz w:val="24"/>
          <w:highlight w:val="none"/>
        </w:rPr>
      </w:pPr>
      <w:r>
        <w:rPr>
          <w:rFonts w:hint="eastAsia" w:ascii="宋体" w:hAnsi="宋体" w:cs="宋体"/>
          <w:color w:val="auto"/>
          <w:sz w:val="24"/>
          <w:highlight w:val="none"/>
        </w:rPr>
        <w:t xml:space="preserve">10.1 </w:t>
      </w:r>
      <w:r>
        <w:rPr>
          <w:rFonts w:hint="eastAsia" w:ascii="宋体" w:hAnsi="宋体" w:cs="宋体"/>
          <w:b/>
          <w:color w:val="auto"/>
          <w:sz w:val="24"/>
          <w:highlight w:val="none"/>
        </w:rPr>
        <w:t>凡有具体格式要求详见竞争性磋商文件“第四部分 响应文件格式”，本竞争性磋商文件没有具体规定和要求的内容格式不限，由供应商自拟</w:t>
      </w:r>
      <w:r>
        <w:rPr>
          <w:rFonts w:hint="eastAsia" w:ascii="宋体" w:hAnsi="宋体" w:cs="宋体"/>
          <w:color w:val="auto"/>
          <w:sz w:val="24"/>
          <w:highlight w:val="none"/>
        </w:rPr>
        <w:t>。</w:t>
      </w:r>
    </w:p>
    <w:p w14:paraId="4FDCB162">
      <w:pPr>
        <w:keepNext w:val="0"/>
        <w:keepLines w:val="0"/>
        <w:pageBreakBefore w:val="0"/>
        <w:kinsoku/>
        <w:overflowPunct/>
        <w:topLinePunct w:val="0"/>
        <w:bidi w:val="0"/>
        <w:spacing w:line="360" w:lineRule="auto"/>
        <w:ind w:firstLine="420"/>
        <w:textAlignment w:val="auto"/>
        <w:rPr>
          <w:rFonts w:ascii="宋体" w:hAnsi="宋体" w:cs="宋体"/>
          <w:color w:val="auto"/>
          <w:sz w:val="24"/>
          <w:highlight w:val="none"/>
        </w:rPr>
      </w:pPr>
      <w:r>
        <w:rPr>
          <w:rFonts w:hint="eastAsia" w:ascii="宋体" w:hAnsi="宋体" w:cs="宋体"/>
          <w:color w:val="auto"/>
          <w:sz w:val="24"/>
          <w:highlight w:val="none"/>
        </w:rPr>
        <w:t>10.2 若供应商未按竞争性磋商文件的要求提供资料，或未对竞争性磋商文件做出实质性响应，将作为无效响应文件。</w:t>
      </w:r>
    </w:p>
    <w:p w14:paraId="5604561C">
      <w:pPr>
        <w:keepNext w:val="0"/>
        <w:keepLines w:val="0"/>
        <w:pageBreakBefore w:val="0"/>
        <w:kinsoku/>
        <w:overflowPunct/>
        <w:topLinePunct w:val="0"/>
        <w:bidi w:val="0"/>
        <w:spacing w:line="360" w:lineRule="auto"/>
        <w:ind w:firstLine="420"/>
        <w:textAlignment w:val="auto"/>
        <w:rPr>
          <w:rFonts w:ascii="宋体" w:hAnsi="宋体" w:cs="宋体"/>
          <w:color w:val="auto"/>
          <w:sz w:val="24"/>
          <w:highlight w:val="none"/>
        </w:rPr>
      </w:pPr>
      <w:r>
        <w:rPr>
          <w:rFonts w:hint="eastAsia" w:ascii="宋体" w:hAnsi="宋体" w:cs="宋体"/>
          <w:color w:val="auto"/>
          <w:sz w:val="24"/>
          <w:highlight w:val="none"/>
        </w:rPr>
        <w:t>10.3 资格的证明文件</w:t>
      </w:r>
    </w:p>
    <w:p w14:paraId="56698E87">
      <w:pPr>
        <w:keepNext w:val="0"/>
        <w:keepLines w:val="0"/>
        <w:pageBreakBefore w:val="0"/>
        <w:kinsoku/>
        <w:overflowPunct/>
        <w:topLinePunct w:val="0"/>
        <w:bidi w:val="0"/>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响应文件由供应商的法定代表人或其授权代表（以下统称磋商申请人代表）递交，并出示本人有效身份证（或港澳台通行证、护照，下同）的原件，和授权书原件（或说明磋商授权书原件装订在响应文件内），以证明授权代表的身份和被授权范围，并由采购人验证确认。</w:t>
      </w:r>
    </w:p>
    <w:p w14:paraId="50578E67">
      <w:pPr>
        <w:keepNext w:val="0"/>
        <w:keepLines w:val="0"/>
        <w:pageBreakBefore w:val="0"/>
        <w:kinsoku/>
        <w:overflowPunct/>
        <w:topLinePunct w:val="0"/>
        <w:bidi w:val="0"/>
        <w:spacing w:line="360" w:lineRule="auto"/>
        <w:ind w:firstLine="482" w:firstLineChars="200"/>
        <w:textAlignment w:val="auto"/>
        <w:rPr>
          <w:rFonts w:ascii="宋体" w:hAnsi="宋体" w:cs="宋体"/>
          <w:b/>
          <w:color w:val="auto"/>
          <w:sz w:val="24"/>
          <w:highlight w:val="none"/>
        </w:rPr>
      </w:pPr>
      <w:r>
        <w:rPr>
          <w:rFonts w:hint="eastAsia" w:ascii="宋体" w:hAnsi="宋体" w:cs="宋体"/>
          <w:b/>
          <w:color w:val="auto"/>
          <w:sz w:val="24"/>
          <w:highlight w:val="none"/>
        </w:rPr>
        <w:t>10.4 编制在响应文件中的以上所需的各种证书、证件、证明等若系复印件，须在复印件上加盖供应商单位公章。</w:t>
      </w:r>
    </w:p>
    <w:p w14:paraId="0CD9D1CC">
      <w:pPr>
        <w:pStyle w:val="13"/>
        <w:keepNext w:val="0"/>
        <w:keepLines w:val="0"/>
        <w:pageBreakBefore w:val="0"/>
        <w:kinsoku/>
        <w:overflowPunct/>
        <w:topLinePunct w:val="0"/>
        <w:bidi w:val="0"/>
        <w:adjustRightInd w:val="0"/>
        <w:snapToGrid w:val="0"/>
        <w:spacing w:line="360" w:lineRule="auto"/>
        <w:ind w:firstLine="482" w:firstLineChars="200"/>
        <w:textAlignment w:val="auto"/>
        <w:outlineLvl w:val="2"/>
        <w:rPr>
          <w:rFonts w:hAnsi="宋体" w:cs="宋体"/>
          <w:b/>
          <w:color w:val="auto"/>
          <w:sz w:val="24"/>
          <w:highlight w:val="none"/>
        </w:rPr>
      </w:pPr>
      <w:r>
        <w:rPr>
          <w:rFonts w:hint="eastAsia" w:hAnsi="宋体" w:cs="宋体"/>
          <w:b/>
          <w:color w:val="auto"/>
          <w:sz w:val="24"/>
          <w:highlight w:val="none"/>
        </w:rPr>
        <w:t>11、响应文件编制</w:t>
      </w:r>
    </w:p>
    <w:p w14:paraId="0A92901F">
      <w:pPr>
        <w:keepNext w:val="0"/>
        <w:keepLines w:val="0"/>
        <w:pageBreakBefore w:val="0"/>
        <w:kinsoku/>
        <w:overflowPunct/>
        <w:topLinePunct w:val="0"/>
        <w:bidi w:val="0"/>
        <w:spacing w:line="360" w:lineRule="auto"/>
        <w:ind w:firstLine="480" w:firstLineChars="200"/>
        <w:textAlignment w:val="auto"/>
        <w:rPr>
          <w:rFonts w:ascii="宋体" w:hAnsi="宋体" w:cs="宋体"/>
          <w:bCs/>
          <w:color w:val="auto"/>
          <w:sz w:val="24"/>
          <w:highlight w:val="none"/>
        </w:rPr>
      </w:pPr>
      <w:r>
        <w:rPr>
          <w:rFonts w:hint="eastAsia" w:ascii="宋体" w:hAnsi="宋体" w:cs="宋体"/>
          <w:bCs/>
          <w:color w:val="auto"/>
          <w:sz w:val="24"/>
          <w:highlight w:val="none"/>
        </w:rPr>
        <w:t>11.1 供应商应完整地填写磋商文件中规定的内容。</w:t>
      </w:r>
    </w:p>
    <w:p w14:paraId="3B03BA60">
      <w:pPr>
        <w:pStyle w:val="13"/>
        <w:keepNext w:val="0"/>
        <w:keepLines w:val="0"/>
        <w:pageBreakBefore w:val="0"/>
        <w:kinsoku/>
        <w:overflowPunct/>
        <w:topLinePunct w:val="0"/>
        <w:bidi w:val="0"/>
        <w:adjustRightInd w:val="0"/>
        <w:snapToGrid w:val="0"/>
        <w:spacing w:line="360" w:lineRule="auto"/>
        <w:ind w:firstLine="480" w:firstLineChars="200"/>
        <w:textAlignment w:val="auto"/>
        <w:rPr>
          <w:rFonts w:hAnsi="宋体" w:cs="宋体"/>
          <w:bCs/>
          <w:color w:val="auto"/>
          <w:sz w:val="24"/>
          <w:highlight w:val="none"/>
        </w:rPr>
      </w:pPr>
      <w:r>
        <w:rPr>
          <w:rFonts w:hint="eastAsia" w:hAnsi="宋体" w:cs="宋体"/>
          <w:bCs/>
          <w:color w:val="auto"/>
          <w:sz w:val="24"/>
          <w:highlight w:val="none"/>
        </w:rPr>
        <w:t>11.2 供应商必须保证响应文件所提供的全部资料真实可靠，并接受采购代理机构对其中任何资料进一步审查的要求。</w:t>
      </w:r>
    </w:p>
    <w:p w14:paraId="448EE20C">
      <w:pPr>
        <w:pStyle w:val="13"/>
        <w:keepNext w:val="0"/>
        <w:keepLines w:val="0"/>
        <w:pageBreakBefore w:val="0"/>
        <w:kinsoku/>
        <w:overflowPunct/>
        <w:topLinePunct w:val="0"/>
        <w:bidi w:val="0"/>
        <w:adjustRightInd w:val="0"/>
        <w:snapToGrid w:val="0"/>
        <w:spacing w:line="360" w:lineRule="auto"/>
        <w:ind w:firstLine="480" w:firstLineChars="200"/>
        <w:textAlignment w:val="auto"/>
        <w:rPr>
          <w:rFonts w:hAnsi="宋体" w:cs="宋体"/>
          <w:bCs/>
          <w:color w:val="auto"/>
          <w:sz w:val="24"/>
          <w:highlight w:val="none"/>
        </w:rPr>
      </w:pPr>
      <w:r>
        <w:rPr>
          <w:rFonts w:hint="eastAsia" w:hAnsi="宋体" w:cs="宋体"/>
          <w:bCs/>
          <w:color w:val="auto"/>
          <w:sz w:val="24"/>
          <w:highlight w:val="none"/>
        </w:rPr>
        <w:t>11.3 如果响应文件填报的内容不详，或没有提供磋商文件中所要求的全部资料及数据，使磋商小组无法正常评审的，由此产生的结果由供应商承担。</w:t>
      </w:r>
    </w:p>
    <w:p w14:paraId="2A254C28">
      <w:pPr>
        <w:pStyle w:val="32"/>
        <w:keepNext w:val="0"/>
        <w:keepLines w:val="0"/>
        <w:pageBreakBefore w:val="0"/>
        <w:kinsoku/>
        <w:overflowPunct/>
        <w:topLinePunct w:val="0"/>
        <w:bidi w:val="0"/>
        <w:spacing w:line="360" w:lineRule="auto"/>
        <w:ind w:firstLine="480" w:firstLineChars="200"/>
        <w:jc w:val="both"/>
        <w:textAlignment w:val="auto"/>
        <w:rPr>
          <w:rFonts w:ascii="宋体" w:hAnsi="宋体" w:cs="宋体"/>
          <w:bCs w:val="0"/>
          <w:color w:val="auto"/>
          <w:spacing w:val="0"/>
          <w:highlight w:val="none"/>
        </w:rPr>
      </w:pPr>
      <w:r>
        <w:rPr>
          <w:rFonts w:hint="eastAsia" w:ascii="宋体" w:hAnsi="宋体" w:cs="宋体"/>
          <w:color w:val="auto"/>
          <w:spacing w:val="0"/>
          <w:kern w:val="2"/>
          <w:highlight w:val="none"/>
        </w:rPr>
        <w:t>11.4 响应文件外形尺寸应统一为A4纸规格，</w:t>
      </w:r>
      <w:r>
        <w:rPr>
          <w:rFonts w:hint="eastAsia" w:ascii="宋体" w:hAnsi="宋体" w:cs="宋体"/>
          <w:bCs w:val="0"/>
          <w:color w:val="auto"/>
          <w:spacing w:val="0"/>
          <w:highlight w:val="none"/>
        </w:rPr>
        <w:t>文件所使用的印章必须为企业公章，且与供应商名称完全一致，不能以其它业务章或附属机构印章代替。需签名之处必须由当事人亲笔签署。</w:t>
      </w:r>
    </w:p>
    <w:p w14:paraId="5C1751F7">
      <w:pPr>
        <w:pStyle w:val="32"/>
        <w:keepNext w:val="0"/>
        <w:keepLines w:val="0"/>
        <w:pageBreakBefore w:val="0"/>
        <w:kinsoku/>
        <w:overflowPunct/>
        <w:topLinePunct w:val="0"/>
        <w:bidi w:val="0"/>
        <w:spacing w:line="360" w:lineRule="auto"/>
        <w:ind w:firstLine="480" w:firstLineChars="200"/>
        <w:jc w:val="both"/>
        <w:textAlignment w:val="auto"/>
        <w:rPr>
          <w:rFonts w:ascii="宋体" w:hAnsi="宋体" w:cs="宋体"/>
          <w:bCs w:val="0"/>
          <w:color w:val="auto"/>
          <w:spacing w:val="0"/>
          <w:highlight w:val="none"/>
        </w:rPr>
      </w:pPr>
      <w:r>
        <w:rPr>
          <w:rFonts w:hint="eastAsia" w:ascii="宋体" w:hAnsi="宋体" w:cs="宋体"/>
          <w:bCs w:val="0"/>
          <w:color w:val="auto"/>
          <w:spacing w:val="0"/>
          <w:highlight w:val="none"/>
        </w:rPr>
        <w:t>11.5 响应文件自制部分必须打印，每页须按顺序加注页码，装订牢固且不会轻易脱落</w:t>
      </w:r>
      <w:r>
        <w:rPr>
          <w:rFonts w:hint="eastAsia" w:ascii="宋体" w:hAnsi="宋体" w:cs="宋体"/>
          <w:b/>
          <w:color w:val="auto"/>
          <w:spacing w:val="0"/>
          <w:highlight w:val="none"/>
        </w:rPr>
        <w:t>（注：如胶装）</w:t>
      </w:r>
      <w:r>
        <w:rPr>
          <w:rFonts w:hint="eastAsia" w:ascii="宋体" w:hAnsi="宋体" w:cs="宋体"/>
          <w:bCs w:val="0"/>
          <w:color w:val="auto"/>
          <w:spacing w:val="0"/>
          <w:highlight w:val="none"/>
        </w:rPr>
        <w:t>。如因装订问题而出现漏页或缺页，由此产生的一切后果由供应商自行承担。</w:t>
      </w:r>
    </w:p>
    <w:p w14:paraId="7AB65B13">
      <w:pPr>
        <w:pStyle w:val="32"/>
        <w:keepNext w:val="0"/>
        <w:keepLines w:val="0"/>
        <w:pageBreakBefore w:val="0"/>
        <w:kinsoku/>
        <w:overflowPunct/>
        <w:topLinePunct w:val="0"/>
        <w:bidi w:val="0"/>
        <w:spacing w:line="360" w:lineRule="auto"/>
        <w:ind w:firstLine="480" w:firstLineChars="200"/>
        <w:jc w:val="both"/>
        <w:textAlignment w:val="auto"/>
        <w:rPr>
          <w:rFonts w:ascii="宋体" w:hAnsi="宋体" w:cs="宋体"/>
          <w:bCs w:val="0"/>
          <w:color w:val="auto"/>
          <w:spacing w:val="0"/>
          <w:highlight w:val="none"/>
        </w:rPr>
      </w:pPr>
      <w:r>
        <w:rPr>
          <w:rFonts w:hint="eastAsia" w:ascii="宋体" w:hAnsi="宋体" w:cs="宋体"/>
          <w:bCs w:val="0"/>
          <w:color w:val="auto"/>
          <w:spacing w:val="0"/>
          <w:highlight w:val="none"/>
        </w:rPr>
        <w:t>11.6 任何行间插字、涂改和增删，必须由供应商授权代表在旁边签字或盖章后方可有效。</w:t>
      </w:r>
    </w:p>
    <w:p w14:paraId="4C322A36">
      <w:pPr>
        <w:pStyle w:val="13"/>
        <w:keepNext w:val="0"/>
        <w:keepLines w:val="0"/>
        <w:pageBreakBefore w:val="0"/>
        <w:kinsoku/>
        <w:overflowPunct/>
        <w:topLinePunct w:val="0"/>
        <w:bidi w:val="0"/>
        <w:adjustRightInd w:val="0"/>
        <w:snapToGrid w:val="0"/>
        <w:spacing w:line="360" w:lineRule="auto"/>
        <w:ind w:firstLine="482" w:firstLineChars="200"/>
        <w:textAlignment w:val="auto"/>
        <w:outlineLvl w:val="2"/>
        <w:rPr>
          <w:rFonts w:hAnsi="宋体" w:cs="宋体"/>
          <w:b/>
          <w:color w:val="auto"/>
          <w:sz w:val="24"/>
          <w:highlight w:val="none"/>
        </w:rPr>
      </w:pPr>
      <w:r>
        <w:rPr>
          <w:rFonts w:hint="eastAsia" w:hAnsi="宋体" w:cs="宋体"/>
          <w:b/>
          <w:color w:val="auto"/>
          <w:sz w:val="24"/>
          <w:highlight w:val="none"/>
        </w:rPr>
        <w:t>12、报价</w:t>
      </w:r>
    </w:p>
    <w:p w14:paraId="31797444">
      <w:pPr>
        <w:keepNext w:val="0"/>
        <w:keepLines w:val="0"/>
        <w:pageBreakBefore w:val="0"/>
        <w:kinsoku/>
        <w:overflowPunct/>
        <w:topLinePunct w:val="0"/>
        <w:bidi w:val="0"/>
        <w:adjustRightInd w:val="0"/>
        <w:snapToGrid w:val="0"/>
        <w:spacing w:line="360" w:lineRule="auto"/>
        <w:ind w:firstLine="482" w:firstLineChars="200"/>
        <w:textAlignment w:val="auto"/>
        <w:rPr>
          <w:rFonts w:hint="eastAsia" w:ascii="宋体" w:hAnsi="宋体" w:eastAsia="宋体" w:cs="宋体"/>
          <w:b/>
          <w:color w:val="auto"/>
          <w:sz w:val="24"/>
          <w:highlight w:val="none"/>
          <w:lang w:eastAsia="zh-CN"/>
        </w:rPr>
      </w:pPr>
      <w:r>
        <w:rPr>
          <w:rFonts w:hint="eastAsia" w:ascii="宋体" w:hAnsi="宋体" w:cs="宋体"/>
          <w:b/>
          <w:color w:val="auto"/>
          <w:sz w:val="24"/>
          <w:highlight w:val="none"/>
        </w:rPr>
        <w:t>预算金额：</w:t>
      </w:r>
      <w:r>
        <w:rPr>
          <w:rFonts w:hint="eastAsia" w:ascii="宋体" w:hAnsi="宋体" w:cs="宋体"/>
          <w:color w:val="auto"/>
          <w:sz w:val="24"/>
          <w:highlight w:val="none"/>
          <w:lang w:eastAsia="zh-CN"/>
        </w:rPr>
        <w:t>1822903.00元（其中A包：厨房设备347687.00元；B包：教学设备999780.00元；C包：办公用品475436.00元）；</w:t>
      </w:r>
    </w:p>
    <w:p w14:paraId="4989989C">
      <w:pPr>
        <w:keepNext w:val="0"/>
        <w:keepLines w:val="0"/>
        <w:pageBreakBefore w:val="0"/>
        <w:kinsoku/>
        <w:overflowPunct/>
        <w:topLinePunct w:val="0"/>
        <w:bidi w:val="0"/>
        <w:adjustRightInd w:val="0"/>
        <w:snapToGrid w:val="0"/>
        <w:spacing w:line="360" w:lineRule="auto"/>
        <w:ind w:firstLine="482" w:firstLineChars="200"/>
        <w:textAlignment w:val="auto"/>
        <w:rPr>
          <w:rFonts w:hint="eastAsia" w:ascii="宋体" w:hAnsi="宋体" w:eastAsia="宋体" w:cs="宋体"/>
          <w:b/>
          <w:color w:val="auto"/>
          <w:sz w:val="24"/>
          <w:highlight w:val="none"/>
          <w:lang w:eastAsia="zh-CN"/>
        </w:rPr>
      </w:pPr>
      <w:r>
        <w:rPr>
          <w:rFonts w:hint="eastAsia" w:ascii="宋体" w:hAnsi="宋体" w:cs="宋体"/>
          <w:b/>
          <w:color w:val="auto"/>
          <w:sz w:val="24"/>
          <w:highlight w:val="none"/>
        </w:rPr>
        <w:t>最高限价：</w:t>
      </w:r>
      <w:r>
        <w:rPr>
          <w:rFonts w:hint="eastAsia" w:ascii="宋体" w:hAnsi="宋体" w:cs="宋体"/>
          <w:color w:val="auto"/>
          <w:sz w:val="24"/>
          <w:highlight w:val="none"/>
          <w:lang w:eastAsia="zh-CN"/>
        </w:rPr>
        <w:t>1822903.00元（其中A包：厨房设备347687.00元；B包：教学设备999780.00元；C包：办公用品475436.00元）</w:t>
      </w:r>
      <w:r>
        <w:rPr>
          <w:rFonts w:hint="eastAsia" w:ascii="宋体" w:hAnsi="宋体" w:cs="宋体"/>
          <w:b/>
          <w:bCs/>
          <w:color w:val="auto"/>
          <w:sz w:val="24"/>
          <w:highlight w:val="none"/>
        </w:rPr>
        <w:t>超出最高限价</w:t>
      </w:r>
      <w:r>
        <w:rPr>
          <w:rFonts w:hint="eastAsia" w:ascii="宋体" w:hAnsi="宋体" w:cs="宋体"/>
          <w:b/>
          <w:bCs/>
          <w:color w:val="auto"/>
          <w:sz w:val="24"/>
          <w:highlight w:val="none"/>
          <w:lang w:eastAsia="zh-CN"/>
        </w:rPr>
        <w:t>及单项最高限价</w:t>
      </w:r>
      <w:r>
        <w:rPr>
          <w:rFonts w:hint="eastAsia" w:ascii="宋体" w:hAnsi="宋体" w:cs="宋体"/>
          <w:b/>
          <w:bCs/>
          <w:color w:val="auto"/>
          <w:sz w:val="24"/>
          <w:highlight w:val="none"/>
        </w:rPr>
        <w:t>的投标报价，按无效响应处理</w:t>
      </w:r>
      <w:r>
        <w:rPr>
          <w:rFonts w:hint="eastAsia" w:ascii="宋体" w:hAnsi="宋体" w:cs="宋体"/>
          <w:b/>
          <w:bCs/>
          <w:color w:val="auto"/>
          <w:sz w:val="24"/>
          <w:highlight w:val="none"/>
          <w:lang w:eastAsia="zh-CN"/>
        </w:rPr>
        <w:t>；</w:t>
      </w:r>
    </w:p>
    <w:p w14:paraId="63C0619F">
      <w:pPr>
        <w:keepNext w:val="0"/>
        <w:keepLines w:val="0"/>
        <w:pageBreakBefore w:val="0"/>
        <w:kinsoku/>
        <w:overflowPunct/>
        <w:topLinePunct w:val="0"/>
        <w:bidi w:val="0"/>
        <w:adjustRightInd w:val="0"/>
        <w:snapToGrid w:val="0"/>
        <w:spacing w:line="360" w:lineRule="auto"/>
        <w:ind w:firstLine="482" w:firstLineChars="200"/>
        <w:textAlignment w:val="auto"/>
        <w:outlineLvl w:val="2"/>
        <w:rPr>
          <w:rFonts w:ascii="宋体" w:hAnsi="宋体" w:cs="宋体"/>
          <w:b/>
          <w:color w:val="auto"/>
          <w:sz w:val="24"/>
          <w:highlight w:val="none"/>
        </w:rPr>
      </w:pPr>
      <w:r>
        <w:rPr>
          <w:rFonts w:hint="eastAsia" w:ascii="宋体" w:hAnsi="宋体" w:cs="宋体"/>
          <w:b/>
          <w:color w:val="auto"/>
          <w:sz w:val="24"/>
          <w:highlight w:val="none"/>
        </w:rPr>
        <w:t>13、备选方案</w:t>
      </w:r>
    </w:p>
    <w:p w14:paraId="0E5C9249">
      <w:pPr>
        <w:pStyle w:val="13"/>
        <w:keepNext w:val="0"/>
        <w:keepLines w:val="0"/>
        <w:pageBreakBefore w:val="0"/>
        <w:kinsoku/>
        <w:overflowPunct/>
        <w:topLinePunct w:val="0"/>
        <w:bidi w:val="0"/>
        <w:adjustRightInd w:val="0"/>
        <w:snapToGrid w:val="0"/>
        <w:spacing w:line="360" w:lineRule="auto"/>
        <w:ind w:firstLine="480" w:firstLineChars="200"/>
        <w:textAlignment w:val="auto"/>
        <w:rPr>
          <w:rFonts w:hAnsi="宋体" w:cs="宋体"/>
          <w:bCs/>
          <w:color w:val="auto"/>
          <w:sz w:val="24"/>
          <w:highlight w:val="none"/>
        </w:rPr>
      </w:pPr>
      <w:r>
        <w:rPr>
          <w:rFonts w:hint="eastAsia" w:hAnsi="宋体" w:cs="宋体"/>
          <w:bCs/>
          <w:color w:val="auto"/>
          <w:sz w:val="24"/>
          <w:highlight w:val="none"/>
        </w:rPr>
        <w:t>本次竞争性磋商只允许供应商有一个响应方案，否则视其响应文件无效。</w:t>
      </w:r>
    </w:p>
    <w:p w14:paraId="332A37E5">
      <w:pPr>
        <w:keepNext w:val="0"/>
        <w:keepLines w:val="0"/>
        <w:pageBreakBefore w:val="0"/>
        <w:kinsoku/>
        <w:overflowPunct/>
        <w:topLinePunct w:val="0"/>
        <w:bidi w:val="0"/>
        <w:spacing w:line="360" w:lineRule="auto"/>
        <w:ind w:firstLine="482" w:firstLineChars="200"/>
        <w:textAlignment w:val="auto"/>
        <w:outlineLvl w:val="2"/>
        <w:rPr>
          <w:rFonts w:ascii="宋体" w:hAnsi="宋体" w:cs="宋体"/>
          <w:b/>
          <w:color w:val="auto"/>
          <w:sz w:val="24"/>
          <w:highlight w:val="none"/>
        </w:rPr>
      </w:pPr>
      <w:r>
        <w:rPr>
          <w:rFonts w:hint="eastAsia" w:ascii="宋体" w:hAnsi="宋体" w:cs="宋体"/>
          <w:b/>
          <w:color w:val="auto"/>
          <w:sz w:val="24"/>
          <w:highlight w:val="none"/>
          <w:lang w:val="en-US" w:eastAsia="zh-CN"/>
        </w:rPr>
        <w:t>14</w:t>
      </w:r>
      <w:r>
        <w:rPr>
          <w:rFonts w:hint="eastAsia" w:ascii="宋体" w:hAnsi="宋体" w:cs="宋体"/>
          <w:b/>
          <w:color w:val="auto"/>
          <w:sz w:val="24"/>
          <w:highlight w:val="none"/>
        </w:rPr>
        <w:t>、响应文件的有效期</w:t>
      </w:r>
    </w:p>
    <w:p w14:paraId="0CC1B5A4">
      <w:pPr>
        <w:keepNext w:val="0"/>
        <w:keepLines w:val="0"/>
        <w:pageBreakBefore w:val="0"/>
        <w:kinsoku/>
        <w:overflowPunct/>
        <w:topLinePunct w:val="0"/>
        <w:bidi w:val="0"/>
        <w:spacing w:line="360" w:lineRule="auto"/>
        <w:ind w:firstLine="480" w:firstLineChars="200"/>
        <w:textAlignment w:val="auto"/>
        <w:rPr>
          <w:rFonts w:ascii="宋体" w:hAnsi="宋体" w:cs="宋体"/>
          <w:bCs/>
          <w:color w:val="auto"/>
          <w:sz w:val="24"/>
          <w:highlight w:val="none"/>
        </w:rPr>
      </w:pPr>
      <w:r>
        <w:rPr>
          <w:rFonts w:hint="eastAsia" w:ascii="宋体" w:hAnsi="宋体" w:cs="宋体"/>
          <w:bCs/>
          <w:color w:val="auto"/>
          <w:sz w:val="24"/>
          <w:highlight w:val="none"/>
        </w:rPr>
        <w:t>1</w:t>
      </w:r>
      <w:r>
        <w:rPr>
          <w:rFonts w:hint="eastAsia" w:ascii="宋体" w:hAnsi="宋体" w:cs="宋体"/>
          <w:bCs/>
          <w:color w:val="auto"/>
          <w:sz w:val="24"/>
          <w:highlight w:val="none"/>
          <w:lang w:val="en-US" w:eastAsia="zh-CN"/>
        </w:rPr>
        <w:t>4</w:t>
      </w:r>
      <w:r>
        <w:rPr>
          <w:rFonts w:hint="eastAsia" w:ascii="宋体" w:hAnsi="宋体" w:cs="宋体"/>
          <w:bCs/>
          <w:color w:val="auto"/>
          <w:sz w:val="24"/>
          <w:highlight w:val="none"/>
        </w:rPr>
        <w:t>.1 响应文件应自开标之日起</w:t>
      </w:r>
      <w:r>
        <w:rPr>
          <w:rFonts w:hint="eastAsia" w:ascii="宋体" w:hAnsi="宋体" w:cs="宋体"/>
          <w:b/>
          <w:color w:val="auto"/>
          <w:sz w:val="24"/>
          <w:highlight w:val="none"/>
          <w:u w:val="single"/>
        </w:rPr>
        <w:t>60</w:t>
      </w:r>
      <w:r>
        <w:rPr>
          <w:rFonts w:hint="eastAsia" w:ascii="宋体" w:hAnsi="宋体" w:cs="宋体"/>
          <w:bCs/>
          <w:color w:val="auto"/>
          <w:sz w:val="24"/>
          <w:highlight w:val="none"/>
        </w:rPr>
        <w:t>日历</w:t>
      </w:r>
      <w:r>
        <w:rPr>
          <w:rFonts w:hint="eastAsia" w:ascii="宋体" w:hAnsi="宋体" w:cs="宋体"/>
          <w:bCs/>
          <w:color w:val="auto"/>
          <w:sz w:val="24"/>
          <w:highlight w:val="none"/>
          <w:lang w:val="en-US" w:eastAsia="zh-CN"/>
        </w:rPr>
        <w:t>天</w:t>
      </w:r>
      <w:r>
        <w:rPr>
          <w:rFonts w:hint="eastAsia" w:ascii="宋体" w:hAnsi="宋体" w:cs="宋体"/>
          <w:bCs/>
          <w:color w:val="auto"/>
          <w:sz w:val="24"/>
          <w:highlight w:val="none"/>
        </w:rPr>
        <w:t>内保持有效。响应文件中载明的响应文件有效期可以长于磋商文件规定的期限，但不得短于磋商文件规定的期限。否则，其响应文件将作为无效响应处理。</w:t>
      </w:r>
    </w:p>
    <w:p w14:paraId="1235A667">
      <w:pPr>
        <w:keepNext w:val="0"/>
        <w:keepLines w:val="0"/>
        <w:pageBreakBefore w:val="0"/>
        <w:kinsoku/>
        <w:overflowPunct/>
        <w:topLinePunct w:val="0"/>
        <w:autoSpaceDE w:val="0"/>
        <w:autoSpaceDN w:val="0"/>
        <w:bidi w:val="0"/>
        <w:adjustRightInd w:val="0"/>
        <w:snapToGrid w:val="0"/>
        <w:spacing w:line="360" w:lineRule="auto"/>
        <w:ind w:right="34" w:firstLine="540" w:firstLineChars="225"/>
        <w:textAlignment w:val="auto"/>
        <w:rPr>
          <w:rFonts w:ascii="宋体" w:hAnsi="宋体" w:cs="宋体"/>
          <w:bCs/>
          <w:color w:val="auto"/>
          <w:sz w:val="24"/>
          <w:highlight w:val="none"/>
        </w:rPr>
      </w:pPr>
      <w:r>
        <w:rPr>
          <w:rFonts w:hint="eastAsia" w:ascii="宋体" w:hAnsi="宋体" w:cs="宋体"/>
          <w:bCs/>
          <w:color w:val="auto"/>
          <w:sz w:val="24"/>
          <w:highlight w:val="none"/>
        </w:rPr>
        <w:t>1</w:t>
      </w:r>
      <w:r>
        <w:rPr>
          <w:rFonts w:hint="eastAsia" w:ascii="宋体" w:hAnsi="宋体" w:cs="宋体"/>
          <w:bCs/>
          <w:color w:val="auto"/>
          <w:sz w:val="24"/>
          <w:highlight w:val="none"/>
          <w:lang w:val="en-US" w:eastAsia="zh-CN"/>
        </w:rPr>
        <w:t>4</w:t>
      </w:r>
      <w:r>
        <w:rPr>
          <w:rFonts w:hint="eastAsia" w:ascii="宋体" w:hAnsi="宋体" w:cs="宋体"/>
          <w:bCs/>
          <w:color w:val="auto"/>
          <w:sz w:val="24"/>
          <w:highlight w:val="none"/>
        </w:rPr>
        <w:t>.2 特殊情况下，在原响应有效期截止之前，采购代理机构和采购人可要求供应商延长响应有效期。这种要求与答复均应以书面形式提交。供应商可拒绝采购代理机构和采购人的这种要求，但其响应文件在原响应有效期满后将不再有效。同意延长响应有效期的供应商将不会被要求和允许修正其响应。</w:t>
      </w:r>
    </w:p>
    <w:p w14:paraId="4678B445">
      <w:pPr>
        <w:keepNext w:val="0"/>
        <w:keepLines w:val="0"/>
        <w:pageBreakBefore w:val="0"/>
        <w:kinsoku/>
        <w:overflowPunct/>
        <w:topLinePunct w:val="0"/>
        <w:autoSpaceDE w:val="0"/>
        <w:autoSpaceDN w:val="0"/>
        <w:bidi w:val="0"/>
        <w:adjustRightInd w:val="0"/>
        <w:snapToGrid w:val="0"/>
        <w:spacing w:line="360" w:lineRule="auto"/>
        <w:ind w:left="-420" w:leftChars="-200" w:right="34" w:firstLine="964" w:firstLineChars="400"/>
        <w:textAlignment w:val="auto"/>
        <w:outlineLvl w:val="2"/>
        <w:rPr>
          <w:rFonts w:ascii="宋体" w:hAnsi="宋体" w:cs="宋体"/>
          <w:bCs/>
          <w:color w:val="auto"/>
          <w:sz w:val="24"/>
          <w:highlight w:val="none"/>
        </w:rPr>
      </w:pPr>
      <w:r>
        <w:rPr>
          <w:rFonts w:hint="eastAsia" w:ascii="宋体" w:hAnsi="宋体" w:cs="宋体"/>
          <w:b/>
          <w:color w:val="auto"/>
          <w:sz w:val="24"/>
          <w:highlight w:val="none"/>
        </w:rPr>
        <w:t>1</w:t>
      </w:r>
      <w:r>
        <w:rPr>
          <w:rFonts w:hint="eastAsia" w:ascii="宋体" w:hAnsi="宋体" w:cs="宋体"/>
          <w:b/>
          <w:color w:val="auto"/>
          <w:sz w:val="24"/>
          <w:highlight w:val="none"/>
          <w:lang w:val="en-US" w:eastAsia="zh-CN"/>
        </w:rPr>
        <w:t>5</w:t>
      </w:r>
      <w:r>
        <w:rPr>
          <w:rFonts w:hint="eastAsia" w:ascii="宋体" w:hAnsi="宋体" w:cs="宋体"/>
          <w:b/>
          <w:color w:val="auto"/>
          <w:sz w:val="24"/>
          <w:highlight w:val="none"/>
        </w:rPr>
        <w:t>、响应文件的数量和签署</w:t>
      </w:r>
    </w:p>
    <w:p w14:paraId="34A573F6">
      <w:pPr>
        <w:keepNext w:val="0"/>
        <w:keepLines w:val="0"/>
        <w:pageBreakBefore w:val="0"/>
        <w:kinsoku/>
        <w:overflowPunct/>
        <w:topLinePunct w:val="0"/>
        <w:bidi w:val="0"/>
        <w:spacing w:line="360" w:lineRule="auto"/>
        <w:ind w:firstLine="480" w:firstLineChars="200"/>
        <w:textAlignment w:val="auto"/>
        <w:rPr>
          <w:rFonts w:ascii="宋体" w:hAnsi="宋体" w:cs="宋体"/>
          <w:b/>
          <w:color w:val="auto"/>
          <w:sz w:val="24"/>
          <w:highlight w:val="none"/>
        </w:rPr>
      </w:pPr>
      <w:r>
        <w:rPr>
          <w:rFonts w:hint="eastAsia" w:ascii="宋体" w:hAnsi="宋体" w:cs="宋体"/>
          <w:bCs/>
          <w:color w:val="auto"/>
          <w:sz w:val="24"/>
          <w:highlight w:val="none"/>
        </w:rPr>
        <w:t>1</w:t>
      </w:r>
      <w:r>
        <w:rPr>
          <w:rFonts w:hint="eastAsia" w:ascii="宋体" w:hAnsi="宋体" w:cs="宋体"/>
          <w:bCs/>
          <w:color w:val="auto"/>
          <w:sz w:val="24"/>
          <w:highlight w:val="none"/>
          <w:lang w:val="en-US" w:eastAsia="zh-CN"/>
        </w:rPr>
        <w:t>5</w:t>
      </w:r>
      <w:r>
        <w:rPr>
          <w:rFonts w:hint="eastAsia" w:ascii="宋体" w:hAnsi="宋体" w:cs="宋体"/>
          <w:bCs/>
          <w:color w:val="auto"/>
          <w:sz w:val="24"/>
          <w:highlight w:val="none"/>
        </w:rPr>
        <w:t>.1 响应文件</w:t>
      </w:r>
      <w:r>
        <w:rPr>
          <w:rFonts w:hint="eastAsia" w:ascii="宋体" w:hAnsi="宋体" w:cs="宋体"/>
          <w:color w:val="auto"/>
          <w:sz w:val="24"/>
          <w:highlight w:val="none"/>
        </w:rPr>
        <w:t>纸质版</w:t>
      </w:r>
      <w:r>
        <w:rPr>
          <w:rFonts w:hint="eastAsia" w:ascii="宋体" w:hAnsi="宋体" w:cs="宋体"/>
          <w:bCs/>
          <w:color w:val="auto"/>
          <w:sz w:val="24"/>
          <w:highlight w:val="none"/>
        </w:rPr>
        <w:t>一式叁份，</w:t>
      </w:r>
      <w:r>
        <w:rPr>
          <w:rFonts w:hint="eastAsia" w:ascii="宋体" w:hAnsi="宋体" w:cs="宋体"/>
          <w:b/>
          <w:color w:val="auto"/>
          <w:sz w:val="24"/>
          <w:highlight w:val="none"/>
        </w:rPr>
        <w:t>双面打印</w:t>
      </w:r>
      <w:r>
        <w:rPr>
          <w:rFonts w:hint="eastAsia" w:ascii="宋体" w:hAnsi="宋体" w:cs="宋体"/>
          <w:bCs/>
          <w:color w:val="auto"/>
          <w:sz w:val="24"/>
          <w:highlight w:val="none"/>
        </w:rPr>
        <w:t>（正本壹份，副本贰份），固定装订</w:t>
      </w:r>
      <w:r>
        <w:rPr>
          <w:rFonts w:hint="eastAsia" w:ascii="宋体" w:hAnsi="宋体" w:cs="宋体"/>
          <w:b/>
          <w:color w:val="auto"/>
          <w:sz w:val="24"/>
          <w:highlight w:val="none"/>
        </w:rPr>
        <w:t>（注：如胶装）</w:t>
      </w:r>
      <w:r>
        <w:rPr>
          <w:rFonts w:hint="eastAsia" w:ascii="宋体" w:hAnsi="宋体" w:cs="宋体"/>
          <w:bCs/>
          <w:color w:val="auto"/>
          <w:sz w:val="24"/>
          <w:highlight w:val="none"/>
        </w:rPr>
        <w:t>。报价一览表壹份，独立信封密封,</w:t>
      </w:r>
      <w:r>
        <w:rPr>
          <w:rFonts w:hint="eastAsia" w:ascii="宋体" w:hAnsi="宋体" w:cs="宋体"/>
          <w:color w:val="auto"/>
          <w:sz w:val="24"/>
          <w:highlight w:val="none"/>
        </w:rPr>
        <w:t>信封外注明“报价一览表”。</w:t>
      </w:r>
      <w:r>
        <w:rPr>
          <w:rFonts w:hint="eastAsia" w:ascii="宋体" w:hAnsi="宋体" w:cs="宋体"/>
          <w:b/>
          <w:bCs/>
          <w:color w:val="auto"/>
          <w:sz w:val="24"/>
          <w:highlight w:val="none"/>
        </w:rPr>
        <w:t>提供响应文件电子版PDF文档1份（响应文件正本扫描件或加盖电子签字及盖章），并将U盘（标注公司名称）密封在“报价一览表”中，电子介质的响应文件与纸质响应文件具有同等的法律效力,如电子介质响应文件与纸质响应文件正本不一致时以纸质版响应文件正本为准。</w:t>
      </w:r>
    </w:p>
    <w:p w14:paraId="00799296">
      <w:pPr>
        <w:keepNext w:val="0"/>
        <w:keepLines w:val="0"/>
        <w:pageBreakBefore w:val="0"/>
        <w:kinsoku/>
        <w:overflowPunct/>
        <w:topLinePunct w:val="0"/>
        <w:bidi w:val="0"/>
        <w:spacing w:line="360" w:lineRule="auto"/>
        <w:ind w:firstLine="480" w:firstLineChars="200"/>
        <w:textAlignment w:val="auto"/>
        <w:rPr>
          <w:rFonts w:ascii="宋体" w:hAnsi="宋体" w:cs="宋体"/>
          <w:bCs/>
          <w:color w:val="auto"/>
          <w:sz w:val="24"/>
          <w:highlight w:val="none"/>
        </w:rPr>
      </w:pPr>
      <w:r>
        <w:rPr>
          <w:rFonts w:hint="eastAsia" w:ascii="宋体" w:hAnsi="宋体" w:cs="宋体"/>
          <w:bCs/>
          <w:color w:val="auto"/>
          <w:sz w:val="24"/>
          <w:highlight w:val="none"/>
        </w:rPr>
        <w:t>1</w:t>
      </w:r>
      <w:r>
        <w:rPr>
          <w:rFonts w:hint="eastAsia" w:ascii="宋体" w:hAnsi="宋体" w:cs="宋体"/>
          <w:bCs/>
          <w:color w:val="auto"/>
          <w:sz w:val="24"/>
          <w:highlight w:val="none"/>
          <w:lang w:val="en-US" w:eastAsia="zh-CN"/>
        </w:rPr>
        <w:t>5</w:t>
      </w:r>
      <w:r>
        <w:rPr>
          <w:rFonts w:hint="eastAsia" w:ascii="宋体" w:hAnsi="宋体" w:cs="宋体"/>
          <w:bCs/>
          <w:color w:val="auto"/>
          <w:sz w:val="24"/>
          <w:highlight w:val="none"/>
        </w:rPr>
        <w:t>.2响应文件须按磋商文件的要求执行，每份响应文件均须在封面上清楚标明“正本”或“副本”字样，“正本”和“副本”具有同等的法律效力；“正本”和“副本”之间如有差异，以“正本”为准。</w:t>
      </w:r>
    </w:p>
    <w:p w14:paraId="24E50B78">
      <w:pPr>
        <w:keepNext w:val="0"/>
        <w:keepLines w:val="0"/>
        <w:pageBreakBefore w:val="0"/>
        <w:kinsoku/>
        <w:overflowPunct/>
        <w:topLinePunct w:val="0"/>
        <w:bidi w:val="0"/>
        <w:spacing w:line="360" w:lineRule="auto"/>
        <w:ind w:firstLine="480" w:firstLineChars="200"/>
        <w:textAlignment w:val="auto"/>
        <w:rPr>
          <w:rFonts w:ascii="宋体" w:hAnsi="宋体" w:cs="宋体"/>
          <w:b/>
          <w:color w:val="auto"/>
          <w:sz w:val="24"/>
          <w:highlight w:val="none"/>
        </w:rPr>
      </w:pPr>
      <w:r>
        <w:rPr>
          <w:rFonts w:hint="eastAsia" w:ascii="宋体" w:hAnsi="宋体" w:cs="宋体"/>
          <w:bCs/>
          <w:color w:val="auto"/>
          <w:sz w:val="24"/>
          <w:highlight w:val="none"/>
        </w:rPr>
        <w:t>1</w:t>
      </w:r>
      <w:r>
        <w:rPr>
          <w:rFonts w:hint="eastAsia" w:ascii="宋体" w:hAnsi="宋体" w:cs="宋体"/>
          <w:bCs/>
          <w:color w:val="auto"/>
          <w:sz w:val="24"/>
          <w:highlight w:val="none"/>
          <w:lang w:val="en-US" w:eastAsia="zh-CN"/>
        </w:rPr>
        <w:t>5</w:t>
      </w:r>
      <w:r>
        <w:rPr>
          <w:rFonts w:hint="eastAsia" w:ascii="宋体" w:hAnsi="宋体" w:cs="宋体"/>
          <w:bCs/>
          <w:color w:val="auto"/>
          <w:sz w:val="24"/>
          <w:highlight w:val="none"/>
        </w:rPr>
        <w:t xml:space="preserve">.3 </w:t>
      </w:r>
      <w:r>
        <w:rPr>
          <w:rFonts w:hint="eastAsia" w:ascii="宋体" w:hAnsi="宋体" w:cs="宋体"/>
          <w:b/>
          <w:color w:val="auto"/>
          <w:sz w:val="24"/>
          <w:highlight w:val="none"/>
        </w:rPr>
        <w:t>响应文件正本中，文字材料需打印或用不褪色墨水书写。字迹易于辨认，并由投标供应商的法定代表人或其委托代理人，在响应文件要求签字和盖章的地方必须签字和盖章（公章），在响应文件正本必须盖上骑缝章，副本可以复印，正本没有签字和盖章的文件将无法通过资格审查。</w:t>
      </w:r>
    </w:p>
    <w:p w14:paraId="15F5E924">
      <w:pPr>
        <w:keepNext w:val="0"/>
        <w:keepLines w:val="0"/>
        <w:pageBreakBefore w:val="0"/>
        <w:kinsoku/>
        <w:overflowPunct/>
        <w:topLinePunct w:val="0"/>
        <w:bidi w:val="0"/>
        <w:spacing w:line="360" w:lineRule="auto"/>
        <w:ind w:firstLine="562" w:firstLineChars="200"/>
        <w:textAlignment w:val="auto"/>
        <w:rPr>
          <w:rFonts w:ascii="宋体" w:hAnsi="宋体" w:cs="宋体"/>
          <w:b/>
          <w:color w:val="auto"/>
          <w:sz w:val="28"/>
          <w:szCs w:val="28"/>
          <w:highlight w:val="none"/>
        </w:rPr>
      </w:pPr>
      <w:r>
        <w:rPr>
          <w:rFonts w:hint="eastAsia" w:ascii="宋体" w:hAnsi="宋体" w:cs="宋体"/>
          <w:b/>
          <w:color w:val="auto"/>
          <w:sz w:val="28"/>
          <w:szCs w:val="28"/>
          <w:highlight w:val="none"/>
        </w:rPr>
        <w:t>（四）响应文件的递交</w:t>
      </w:r>
    </w:p>
    <w:p w14:paraId="48CD7D7B">
      <w:pPr>
        <w:keepNext w:val="0"/>
        <w:keepLines w:val="0"/>
        <w:pageBreakBefore w:val="0"/>
        <w:kinsoku/>
        <w:overflowPunct/>
        <w:topLinePunct w:val="0"/>
        <w:bidi w:val="0"/>
        <w:spacing w:line="360" w:lineRule="auto"/>
        <w:ind w:firstLine="482" w:firstLineChars="200"/>
        <w:textAlignment w:val="auto"/>
        <w:rPr>
          <w:rFonts w:ascii="宋体" w:hAnsi="宋体" w:cs="宋体"/>
          <w:b/>
          <w:color w:val="auto"/>
          <w:sz w:val="24"/>
          <w:highlight w:val="none"/>
        </w:rPr>
      </w:pPr>
      <w:r>
        <w:rPr>
          <w:rFonts w:hint="eastAsia" w:ascii="宋体" w:hAnsi="宋体" w:cs="宋体"/>
          <w:b/>
          <w:color w:val="auto"/>
          <w:sz w:val="24"/>
          <w:highlight w:val="none"/>
        </w:rPr>
        <w:t>1</w:t>
      </w:r>
      <w:r>
        <w:rPr>
          <w:rFonts w:hint="eastAsia" w:ascii="宋体" w:hAnsi="宋体" w:cs="宋体"/>
          <w:b/>
          <w:color w:val="auto"/>
          <w:sz w:val="24"/>
          <w:highlight w:val="none"/>
          <w:lang w:val="en-US" w:eastAsia="zh-CN"/>
        </w:rPr>
        <w:t>6</w:t>
      </w:r>
      <w:r>
        <w:rPr>
          <w:rFonts w:hint="eastAsia" w:ascii="宋体" w:hAnsi="宋体" w:cs="宋体"/>
          <w:b/>
          <w:color w:val="auto"/>
          <w:sz w:val="24"/>
          <w:highlight w:val="none"/>
        </w:rPr>
        <w:t>、响应文件的密封及标记</w:t>
      </w:r>
    </w:p>
    <w:p w14:paraId="2950818B">
      <w:pPr>
        <w:keepNext w:val="0"/>
        <w:keepLines w:val="0"/>
        <w:pageBreakBefore w:val="0"/>
        <w:kinsoku/>
        <w:overflowPunct/>
        <w:topLinePunct w:val="0"/>
        <w:bidi w:val="0"/>
        <w:spacing w:line="360" w:lineRule="auto"/>
        <w:ind w:firstLine="480" w:firstLineChars="200"/>
        <w:textAlignment w:val="auto"/>
        <w:rPr>
          <w:rFonts w:ascii="宋体" w:hAnsi="宋体" w:cs="宋体"/>
          <w:bCs/>
          <w:color w:val="auto"/>
          <w:sz w:val="24"/>
          <w:highlight w:val="none"/>
        </w:rPr>
      </w:pPr>
      <w:r>
        <w:rPr>
          <w:rFonts w:hint="eastAsia" w:ascii="宋体" w:hAnsi="宋体" w:cs="宋体"/>
          <w:bCs/>
          <w:color w:val="auto"/>
          <w:sz w:val="24"/>
          <w:highlight w:val="none"/>
        </w:rPr>
        <w:t>1</w:t>
      </w:r>
      <w:r>
        <w:rPr>
          <w:rFonts w:hint="eastAsia" w:ascii="宋体" w:hAnsi="宋体" w:cs="宋体"/>
          <w:bCs/>
          <w:color w:val="auto"/>
          <w:sz w:val="24"/>
          <w:highlight w:val="none"/>
          <w:lang w:val="en-US" w:eastAsia="zh-CN"/>
        </w:rPr>
        <w:t>6</w:t>
      </w:r>
      <w:r>
        <w:rPr>
          <w:rFonts w:hint="eastAsia" w:ascii="宋体" w:hAnsi="宋体" w:cs="宋体"/>
          <w:bCs/>
          <w:color w:val="auto"/>
          <w:sz w:val="24"/>
          <w:highlight w:val="none"/>
        </w:rPr>
        <w:t>.l 供应商应将响应文件正本和所有副本分别密封在两个专用袋（箱）中</w:t>
      </w:r>
      <w:r>
        <w:rPr>
          <w:rFonts w:hint="eastAsia" w:ascii="宋体" w:hAnsi="宋体" w:cs="宋体"/>
          <w:b/>
          <w:color w:val="auto"/>
          <w:sz w:val="24"/>
          <w:highlight w:val="none"/>
        </w:rPr>
        <w:t>（正本一份共一袋，副本二份共一袋）</w:t>
      </w:r>
      <w:r>
        <w:rPr>
          <w:rFonts w:hint="eastAsia" w:ascii="宋体" w:hAnsi="宋体" w:cs="宋体"/>
          <w:bCs/>
          <w:color w:val="auto"/>
          <w:sz w:val="24"/>
          <w:highlight w:val="none"/>
        </w:rPr>
        <w:t>及</w:t>
      </w:r>
      <w:r>
        <w:rPr>
          <w:rFonts w:hint="eastAsia" w:ascii="宋体" w:hAnsi="宋体" w:cs="宋体"/>
          <w:b/>
          <w:color w:val="auto"/>
          <w:sz w:val="24"/>
          <w:highlight w:val="none"/>
        </w:rPr>
        <w:t>报价一览表（独立信封密封一份）</w:t>
      </w:r>
      <w:r>
        <w:rPr>
          <w:rFonts w:hint="eastAsia" w:ascii="宋体" w:hAnsi="宋体" w:cs="宋体"/>
          <w:bCs/>
          <w:color w:val="auto"/>
          <w:sz w:val="24"/>
          <w:highlight w:val="none"/>
        </w:rPr>
        <w:t>，并在专用袋（箱）上标明“</w:t>
      </w:r>
      <w:r>
        <w:rPr>
          <w:rFonts w:hint="eastAsia" w:ascii="宋体" w:hAnsi="宋体" w:cs="宋体"/>
          <w:b/>
          <w:color w:val="auto"/>
          <w:sz w:val="24"/>
          <w:highlight w:val="none"/>
        </w:rPr>
        <w:t>正本</w:t>
      </w:r>
      <w:r>
        <w:rPr>
          <w:rFonts w:hint="eastAsia" w:ascii="宋体" w:hAnsi="宋体" w:cs="宋体"/>
          <w:bCs/>
          <w:color w:val="auto"/>
          <w:sz w:val="24"/>
          <w:highlight w:val="none"/>
        </w:rPr>
        <w:t>”、“</w:t>
      </w:r>
      <w:r>
        <w:rPr>
          <w:rFonts w:hint="eastAsia" w:ascii="宋体" w:hAnsi="宋体" w:cs="宋体"/>
          <w:b/>
          <w:color w:val="auto"/>
          <w:sz w:val="24"/>
          <w:highlight w:val="none"/>
        </w:rPr>
        <w:t>副本</w:t>
      </w:r>
      <w:r>
        <w:rPr>
          <w:rFonts w:hint="eastAsia" w:ascii="宋体" w:hAnsi="宋体" w:cs="宋体"/>
          <w:bCs/>
          <w:color w:val="auto"/>
          <w:sz w:val="24"/>
          <w:highlight w:val="none"/>
        </w:rPr>
        <w:t>”、“</w:t>
      </w:r>
      <w:r>
        <w:rPr>
          <w:rFonts w:hint="eastAsia" w:ascii="宋体" w:hAnsi="宋体" w:cs="宋体"/>
          <w:b/>
          <w:color w:val="auto"/>
          <w:sz w:val="24"/>
          <w:highlight w:val="none"/>
        </w:rPr>
        <w:t>报价一览表</w:t>
      </w:r>
      <w:r>
        <w:rPr>
          <w:rFonts w:hint="eastAsia" w:ascii="宋体" w:hAnsi="宋体" w:cs="宋体"/>
          <w:bCs/>
          <w:color w:val="auto"/>
          <w:sz w:val="24"/>
          <w:highlight w:val="none"/>
        </w:rPr>
        <w:t>”字样，封口处应加盖骑缝章。封皮上均应写明：</w:t>
      </w:r>
    </w:p>
    <w:p w14:paraId="40BBE316">
      <w:pPr>
        <w:keepNext w:val="0"/>
        <w:keepLines w:val="0"/>
        <w:pageBreakBefore w:val="0"/>
        <w:kinsoku/>
        <w:overflowPunct/>
        <w:topLinePunct w:val="0"/>
        <w:bidi w:val="0"/>
        <w:spacing w:line="360" w:lineRule="auto"/>
        <w:ind w:firstLine="482" w:firstLineChars="200"/>
        <w:textAlignment w:val="auto"/>
        <w:rPr>
          <w:rFonts w:ascii="宋体" w:hAnsi="宋体" w:cs="宋体"/>
          <w:b/>
          <w:color w:val="auto"/>
          <w:sz w:val="24"/>
          <w:highlight w:val="none"/>
        </w:rPr>
      </w:pPr>
      <w:r>
        <w:rPr>
          <w:rFonts w:hint="eastAsia" w:ascii="宋体" w:hAnsi="宋体" w:cs="宋体"/>
          <w:b/>
          <w:color w:val="auto"/>
          <w:sz w:val="24"/>
          <w:highlight w:val="none"/>
        </w:rPr>
        <w:t>致：海南政源招标代理有限公司</w:t>
      </w:r>
    </w:p>
    <w:p w14:paraId="6502DD82">
      <w:pPr>
        <w:keepNext w:val="0"/>
        <w:keepLines w:val="0"/>
        <w:pageBreakBefore w:val="0"/>
        <w:kinsoku/>
        <w:overflowPunct/>
        <w:topLinePunct w:val="0"/>
        <w:bidi w:val="0"/>
        <w:spacing w:line="360" w:lineRule="auto"/>
        <w:ind w:firstLine="482" w:firstLineChars="200"/>
        <w:textAlignment w:val="auto"/>
        <w:rPr>
          <w:rFonts w:ascii="宋体" w:hAnsi="宋体" w:cs="宋体"/>
          <w:b/>
          <w:color w:val="auto"/>
          <w:sz w:val="24"/>
          <w:highlight w:val="none"/>
        </w:rPr>
      </w:pPr>
      <w:r>
        <w:rPr>
          <w:rFonts w:hint="eastAsia" w:ascii="宋体" w:hAnsi="宋体" w:cs="宋体"/>
          <w:b/>
          <w:color w:val="auto"/>
          <w:sz w:val="24"/>
          <w:highlight w:val="none"/>
        </w:rPr>
        <w:t>项目名称：</w:t>
      </w:r>
    </w:p>
    <w:p w14:paraId="37F38A26">
      <w:pPr>
        <w:keepNext w:val="0"/>
        <w:keepLines w:val="0"/>
        <w:pageBreakBefore w:val="0"/>
        <w:kinsoku/>
        <w:overflowPunct/>
        <w:topLinePunct w:val="0"/>
        <w:bidi w:val="0"/>
        <w:spacing w:line="360" w:lineRule="auto"/>
        <w:ind w:firstLine="482" w:firstLineChars="200"/>
        <w:textAlignment w:val="auto"/>
        <w:rPr>
          <w:rFonts w:ascii="宋体" w:hAnsi="宋体" w:cs="宋体"/>
          <w:b/>
          <w:color w:val="auto"/>
          <w:sz w:val="24"/>
          <w:highlight w:val="none"/>
        </w:rPr>
      </w:pPr>
      <w:r>
        <w:rPr>
          <w:rFonts w:hint="eastAsia" w:ascii="宋体" w:hAnsi="宋体" w:cs="宋体"/>
          <w:b/>
          <w:color w:val="auto"/>
          <w:sz w:val="24"/>
          <w:highlight w:val="none"/>
        </w:rPr>
        <w:t>项目编号：</w:t>
      </w:r>
    </w:p>
    <w:p w14:paraId="26406B0D">
      <w:pPr>
        <w:keepNext w:val="0"/>
        <w:keepLines w:val="0"/>
        <w:pageBreakBefore w:val="0"/>
        <w:kinsoku/>
        <w:overflowPunct/>
        <w:topLinePunct w:val="0"/>
        <w:bidi w:val="0"/>
        <w:spacing w:line="360" w:lineRule="auto"/>
        <w:ind w:firstLine="482" w:firstLineChars="200"/>
        <w:textAlignment w:val="auto"/>
        <w:rPr>
          <w:rFonts w:ascii="宋体" w:hAnsi="宋体" w:cs="宋体"/>
          <w:b/>
          <w:color w:val="auto"/>
          <w:sz w:val="24"/>
          <w:highlight w:val="none"/>
        </w:rPr>
      </w:pPr>
      <w:r>
        <w:rPr>
          <w:rFonts w:hint="eastAsia" w:ascii="宋体" w:hAnsi="宋体" w:cs="宋体"/>
          <w:b/>
          <w:color w:val="auto"/>
          <w:sz w:val="24"/>
          <w:highlight w:val="none"/>
        </w:rPr>
        <w:t>注明：“请勿在递交响应文件截止时间之前启封”</w:t>
      </w:r>
    </w:p>
    <w:p w14:paraId="7B5FF54D">
      <w:pPr>
        <w:keepNext w:val="0"/>
        <w:keepLines w:val="0"/>
        <w:pageBreakBefore w:val="0"/>
        <w:kinsoku/>
        <w:overflowPunct/>
        <w:topLinePunct w:val="0"/>
        <w:bidi w:val="0"/>
        <w:spacing w:line="360" w:lineRule="auto"/>
        <w:ind w:firstLine="482" w:firstLineChars="200"/>
        <w:textAlignment w:val="auto"/>
        <w:rPr>
          <w:rFonts w:ascii="宋体" w:hAnsi="宋体" w:cs="宋体"/>
          <w:b/>
          <w:color w:val="auto"/>
          <w:sz w:val="24"/>
          <w:highlight w:val="none"/>
        </w:rPr>
      </w:pPr>
      <w:r>
        <w:rPr>
          <w:rFonts w:hint="eastAsia" w:ascii="宋体" w:hAnsi="宋体" w:cs="宋体"/>
          <w:b/>
          <w:color w:val="auto"/>
          <w:sz w:val="24"/>
          <w:highlight w:val="none"/>
        </w:rPr>
        <w:t>供应商名称、联系人姓名和电话</w:t>
      </w:r>
    </w:p>
    <w:p w14:paraId="50E8465E">
      <w:pPr>
        <w:keepNext w:val="0"/>
        <w:keepLines w:val="0"/>
        <w:pageBreakBefore w:val="0"/>
        <w:kinsoku/>
        <w:overflowPunct/>
        <w:topLinePunct w:val="0"/>
        <w:bidi w:val="0"/>
        <w:spacing w:line="360" w:lineRule="auto"/>
        <w:ind w:firstLine="480" w:firstLineChars="200"/>
        <w:textAlignment w:val="auto"/>
        <w:rPr>
          <w:rFonts w:ascii="宋体" w:hAnsi="宋体" w:cs="宋体"/>
          <w:bCs/>
          <w:color w:val="auto"/>
          <w:sz w:val="24"/>
          <w:highlight w:val="none"/>
        </w:rPr>
      </w:pPr>
      <w:r>
        <w:rPr>
          <w:rFonts w:hint="eastAsia" w:ascii="宋体" w:hAnsi="宋体" w:cs="宋体"/>
          <w:bCs/>
          <w:color w:val="auto"/>
          <w:sz w:val="24"/>
          <w:highlight w:val="none"/>
        </w:rPr>
        <w:t>1</w:t>
      </w:r>
      <w:r>
        <w:rPr>
          <w:rFonts w:hint="eastAsia" w:ascii="宋体" w:hAnsi="宋体" w:cs="宋体"/>
          <w:bCs/>
          <w:color w:val="auto"/>
          <w:sz w:val="24"/>
          <w:highlight w:val="none"/>
          <w:lang w:val="en-US" w:eastAsia="zh-CN"/>
        </w:rPr>
        <w:t>6</w:t>
      </w:r>
      <w:r>
        <w:rPr>
          <w:rFonts w:hint="eastAsia" w:ascii="宋体" w:hAnsi="宋体" w:cs="宋体"/>
          <w:bCs/>
          <w:color w:val="auto"/>
          <w:sz w:val="24"/>
          <w:highlight w:val="none"/>
        </w:rPr>
        <w:t>.2 响应文件未按上述规定书写标记和密封者，采购代理机构不对响应文件被错放或先期启封负责。</w:t>
      </w:r>
    </w:p>
    <w:p w14:paraId="5B48E28C">
      <w:pPr>
        <w:keepNext w:val="0"/>
        <w:keepLines w:val="0"/>
        <w:pageBreakBefore w:val="0"/>
        <w:kinsoku/>
        <w:overflowPunct/>
        <w:topLinePunct w:val="0"/>
        <w:bidi w:val="0"/>
        <w:spacing w:line="360" w:lineRule="auto"/>
        <w:ind w:firstLine="482" w:firstLineChars="200"/>
        <w:textAlignment w:val="auto"/>
        <w:outlineLvl w:val="2"/>
        <w:rPr>
          <w:rFonts w:ascii="宋体" w:hAnsi="宋体" w:cs="宋体"/>
          <w:b/>
          <w:color w:val="auto"/>
          <w:sz w:val="24"/>
          <w:highlight w:val="none"/>
        </w:rPr>
      </w:pPr>
      <w:r>
        <w:rPr>
          <w:rFonts w:hint="eastAsia" w:ascii="宋体" w:hAnsi="宋体" w:cs="宋体"/>
          <w:b/>
          <w:color w:val="auto"/>
          <w:sz w:val="24"/>
          <w:highlight w:val="none"/>
        </w:rPr>
        <w:t>1</w:t>
      </w:r>
      <w:r>
        <w:rPr>
          <w:rFonts w:hint="eastAsia" w:ascii="宋体" w:hAnsi="宋体" w:cs="宋体"/>
          <w:b/>
          <w:color w:val="auto"/>
          <w:sz w:val="24"/>
          <w:highlight w:val="none"/>
          <w:lang w:val="en-US" w:eastAsia="zh-CN"/>
        </w:rPr>
        <w:t>7</w:t>
      </w:r>
      <w:r>
        <w:rPr>
          <w:rFonts w:hint="eastAsia" w:ascii="宋体" w:hAnsi="宋体" w:cs="宋体"/>
          <w:b/>
          <w:color w:val="auto"/>
          <w:sz w:val="24"/>
          <w:highlight w:val="none"/>
        </w:rPr>
        <w:t>、响应文件提交截止时间</w:t>
      </w:r>
    </w:p>
    <w:p w14:paraId="6B6A410D">
      <w:pPr>
        <w:keepNext w:val="0"/>
        <w:keepLines w:val="0"/>
        <w:pageBreakBefore w:val="0"/>
        <w:kinsoku/>
        <w:overflowPunct/>
        <w:topLinePunct w:val="0"/>
        <w:bidi w:val="0"/>
        <w:spacing w:line="360" w:lineRule="auto"/>
        <w:ind w:firstLine="480" w:firstLineChars="200"/>
        <w:textAlignment w:val="auto"/>
        <w:rPr>
          <w:rFonts w:ascii="宋体" w:hAnsi="宋体" w:cs="宋体"/>
          <w:bCs/>
          <w:color w:val="auto"/>
          <w:sz w:val="24"/>
          <w:highlight w:val="none"/>
        </w:rPr>
      </w:pPr>
      <w:r>
        <w:rPr>
          <w:rFonts w:hint="eastAsia" w:ascii="宋体" w:hAnsi="宋体" w:cs="宋体"/>
          <w:bCs/>
          <w:color w:val="auto"/>
          <w:sz w:val="24"/>
          <w:highlight w:val="none"/>
        </w:rPr>
        <w:t>1</w:t>
      </w:r>
      <w:r>
        <w:rPr>
          <w:rFonts w:hint="eastAsia" w:ascii="宋体" w:hAnsi="宋体" w:cs="宋体"/>
          <w:bCs/>
          <w:color w:val="auto"/>
          <w:sz w:val="24"/>
          <w:highlight w:val="none"/>
          <w:lang w:val="en-US" w:eastAsia="zh-CN"/>
        </w:rPr>
        <w:t>7</w:t>
      </w:r>
      <w:r>
        <w:rPr>
          <w:rFonts w:hint="eastAsia" w:ascii="宋体" w:hAnsi="宋体" w:cs="宋体"/>
          <w:bCs/>
          <w:color w:val="auto"/>
          <w:sz w:val="24"/>
          <w:highlight w:val="none"/>
        </w:rPr>
        <w:t>.l 供应商须在响应文件提交截止时间前将响应文件送达采购代理机构规定的地点。</w:t>
      </w:r>
    </w:p>
    <w:p w14:paraId="375AB8AA">
      <w:pPr>
        <w:keepNext w:val="0"/>
        <w:keepLines w:val="0"/>
        <w:pageBreakBefore w:val="0"/>
        <w:kinsoku/>
        <w:overflowPunct/>
        <w:topLinePunct w:val="0"/>
        <w:bidi w:val="0"/>
        <w:spacing w:line="360" w:lineRule="auto"/>
        <w:ind w:firstLine="482" w:firstLineChars="200"/>
        <w:textAlignment w:val="auto"/>
        <w:rPr>
          <w:rFonts w:ascii="宋体" w:hAnsi="宋体" w:cs="宋体"/>
          <w:b/>
          <w:color w:val="auto"/>
          <w:sz w:val="24"/>
          <w:highlight w:val="none"/>
        </w:rPr>
      </w:pPr>
      <w:r>
        <w:rPr>
          <w:rFonts w:hint="eastAsia" w:ascii="宋体" w:hAnsi="宋体" w:cs="宋体"/>
          <w:b/>
          <w:color w:val="auto"/>
          <w:sz w:val="24"/>
          <w:highlight w:val="none"/>
        </w:rPr>
        <w:t>1</w:t>
      </w:r>
      <w:r>
        <w:rPr>
          <w:rFonts w:hint="eastAsia" w:ascii="宋体" w:hAnsi="宋体" w:cs="宋体"/>
          <w:b/>
          <w:color w:val="auto"/>
          <w:sz w:val="24"/>
          <w:highlight w:val="none"/>
          <w:lang w:val="en-US" w:eastAsia="zh-CN"/>
        </w:rPr>
        <w:t>7</w:t>
      </w:r>
      <w:r>
        <w:rPr>
          <w:rFonts w:hint="eastAsia" w:ascii="宋体" w:hAnsi="宋体" w:cs="宋体"/>
          <w:b/>
          <w:color w:val="auto"/>
          <w:sz w:val="24"/>
          <w:highlight w:val="none"/>
        </w:rPr>
        <w:t>.2 供应商的授权代表须携带《法定代表人授权书》、法人身份证复印件及个人身份证原件亲临磋商活动开标现场以备查验。其现场所签署确认的文件均代表供应商的决定，并作为响应文件的补充内容，具有同等法律效力。</w:t>
      </w:r>
    </w:p>
    <w:p w14:paraId="4FFDB293">
      <w:pPr>
        <w:keepNext w:val="0"/>
        <w:keepLines w:val="0"/>
        <w:pageBreakBefore w:val="0"/>
        <w:kinsoku/>
        <w:overflowPunct/>
        <w:topLinePunct w:val="0"/>
        <w:bidi w:val="0"/>
        <w:spacing w:line="360" w:lineRule="auto"/>
        <w:ind w:firstLine="480" w:firstLineChars="200"/>
        <w:textAlignment w:val="auto"/>
        <w:rPr>
          <w:rFonts w:ascii="宋体" w:hAnsi="宋体" w:cs="宋体"/>
          <w:bCs/>
          <w:color w:val="auto"/>
          <w:sz w:val="24"/>
          <w:highlight w:val="none"/>
        </w:rPr>
      </w:pPr>
      <w:r>
        <w:rPr>
          <w:rFonts w:hint="eastAsia" w:ascii="宋体" w:hAnsi="宋体" w:cs="宋体"/>
          <w:bCs/>
          <w:color w:val="auto"/>
          <w:sz w:val="24"/>
          <w:highlight w:val="none"/>
        </w:rPr>
        <w:t>1</w:t>
      </w:r>
      <w:r>
        <w:rPr>
          <w:rFonts w:hint="eastAsia" w:ascii="宋体" w:hAnsi="宋体" w:cs="宋体"/>
          <w:bCs/>
          <w:color w:val="auto"/>
          <w:sz w:val="24"/>
          <w:highlight w:val="none"/>
          <w:lang w:val="en-US" w:eastAsia="zh-CN"/>
        </w:rPr>
        <w:t>7</w:t>
      </w:r>
      <w:r>
        <w:rPr>
          <w:rFonts w:hint="eastAsia" w:ascii="宋体" w:hAnsi="宋体" w:cs="宋体"/>
          <w:bCs/>
          <w:color w:val="auto"/>
          <w:sz w:val="24"/>
          <w:highlight w:val="none"/>
        </w:rPr>
        <w:t>.3 若采购代理机构推迟了响应文件提交截止时间，应以公告的形式通知所有供应商。在这种情况下，采购代理机构、采购人和供应商的权利和义务均应以新的响应文件提交截止时间为准。</w:t>
      </w:r>
    </w:p>
    <w:p w14:paraId="12612BFE">
      <w:pPr>
        <w:keepNext w:val="0"/>
        <w:keepLines w:val="0"/>
        <w:pageBreakBefore w:val="0"/>
        <w:kinsoku/>
        <w:overflowPunct/>
        <w:topLinePunct w:val="0"/>
        <w:bidi w:val="0"/>
        <w:spacing w:line="360" w:lineRule="auto"/>
        <w:ind w:firstLine="480" w:firstLineChars="200"/>
        <w:textAlignment w:val="auto"/>
        <w:rPr>
          <w:rFonts w:ascii="宋体" w:hAnsi="宋体" w:cs="宋体"/>
          <w:b/>
          <w:color w:val="auto"/>
          <w:sz w:val="28"/>
          <w:szCs w:val="28"/>
          <w:highlight w:val="none"/>
        </w:rPr>
      </w:pPr>
      <w:r>
        <w:rPr>
          <w:rFonts w:hint="eastAsia" w:ascii="宋体" w:hAnsi="宋体" w:cs="宋体"/>
          <w:bCs/>
          <w:color w:val="auto"/>
          <w:sz w:val="24"/>
          <w:highlight w:val="none"/>
        </w:rPr>
        <w:t>1</w:t>
      </w:r>
      <w:r>
        <w:rPr>
          <w:rFonts w:hint="eastAsia" w:ascii="宋体" w:hAnsi="宋体" w:cs="宋体"/>
          <w:bCs/>
          <w:color w:val="auto"/>
          <w:sz w:val="24"/>
          <w:highlight w:val="none"/>
          <w:lang w:val="en-US" w:eastAsia="zh-CN"/>
        </w:rPr>
        <w:t>7</w:t>
      </w:r>
      <w:r>
        <w:rPr>
          <w:rFonts w:hint="eastAsia" w:ascii="宋体" w:hAnsi="宋体" w:cs="宋体"/>
          <w:bCs/>
          <w:color w:val="auto"/>
          <w:sz w:val="24"/>
          <w:highlight w:val="none"/>
        </w:rPr>
        <w:t>.4 在响应文件提交截止时间后递交的响应文件，采购代理机构将拒绝接收。</w:t>
      </w:r>
    </w:p>
    <w:p w14:paraId="6858841B">
      <w:pPr>
        <w:keepNext w:val="0"/>
        <w:keepLines w:val="0"/>
        <w:pageBreakBefore w:val="0"/>
        <w:kinsoku/>
        <w:overflowPunct/>
        <w:topLinePunct w:val="0"/>
        <w:bidi w:val="0"/>
        <w:spacing w:before="159" w:after="159" w:line="360" w:lineRule="auto"/>
        <w:textAlignment w:val="auto"/>
        <w:outlineLvl w:val="1"/>
        <w:rPr>
          <w:rFonts w:ascii="宋体" w:hAnsi="宋体" w:cs="宋体"/>
          <w:bCs/>
          <w:color w:val="auto"/>
          <w:sz w:val="28"/>
          <w:szCs w:val="28"/>
          <w:highlight w:val="none"/>
        </w:rPr>
      </w:pPr>
      <w:r>
        <w:rPr>
          <w:rFonts w:hint="eastAsia" w:ascii="宋体" w:hAnsi="宋体" w:cs="宋体"/>
          <w:b/>
          <w:color w:val="auto"/>
          <w:sz w:val="28"/>
          <w:szCs w:val="28"/>
          <w:highlight w:val="none"/>
        </w:rPr>
        <w:t>（五）响应文件的开启</w:t>
      </w:r>
    </w:p>
    <w:p w14:paraId="02879FDC">
      <w:pPr>
        <w:keepNext w:val="0"/>
        <w:keepLines w:val="0"/>
        <w:pageBreakBefore w:val="0"/>
        <w:kinsoku/>
        <w:overflowPunct/>
        <w:topLinePunct w:val="0"/>
        <w:bidi w:val="0"/>
        <w:spacing w:line="360" w:lineRule="auto"/>
        <w:ind w:firstLine="482" w:firstLineChars="200"/>
        <w:textAlignment w:val="auto"/>
        <w:outlineLvl w:val="2"/>
        <w:rPr>
          <w:rFonts w:ascii="宋体" w:hAnsi="宋体" w:cs="宋体"/>
          <w:b/>
          <w:color w:val="auto"/>
          <w:sz w:val="24"/>
          <w:highlight w:val="none"/>
        </w:rPr>
      </w:pPr>
      <w:r>
        <w:rPr>
          <w:rFonts w:hint="eastAsia" w:ascii="宋体" w:hAnsi="宋体" w:cs="宋体"/>
          <w:b/>
          <w:color w:val="auto"/>
          <w:sz w:val="24"/>
          <w:highlight w:val="none"/>
        </w:rPr>
        <w:t>1</w:t>
      </w:r>
      <w:r>
        <w:rPr>
          <w:rFonts w:hint="eastAsia" w:ascii="宋体" w:hAnsi="宋体" w:cs="宋体"/>
          <w:b/>
          <w:color w:val="auto"/>
          <w:sz w:val="24"/>
          <w:highlight w:val="none"/>
          <w:lang w:val="en-US" w:eastAsia="zh-CN"/>
        </w:rPr>
        <w:t>8</w:t>
      </w:r>
      <w:r>
        <w:rPr>
          <w:rFonts w:hint="eastAsia" w:ascii="宋体" w:hAnsi="宋体" w:cs="宋体"/>
          <w:b/>
          <w:color w:val="auto"/>
          <w:sz w:val="24"/>
          <w:highlight w:val="none"/>
        </w:rPr>
        <w:t>、响应文件的开启</w:t>
      </w:r>
    </w:p>
    <w:p w14:paraId="296EC6D3">
      <w:pPr>
        <w:keepNext w:val="0"/>
        <w:keepLines w:val="0"/>
        <w:pageBreakBefore w:val="0"/>
        <w:kinsoku/>
        <w:overflowPunct/>
        <w:topLinePunct w:val="0"/>
        <w:bidi w:val="0"/>
        <w:spacing w:line="360" w:lineRule="auto"/>
        <w:ind w:firstLine="480" w:firstLineChars="200"/>
        <w:textAlignment w:val="auto"/>
        <w:rPr>
          <w:rFonts w:ascii="宋体" w:hAnsi="宋体" w:cs="宋体"/>
          <w:bCs/>
          <w:color w:val="auto"/>
          <w:sz w:val="24"/>
          <w:highlight w:val="none"/>
        </w:rPr>
      </w:pPr>
      <w:r>
        <w:rPr>
          <w:rFonts w:hint="eastAsia" w:ascii="宋体" w:hAnsi="宋体" w:cs="宋体"/>
          <w:bCs/>
          <w:color w:val="auto"/>
          <w:sz w:val="24"/>
          <w:highlight w:val="none"/>
        </w:rPr>
        <w:t>1</w:t>
      </w:r>
      <w:r>
        <w:rPr>
          <w:rFonts w:hint="eastAsia" w:ascii="宋体" w:hAnsi="宋体" w:cs="宋体"/>
          <w:bCs/>
          <w:color w:val="auto"/>
          <w:sz w:val="24"/>
          <w:highlight w:val="none"/>
          <w:lang w:val="en-US" w:eastAsia="zh-CN"/>
        </w:rPr>
        <w:t>8</w:t>
      </w:r>
      <w:r>
        <w:rPr>
          <w:rFonts w:hint="eastAsia" w:ascii="宋体" w:hAnsi="宋体" w:cs="宋体"/>
          <w:bCs/>
          <w:color w:val="auto"/>
          <w:sz w:val="24"/>
          <w:highlight w:val="none"/>
        </w:rPr>
        <w:t>.l 采购代理机构按“竞争性磋商公告”中规定的时间和地点组织开标，采购人代表、采购代理机构有关工作人员参加。供应商应委派授权代表参加开标活动，参加开标的代表须持本人身份证及相关授权证明材料签名报到以证明其出席。未派授权代表或不能证明其授权代表身份的，采购代理机构对响应文件的处理不承担责任。</w:t>
      </w:r>
    </w:p>
    <w:p w14:paraId="7BCBB83C">
      <w:pPr>
        <w:keepNext w:val="0"/>
        <w:keepLines w:val="0"/>
        <w:pageBreakBefore w:val="0"/>
        <w:kinsoku/>
        <w:overflowPunct/>
        <w:topLinePunct w:val="0"/>
        <w:bidi w:val="0"/>
        <w:spacing w:line="360" w:lineRule="auto"/>
        <w:ind w:firstLine="480" w:firstLineChars="200"/>
        <w:textAlignment w:val="auto"/>
        <w:rPr>
          <w:rFonts w:ascii="宋体" w:hAnsi="宋体" w:cs="宋体"/>
          <w:bCs/>
          <w:color w:val="auto"/>
          <w:sz w:val="24"/>
          <w:highlight w:val="none"/>
        </w:rPr>
      </w:pPr>
      <w:r>
        <w:rPr>
          <w:rFonts w:hint="eastAsia" w:ascii="宋体" w:hAnsi="宋体" w:cs="宋体"/>
          <w:bCs/>
          <w:color w:val="auto"/>
          <w:sz w:val="24"/>
          <w:highlight w:val="none"/>
        </w:rPr>
        <w:t>1</w:t>
      </w:r>
      <w:r>
        <w:rPr>
          <w:rFonts w:hint="eastAsia" w:ascii="宋体" w:hAnsi="宋体" w:cs="宋体"/>
          <w:bCs/>
          <w:color w:val="auto"/>
          <w:sz w:val="24"/>
          <w:highlight w:val="none"/>
          <w:lang w:val="en-US" w:eastAsia="zh-CN"/>
        </w:rPr>
        <w:t>8</w:t>
      </w:r>
      <w:r>
        <w:rPr>
          <w:rFonts w:hint="eastAsia" w:ascii="宋体" w:hAnsi="宋体" w:cs="宋体"/>
          <w:bCs/>
          <w:color w:val="auto"/>
          <w:sz w:val="24"/>
          <w:highlight w:val="none"/>
        </w:rPr>
        <w:t>.2 采购主管部门、监督部门、国家公证机关公证员由其视情况决定是否派代表到现场进行监督。</w:t>
      </w:r>
    </w:p>
    <w:p w14:paraId="07B74E32">
      <w:pPr>
        <w:keepNext w:val="0"/>
        <w:keepLines w:val="0"/>
        <w:pageBreakBefore w:val="0"/>
        <w:kinsoku/>
        <w:overflowPunct/>
        <w:topLinePunct w:val="0"/>
        <w:bidi w:val="0"/>
        <w:spacing w:line="360" w:lineRule="auto"/>
        <w:ind w:firstLine="480" w:firstLineChars="200"/>
        <w:textAlignment w:val="auto"/>
        <w:rPr>
          <w:rFonts w:ascii="宋体" w:hAnsi="宋体" w:cs="宋体"/>
          <w:bCs/>
          <w:color w:val="auto"/>
          <w:sz w:val="24"/>
          <w:highlight w:val="none"/>
        </w:rPr>
      </w:pPr>
      <w:r>
        <w:rPr>
          <w:rFonts w:hint="eastAsia" w:ascii="宋体" w:hAnsi="宋体" w:cs="宋体"/>
          <w:bCs/>
          <w:color w:val="auto"/>
          <w:sz w:val="24"/>
          <w:highlight w:val="none"/>
        </w:rPr>
        <w:t>1</w:t>
      </w:r>
      <w:r>
        <w:rPr>
          <w:rFonts w:hint="eastAsia" w:ascii="宋体" w:hAnsi="宋体" w:cs="宋体"/>
          <w:bCs/>
          <w:color w:val="auto"/>
          <w:sz w:val="24"/>
          <w:highlight w:val="none"/>
          <w:lang w:val="en-US" w:eastAsia="zh-CN"/>
        </w:rPr>
        <w:t>8</w:t>
      </w:r>
      <w:r>
        <w:rPr>
          <w:rFonts w:hint="eastAsia" w:ascii="宋体" w:hAnsi="宋体" w:cs="宋体"/>
          <w:bCs/>
          <w:color w:val="auto"/>
          <w:sz w:val="24"/>
          <w:highlight w:val="none"/>
        </w:rPr>
        <w:t>.3 开标时，供应商授权代表将查验响应文件的密封情况，以及采购代理机构认为合适的其他内容，采购代理机构将作开标记录。</w:t>
      </w:r>
    </w:p>
    <w:p w14:paraId="793B4F33">
      <w:pPr>
        <w:keepNext w:val="0"/>
        <w:keepLines w:val="0"/>
        <w:pageBreakBefore w:val="0"/>
        <w:kinsoku/>
        <w:overflowPunct/>
        <w:topLinePunct w:val="0"/>
        <w:bidi w:val="0"/>
        <w:spacing w:line="360" w:lineRule="auto"/>
        <w:ind w:firstLine="480" w:firstLineChars="200"/>
        <w:textAlignment w:val="auto"/>
        <w:rPr>
          <w:rFonts w:ascii="宋体" w:hAnsi="宋体" w:cs="宋体"/>
          <w:bCs/>
          <w:color w:val="auto"/>
          <w:sz w:val="24"/>
          <w:highlight w:val="none"/>
        </w:rPr>
      </w:pPr>
      <w:r>
        <w:rPr>
          <w:rFonts w:hint="eastAsia" w:ascii="宋体" w:hAnsi="宋体" w:cs="宋体"/>
          <w:bCs/>
          <w:color w:val="auto"/>
          <w:sz w:val="24"/>
          <w:highlight w:val="none"/>
        </w:rPr>
        <w:t>1</w:t>
      </w:r>
      <w:r>
        <w:rPr>
          <w:rFonts w:hint="eastAsia" w:ascii="宋体" w:hAnsi="宋体" w:cs="宋体"/>
          <w:bCs/>
          <w:color w:val="auto"/>
          <w:sz w:val="24"/>
          <w:highlight w:val="none"/>
          <w:lang w:val="en-US" w:eastAsia="zh-CN"/>
        </w:rPr>
        <w:t>8</w:t>
      </w:r>
      <w:r>
        <w:rPr>
          <w:rFonts w:hint="eastAsia" w:ascii="宋体" w:hAnsi="宋体" w:cs="宋体"/>
          <w:bCs/>
          <w:color w:val="auto"/>
          <w:sz w:val="24"/>
          <w:highlight w:val="none"/>
        </w:rPr>
        <w:t>.4 若响应文件未密封，采购代理机构将拒绝接收该供应商的响应文件。</w:t>
      </w:r>
    </w:p>
    <w:p w14:paraId="7B89B9F0">
      <w:pPr>
        <w:keepNext w:val="0"/>
        <w:keepLines w:val="0"/>
        <w:pageBreakBefore w:val="0"/>
        <w:kinsoku/>
        <w:overflowPunct/>
        <w:topLinePunct w:val="0"/>
        <w:bidi w:val="0"/>
        <w:snapToGrid w:val="0"/>
        <w:spacing w:before="159" w:after="159" w:line="360" w:lineRule="auto"/>
        <w:textAlignment w:val="auto"/>
        <w:outlineLvl w:val="1"/>
        <w:rPr>
          <w:rFonts w:ascii="宋体" w:hAnsi="宋体" w:cs="宋体"/>
          <w:b/>
          <w:color w:val="auto"/>
          <w:sz w:val="28"/>
          <w:szCs w:val="28"/>
          <w:highlight w:val="none"/>
        </w:rPr>
      </w:pPr>
      <w:r>
        <w:rPr>
          <w:rFonts w:hint="eastAsia" w:ascii="宋体" w:hAnsi="宋体" w:cs="宋体"/>
          <w:b/>
          <w:color w:val="auto"/>
          <w:sz w:val="28"/>
          <w:szCs w:val="28"/>
          <w:highlight w:val="none"/>
        </w:rPr>
        <w:t>（六）磋商、评审及成交</w:t>
      </w:r>
    </w:p>
    <w:p w14:paraId="07E507DE">
      <w:pPr>
        <w:keepNext w:val="0"/>
        <w:keepLines w:val="0"/>
        <w:pageBreakBefore w:val="0"/>
        <w:kinsoku/>
        <w:overflowPunct/>
        <w:topLinePunct w:val="0"/>
        <w:bidi w:val="0"/>
        <w:spacing w:line="360" w:lineRule="auto"/>
        <w:ind w:firstLine="482" w:firstLineChars="200"/>
        <w:textAlignment w:val="auto"/>
        <w:outlineLvl w:val="2"/>
        <w:rPr>
          <w:rFonts w:ascii="宋体" w:hAnsi="宋体" w:cs="宋体"/>
          <w:b/>
          <w:color w:val="auto"/>
          <w:sz w:val="24"/>
          <w:highlight w:val="none"/>
        </w:rPr>
      </w:pPr>
      <w:r>
        <w:rPr>
          <w:rFonts w:hint="eastAsia" w:ascii="宋体" w:hAnsi="宋体" w:cs="宋体"/>
          <w:b/>
          <w:color w:val="auto"/>
          <w:sz w:val="24"/>
          <w:highlight w:val="none"/>
          <w:lang w:val="en-US" w:eastAsia="zh-CN"/>
        </w:rPr>
        <w:t>19</w:t>
      </w:r>
      <w:r>
        <w:rPr>
          <w:rFonts w:hint="eastAsia" w:ascii="宋体" w:hAnsi="宋体" w:cs="宋体"/>
          <w:b/>
          <w:color w:val="auto"/>
          <w:sz w:val="24"/>
          <w:highlight w:val="none"/>
        </w:rPr>
        <w:t>、磋商小组的组成</w:t>
      </w:r>
    </w:p>
    <w:p w14:paraId="7F4FCFC8">
      <w:pPr>
        <w:keepNext w:val="0"/>
        <w:keepLines w:val="0"/>
        <w:pageBreakBefore w:val="0"/>
        <w:kinsoku/>
        <w:overflowPunct/>
        <w:topLinePunct w:val="0"/>
        <w:bidi w:val="0"/>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磋商小组由采购人及海南省综合评标专家库中随机抽取的相关专家共3人以上单数组成，其中，技术、经济等方面的专家人数不得少于成员总数的2/3。磋商小组成员将按照客观、公正、审慎的原则，根据磋商文件规定的评审程序、评审方法和评审标准进行独立评审。</w:t>
      </w:r>
    </w:p>
    <w:p w14:paraId="18B7F58B">
      <w:pPr>
        <w:keepNext w:val="0"/>
        <w:keepLines w:val="0"/>
        <w:pageBreakBefore w:val="0"/>
        <w:kinsoku/>
        <w:overflowPunct/>
        <w:topLinePunct w:val="0"/>
        <w:bidi w:val="0"/>
        <w:spacing w:line="360" w:lineRule="auto"/>
        <w:ind w:firstLine="482" w:firstLineChars="200"/>
        <w:textAlignment w:val="auto"/>
        <w:outlineLvl w:val="2"/>
        <w:rPr>
          <w:rFonts w:ascii="宋体" w:hAnsi="宋体" w:cs="宋体"/>
          <w:b/>
          <w:color w:val="auto"/>
          <w:sz w:val="24"/>
          <w:highlight w:val="none"/>
        </w:rPr>
      </w:pPr>
      <w:r>
        <w:rPr>
          <w:rFonts w:hint="eastAsia" w:ascii="宋体" w:hAnsi="宋体" w:cs="宋体"/>
          <w:b/>
          <w:color w:val="auto"/>
          <w:sz w:val="24"/>
          <w:highlight w:val="none"/>
        </w:rPr>
        <w:t>2</w:t>
      </w:r>
      <w:r>
        <w:rPr>
          <w:rFonts w:hint="eastAsia" w:ascii="宋体" w:hAnsi="宋体" w:cs="宋体"/>
          <w:b/>
          <w:color w:val="auto"/>
          <w:sz w:val="24"/>
          <w:highlight w:val="none"/>
          <w:lang w:val="en-US" w:eastAsia="zh-CN"/>
        </w:rPr>
        <w:t>0</w:t>
      </w:r>
      <w:r>
        <w:rPr>
          <w:rFonts w:hint="eastAsia" w:ascii="宋体" w:hAnsi="宋体" w:cs="宋体"/>
          <w:b/>
          <w:color w:val="auto"/>
          <w:sz w:val="24"/>
          <w:highlight w:val="none"/>
        </w:rPr>
        <w:t>、评审方法及评审程序</w:t>
      </w:r>
    </w:p>
    <w:p w14:paraId="1F39F53E">
      <w:pPr>
        <w:keepNext w:val="0"/>
        <w:keepLines w:val="0"/>
        <w:pageBreakBefore w:val="0"/>
        <w:kinsoku/>
        <w:overflowPunct/>
        <w:topLinePunct w:val="0"/>
        <w:bidi w:val="0"/>
        <w:adjustRightInd w:val="0"/>
        <w:snapToGrid w:val="0"/>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en-US" w:eastAsia="zh-CN"/>
        </w:rPr>
        <w:t>0</w:t>
      </w:r>
      <w:r>
        <w:rPr>
          <w:rFonts w:hint="eastAsia" w:ascii="宋体" w:hAnsi="宋体" w:cs="宋体"/>
          <w:color w:val="auto"/>
          <w:sz w:val="24"/>
          <w:highlight w:val="none"/>
        </w:rPr>
        <w:t>.1 关于政策性加分</w:t>
      </w:r>
    </w:p>
    <w:p w14:paraId="38DC0C1C">
      <w:pPr>
        <w:keepNext w:val="0"/>
        <w:keepLines w:val="0"/>
        <w:pageBreakBefore w:val="0"/>
        <w:widowControl/>
        <w:kinsoku/>
        <w:overflowPunct/>
        <w:topLinePunct w:val="0"/>
        <w:bidi w:val="0"/>
        <w:spacing w:line="360" w:lineRule="auto"/>
        <w:ind w:firstLine="480" w:firstLineChars="200"/>
        <w:jc w:val="left"/>
        <w:textAlignment w:val="auto"/>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en-US" w:eastAsia="zh-CN"/>
        </w:rPr>
        <w:t>0</w:t>
      </w:r>
      <w:r>
        <w:rPr>
          <w:rFonts w:hint="eastAsia" w:ascii="宋体" w:hAnsi="宋体" w:cs="宋体"/>
          <w:color w:val="auto"/>
          <w:sz w:val="24"/>
          <w:highlight w:val="none"/>
        </w:rPr>
        <w:t>.1.1、所投分包(如不分包则指本项目)的所有投标产品进入当期节能清单的，其评标价=投标报价*（1-2%）；供应商所投产品满足此规定的，必须提供声明函并提供相关证明文件。</w:t>
      </w:r>
    </w:p>
    <w:p w14:paraId="294C300D">
      <w:pPr>
        <w:keepNext w:val="0"/>
        <w:keepLines w:val="0"/>
        <w:pageBreakBefore w:val="0"/>
        <w:widowControl/>
        <w:kinsoku/>
        <w:overflowPunct/>
        <w:topLinePunct w:val="0"/>
        <w:bidi w:val="0"/>
        <w:spacing w:line="360" w:lineRule="auto"/>
        <w:ind w:firstLine="480" w:firstLineChars="200"/>
        <w:jc w:val="left"/>
        <w:textAlignment w:val="auto"/>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en-US" w:eastAsia="zh-CN"/>
        </w:rPr>
        <w:t>0</w:t>
      </w:r>
      <w:r>
        <w:rPr>
          <w:rFonts w:hint="eastAsia" w:ascii="宋体" w:hAnsi="宋体" w:cs="宋体"/>
          <w:color w:val="auto"/>
          <w:sz w:val="24"/>
          <w:highlight w:val="none"/>
        </w:rPr>
        <w:t>.1.2、所投分包(如不分包则指本项目)的所有投标产品进入当期环保清单的，其评标价=投标报价*（1-1%）；供应商所投产品满足此规定的，必须提供声明函并提供相关证明文件。</w:t>
      </w:r>
    </w:p>
    <w:p w14:paraId="10CD0D3A">
      <w:pPr>
        <w:keepNext w:val="0"/>
        <w:keepLines w:val="0"/>
        <w:pageBreakBefore w:val="0"/>
        <w:widowControl/>
        <w:kinsoku/>
        <w:overflowPunct/>
        <w:topLinePunct w:val="0"/>
        <w:bidi w:val="0"/>
        <w:spacing w:line="360" w:lineRule="auto"/>
        <w:ind w:firstLine="480" w:firstLineChars="200"/>
        <w:jc w:val="left"/>
        <w:textAlignment w:val="auto"/>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en-US" w:eastAsia="zh-CN"/>
        </w:rPr>
        <w:t>0</w:t>
      </w:r>
      <w:r>
        <w:rPr>
          <w:rFonts w:hint="eastAsia" w:ascii="宋体" w:hAnsi="宋体" w:cs="宋体"/>
          <w:color w:val="auto"/>
          <w:sz w:val="24"/>
          <w:highlight w:val="none"/>
        </w:rPr>
        <w:t>.1.3、供应商为小型和微型企业（含联合体）的情况</w:t>
      </w:r>
    </w:p>
    <w:p w14:paraId="6F07E39B">
      <w:pPr>
        <w:keepNext w:val="0"/>
        <w:keepLines w:val="0"/>
        <w:pageBreakBefore w:val="0"/>
        <w:widowControl/>
        <w:kinsoku/>
        <w:overflowPunct/>
        <w:topLinePunct w:val="0"/>
        <w:bidi w:val="0"/>
        <w:spacing w:line="360" w:lineRule="auto"/>
        <w:ind w:firstLine="480" w:firstLineChars="200"/>
        <w:jc w:val="left"/>
        <w:textAlignment w:val="auto"/>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en-US" w:eastAsia="zh-CN"/>
        </w:rPr>
        <w:t>0</w:t>
      </w:r>
      <w:r>
        <w:rPr>
          <w:rFonts w:hint="eastAsia" w:ascii="宋体" w:hAnsi="宋体" w:cs="宋体"/>
          <w:color w:val="auto"/>
          <w:sz w:val="24"/>
          <w:highlight w:val="none"/>
        </w:rPr>
        <w:t xml:space="preserve">.1.3.1 中小企业的认定标准： </w:t>
      </w:r>
    </w:p>
    <w:p w14:paraId="670CC2D1">
      <w:pPr>
        <w:keepNext w:val="0"/>
        <w:keepLines w:val="0"/>
        <w:pageBreakBefore w:val="0"/>
        <w:widowControl/>
        <w:kinsoku/>
        <w:overflowPunct/>
        <w:topLinePunct w:val="0"/>
        <w:bidi w:val="0"/>
        <w:spacing w:line="360" w:lineRule="auto"/>
        <w:ind w:firstLine="480" w:firstLineChars="200"/>
        <w:jc w:val="left"/>
        <w:textAlignment w:val="auto"/>
        <w:rPr>
          <w:rFonts w:ascii="宋体" w:hAnsi="宋体" w:cs="宋体"/>
          <w:color w:val="auto"/>
          <w:sz w:val="24"/>
          <w:highlight w:val="none"/>
        </w:rPr>
      </w:pPr>
      <w:r>
        <w:rPr>
          <w:rFonts w:hint="eastAsia" w:ascii="宋体" w:hAnsi="宋体" w:cs="宋体"/>
          <w:color w:val="auto"/>
          <w:sz w:val="24"/>
          <w:highlight w:val="none"/>
        </w:rPr>
        <w:t>（1）提供本企业制造的货物、承担的工程或者服务，或者提供其他中小企业制造的货物，不包括提供或使用大型企业注册商标的货物；</w:t>
      </w:r>
    </w:p>
    <w:p w14:paraId="5E1002FC">
      <w:pPr>
        <w:keepNext w:val="0"/>
        <w:keepLines w:val="0"/>
        <w:pageBreakBefore w:val="0"/>
        <w:widowControl/>
        <w:kinsoku/>
        <w:overflowPunct/>
        <w:topLinePunct w:val="0"/>
        <w:bidi w:val="0"/>
        <w:spacing w:line="360" w:lineRule="auto"/>
        <w:ind w:firstLine="480" w:firstLineChars="200"/>
        <w:jc w:val="left"/>
        <w:textAlignment w:val="auto"/>
        <w:rPr>
          <w:rFonts w:ascii="宋体" w:hAnsi="宋体" w:cs="宋体"/>
          <w:color w:val="auto"/>
          <w:sz w:val="24"/>
          <w:highlight w:val="none"/>
        </w:rPr>
      </w:pPr>
      <w:r>
        <w:rPr>
          <w:rFonts w:hint="eastAsia" w:ascii="宋体" w:hAnsi="宋体" w:cs="宋体"/>
          <w:color w:val="auto"/>
          <w:sz w:val="24"/>
          <w:highlight w:val="none"/>
        </w:rPr>
        <w:t>（2）本规定所称中小企业划分标准，是指国务院有关部门根据企业从业人员、营业收入、资产总额等指标制定的中小企业划型标准（工信部联企业〔2011〕300号）；</w:t>
      </w:r>
    </w:p>
    <w:p w14:paraId="09905D5F">
      <w:pPr>
        <w:keepNext w:val="0"/>
        <w:keepLines w:val="0"/>
        <w:pageBreakBefore w:val="0"/>
        <w:widowControl/>
        <w:kinsoku/>
        <w:overflowPunct/>
        <w:topLinePunct w:val="0"/>
        <w:bidi w:val="0"/>
        <w:spacing w:line="360" w:lineRule="auto"/>
        <w:ind w:firstLine="480" w:firstLineChars="200"/>
        <w:jc w:val="left"/>
        <w:textAlignment w:val="auto"/>
        <w:rPr>
          <w:rFonts w:ascii="宋体" w:hAnsi="宋体" w:cs="宋体"/>
          <w:color w:val="auto"/>
          <w:sz w:val="24"/>
          <w:highlight w:val="none"/>
        </w:rPr>
      </w:pPr>
      <w:r>
        <w:rPr>
          <w:rFonts w:hint="eastAsia" w:ascii="宋体" w:hAnsi="宋体" w:cs="宋体"/>
          <w:color w:val="auto"/>
          <w:sz w:val="24"/>
          <w:highlight w:val="none"/>
        </w:rPr>
        <w:t>（3）</w:t>
      </w:r>
      <w:r>
        <w:rPr>
          <w:rFonts w:hint="eastAsia" w:ascii="宋体" w:hAnsi="宋体" w:cs="宋体"/>
          <w:b/>
          <w:bCs/>
          <w:color w:val="auto"/>
          <w:sz w:val="24"/>
          <w:highlight w:val="none"/>
        </w:rPr>
        <w:t>小型、微型企业提供有中型企业制造的货物的，视同为中型企业；小型、微型、中型企业提供有大型企业制造的货物的，视同为大型企业</w:t>
      </w:r>
      <w:r>
        <w:rPr>
          <w:rFonts w:hint="eastAsia" w:ascii="宋体" w:hAnsi="宋体" w:cs="宋体"/>
          <w:color w:val="auto"/>
          <w:sz w:val="24"/>
          <w:highlight w:val="none"/>
        </w:rPr>
        <w:t>。</w:t>
      </w:r>
    </w:p>
    <w:p w14:paraId="22F6FE45">
      <w:pPr>
        <w:keepNext w:val="0"/>
        <w:keepLines w:val="0"/>
        <w:pageBreakBefore w:val="0"/>
        <w:widowControl/>
        <w:kinsoku/>
        <w:overflowPunct/>
        <w:topLinePunct w:val="0"/>
        <w:bidi w:val="0"/>
        <w:spacing w:line="360" w:lineRule="auto"/>
        <w:ind w:firstLine="480" w:firstLineChars="200"/>
        <w:jc w:val="left"/>
        <w:textAlignment w:val="auto"/>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en-US" w:eastAsia="zh-CN"/>
        </w:rPr>
        <w:t>0</w:t>
      </w:r>
      <w:r>
        <w:rPr>
          <w:rFonts w:hint="eastAsia" w:ascii="宋体" w:hAnsi="宋体" w:cs="宋体"/>
          <w:color w:val="auto"/>
          <w:sz w:val="24"/>
          <w:highlight w:val="none"/>
        </w:rPr>
        <w:t xml:space="preserve">.1.3.2 具体评审价说明： </w:t>
      </w:r>
    </w:p>
    <w:p w14:paraId="4866E303">
      <w:pPr>
        <w:keepNext w:val="0"/>
        <w:keepLines w:val="0"/>
        <w:pageBreakBefore w:val="0"/>
        <w:widowControl/>
        <w:kinsoku/>
        <w:overflowPunct/>
        <w:topLinePunct w:val="0"/>
        <w:bidi w:val="0"/>
        <w:spacing w:line="360" w:lineRule="auto"/>
        <w:ind w:firstLine="480" w:firstLineChars="200"/>
        <w:jc w:val="left"/>
        <w:textAlignment w:val="auto"/>
        <w:rPr>
          <w:rFonts w:ascii="宋体" w:hAnsi="宋体" w:cs="宋体"/>
          <w:color w:val="auto"/>
          <w:sz w:val="24"/>
          <w:highlight w:val="none"/>
        </w:rPr>
      </w:pPr>
      <w:r>
        <w:rPr>
          <w:rFonts w:hint="eastAsia" w:ascii="宋体" w:hAnsi="宋体" w:cs="宋体"/>
          <w:color w:val="auto"/>
          <w:sz w:val="24"/>
          <w:highlight w:val="none"/>
        </w:rPr>
        <w:t xml:space="preserve">（1）供应商为小型或微型企业，其评审价=投标报价*（1-10%）； </w:t>
      </w:r>
    </w:p>
    <w:p w14:paraId="7D411E85">
      <w:pPr>
        <w:keepNext w:val="0"/>
        <w:keepLines w:val="0"/>
        <w:pageBreakBefore w:val="0"/>
        <w:widowControl/>
        <w:kinsoku/>
        <w:overflowPunct/>
        <w:topLinePunct w:val="0"/>
        <w:bidi w:val="0"/>
        <w:spacing w:line="360" w:lineRule="auto"/>
        <w:ind w:firstLine="480" w:firstLineChars="200"/>
        <w:jc w:val="left"/>
        <w:textAlignment w:val="auto"/>
        <w:rPr>
          <w:rFonts w:ascii="宋体" w:hAnsi="宋体" w:cs="宋体"/>
          <w:color w:val="auto"/>
          <w:sz w:val="24"/>
          <w:highlight w:val="none"/>
        </w:rPr>
      </w:pPr>
      <w:r>
        <w:rPr>
          <w:rFonts w:hint="eastAsia" w:ascii="宋体" w:hAnsi="宋体" w:cs="宋体"/>
          <w:color w:val="auto"/>
          <w:sz w:val="24"/>
          <w:highlight w:val="none"/>
        </w:rPr>
        <w:t xml:space="preserve">（2）供应商为联合体投标，联合体中有小型或微型企业且联合协议中约定小型、微型企业的协议合同金额占到联合体协议合同总金额30％以上的，其评审价=投标报价*（1-4%）。 </w:t>
      </w:r>
    </w:p>
    <w:p w14:paraId="2B9B7104">
      <w:pPr>
        <w:keepNext w:val="0"/>
        <w:keepLines w:val="0"/>
        <w:pageBreakBefore w:val="0"/>
        <w:widowControl/>
        <w:kinsoku/>
        <w:overflowPunct/>
        <w:topLinePunct w:val="0"/>
        <w:bidi w:val="0"/>
        <w:spacing w:line="360" w:lineRule="auto"/>
        <w:ind w:firstLine="480" w:firstLineChars="200"/>
        <w:jc w:val="left"/>
        <w:textAlignment w:val="auto"/>
        <w:rPr>
          <w:rFonts w:ascii="宋体" w:hAnsi="宋体" w:cs="宋体"/>
          <w:color w:val="auto"/>
          <w:kern w:val="0"/>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en-US" w:eastAsia="zh-CN"/>
        </w:rPr>
        <w:t>0</w:t>
      </w:r>
      <w:r>
        <w:rPr>
          <w:rFonts w:hint="eastAsia" w:ascii="宋体" w:hAnsi="宋体" w:cs="宋体"/>
          <w:color w:val="auto"/>
          <w:sz w:val="24"/>
          <w:highlight w:val="none"/>
        </w:rPr>
        <w:t>.1.3.3 供应商为工信部联企业〔2011〕300号文规定的小型和微型企业（含联合体）的，必须如实填写“中小企业声明函”（内容、格式见财库﹝2020﹞46号），否则无效。如有虚假骗取政策性加分，将依法承担相应责任。</w:t>
      </w:r>
    </w:p>
    <w:p w14:paraId="611D2F17">
      <w:pPr>
        <w:pStyle w:val="22"/>
        <w:keepNext w:val="0"/>
        <w:keepLines w:val="0"/>
        <w:pageBreakBefore w:val="0"/>
        <w:kinsoku/>
        <w:overflowPunct/>
        <w:topLinePunct w:val="0"/>
        <w:bidi w:val="0"/>
        <w:spacing w:line="360" w:lineRule="auto"/>
        <w:ind w:firstLine="480"/>
        <w:textAlignment w:val="auto"/>
        <w:rPr>
          <w:rFonts w:ascii="宋体" w:hAnsi="宋体" w:cs="宋体"/>
          <w:color w:val="auto"/>
          <w:kern w:val="0"/>
          <w:sz w:val="24"/>
          <w:highlight w:val="none"/>
        </w:rPr>
      </w:pPr>
      <w:r>
        <w:rPr>
          <w:rFonts w:hint="eastAsia" w:ascii="宋体" w:hAnsi="宋体" w:cs="宋体"/>
          <w:color w:val="auto"/>
          <w:kern w:val="0"/>
          <w:sz w:val="24"/>
          <w:highlight w:val="none"/>
        </w:rPr>
        <w:t>2</w:t>
      </w:r>
      <w:r>
        <w:rPr>
          <w:rFonts w:hint="eastAsia" w:ascii="宋体" w:hAnsi="宋体" w:cs="宋体"/>
          <w:color w:val="auto"/>
          <w:kern w:val="0"/>
          <w:sz w:val="24"/>
          <w:highlight w:val="none"/>
          <w:lang w:val="en-US" w:eastAsia="zh-CN"/>
        </w:rPr>
        <w:t>0</w:t>
      </w:r>
      <w:r>
        <w:rPr>
          <w:rFonts w:hint="eastAsia" w:ascii="宋体" w:hAnsi="宋体" w:cs="宋体"/>
          <w:color w:val="auto"/>
          <w:kern w:val="0"/>
          <w:sz w:val="24"/>
          <w:highlight w:val="none"/>
        </w:rPr>
        <w:t>.1.4、</w:t>
      </w:r>
      <w:r>
        <w:rPr>
          <w:rFonts w:hint="eastAsia" w:ascii="宋体" w:hAnsi="宋体" w:cs="宋体"/>
          <w:color w:val="auto"/>
          <w:sz w:val="24"/>
          <w:highlight w:val="none"/>
          <w:shd w:val="clear" w:color="auto" w:fill="FFFFFF"/>
        </w:rPr>
        <w:t>供应商</w:t>
      </w:r>
      <w:r>
        <w:rPr>
          <w:rFonts w:hint="eastAsia" w:ascii="宋体" w:hAnsi="宋体" w:cs="宋体"/>
          <w:color w:val="auto"/>
          <w:kern w:val="0"/>
          <w:sz w:val="24"/>
          <w:highlight w:val="none"/>
        </w:rPr>
        <w:t>为残疾人福利性单位的情况</w:t>
      </w:r>
    </w:p>
    <w:p w14:paraId="0C2DFC2B">
      <w:pPr>
        <w:pStyle w:val="22"/>
        <w:keepNext w:val="0"/>
        <w:keepLines w:val="0"/>
        <w:pageBreakBefore w:val="0"/>
        <w:kinsoku/>
        <w:overflowPunct/>
        <w:topLinePunct w:val="0"/>
        <w:bidi w:val="0"/>
        <w:spacing w:line="360" w:lineRule="auto"/>
        <w:ind w:firstLine="480"/>
        <w:textAlignment w:val="auto"/>
        <w:rPr>
          <w:rFonts w:ascii="宋体" w:hAnsi="宋体" w:cs="宋体"/>
          <w:color w:val="auto"/>
          <w:kern w:val="0"/>
          <w:sz w:val="24"/>
          <w:highlight w:val="none"/>
        </w:rPr>
      </w:pPr>
      <w:r>
        <w:rPr>
          <w:rFonts w:hint="eastAsia" w:ascii="宋体" w:hAnsi="宋体" w:cs="宋体"/>
          <w:color w:val="auto"/>
          <w:kern w:val="0"/>
          <w:sz w:val="24"/>
          <w:highlight w:val="none"/>
        </w:rPr>
        <w:t>2</w:t>
      </w:r>
      <w:r>
        <w:rPr>
          <w:rFonts w:hint="eastAsia" w:ascii="宋体" w:hAnsi="宋体" w:cs="宋体"/>
          <w:color w:val="auto"/>
          <w:kern w:val="0"/>
          <w:sz w:val="24"/>
          <w:highlight w:val="none"/>
          <w:lang w:val="en-US" w:eastAsia="zh-CN"/>
        </w:rPr>
        <w:t>0</w:t>
      </w:r>
      <w:r>
        <w:rPr>
          <w:rFonts w:hint="eastAsia" w:ascii="宋体" w:hAnsi="宋体" w:cs="宋体"/>
          <w:color w:val="auto"/>
          <w:kern w:val="0"/>
          <w:sz w:val="24"/>
          <w:highlight w:val="none"/>
        </w:rPr>
        <w:t>.1.4.1 残疾人福利性单位的认定标准：</w:t>
      </w:r>
    </w:p>
    <w:p w14:paraId="3457B774">
      <w:pPr>
        <w:pStyle w:val="22"/>
        <w:keepNext w:val="0"/>
        <w:keepLines w:val="0"/>
        <w:pageBreakBefore w:val="0"/>
        <w:kinsoku/>
        <w:overflowPunct/>
        <w:topLinePunct w:val="0"/>
        <w:bidi w:val="0"/>
        <w:spacing w:line="360" w:lineRule="auto"/>
        <w:ind w:firstLine="480"/>
        <w:textAlignment w:val="auto"/>
        <w:rPr>
          <w:rFonts w:ascii="宋体" w:hAnsi="宋体" w:cs="宋体"/>
          <w:color w:val="auto"/>
          <w:kern w:val="0"/>
          <w:sz w:val="24"/>
          <w:highlight w:val="none"/>
        </w:rPr>
      </w:pPr>
      <w:r>
        <w:rPr>
          <w:rFonts w:hint="eastAsia" w:ascii="宋体" w:hAnsi="宋体" w:cs="宋体"/>
          <w:color w:val="auto"/>
          <w:kern w:val="0"/>
          <w:sz w:val="24"/>
          <w:highlight w:val="none"/>
        </w:rPr>
        <w:t>（1）安置的残疾人占本单位在职职工人数的比例不低于25%（含25%），并且安置的残疾人人数不少于10人（含10人）；</w:t>
      </w:r>
    </w:p>
    <w:p w14:paraId="546652E5">
      <w:pPr>
        <w:pStyle w:val="22"/>
        <w:keepNext w:val="0"/>
        <w:keepLines w:val="0"/>
        <w:pageBreakBefore w:val="0"/>
        <w:kinsoku/>
        <w:overflowPunct/>
        <w:topLinePunct w:val="0"/>
        <w:bidi w:val="0"/>
        <w:spacing w:line="360" w:lineRule="auto"/>
        <w:ind w:firstLine="480"/>
        <w:textAlignment w:val="auto"/>
        <w:rPr>
          <w:rFonts w:ascii="宋体" w:hAnsi="宋体" w:cs="宋体"/>
          <w:color w:val="auto"/>
          <w:kern w:val="0"/>
          <w:sz w:val="24"/>
          <w:highlight w:val="none"/>
        </w:rPr>
      </w:pPr>
      <w:r>
        <w:rPr>
          <w:rFonts w:hint="eastAsia" w:ascii="宋体" w:hAnsi="宋体" w:cs="宋体"/>
          <w:color w:val="auto"/>
          <w:kern w:val="0"/>
          <w:sz w:val="24"/>
          <w:highlight w:val="none"/>
        </w:rPr>
        <w:t>（2）依法与安置的每位残疾人签订了一年以上（含一年）的劳动合同或服务协议；</w:t>
      </w:r>
    </w:p>
    <w:p w14:paraId="148C63FB">
      <w:pPr>
        <w:pStyle w:val="22"/>
        <w:keepNext w:val="0"/>
        <w:keepLines w:val="0"/>
        <w:pageBreakBefore w:val="0"/>
        <w:kinsoku/>
        <w:overflowPunct/>
        <w:topLinePunct w:val="0"/>
        <w:bidi w:val="0"/>
        <w:spacing w:line="360" w:lineRule="auto"/>
        <w:ind w:firstLine="480"/>
        <w:textAlignment w:val="auto"/>
        <w:rPr>
          <w:rFonts w:ascii="宋体" w:hAnsi="宋体" w:cs="宋体"/>
          <w:color w:val="auto"/>
          <w:kern w:val="0"/>
          <w:sz w:val="24"/>
          <w:highlight w:val="none"/>
        </w:rPr>
      </w:pPr>
      <w:r>
        <w:rPr>
          <w:rFonts w:hint="eastAsia" w:ascii="宋体" w:hAnsi="宋体" w:cs="宋体"/>
          <w:color w:val="auto"/>
          <w:kern w:val="0"/>
          <w:sz w:val="24"/>
          <w:highlight w:val="none"/>
        </w:rPr>
        <w:t>（3）为安置的每位残疾人按月足额缴纳了养老保险、基本医疗保险、失业保险、工伤保险和生育保险等社会保险费；</w:t>
      </w:r>
    </w:p>
    <w:p w14:paraId="078E1616">
      <w:pPr>
        <w:pStyle w:val="22"/>
        <w:keepNext w:val="0"/>
        <w:keepLines w:val="0"/>
        <w:pageBreakBefore w:val="0"/>
        <w:kinsoku/>
        <w:overflowPunct/>
        <w:topLinePunct w:val="0"/>
        <w:bidi w:val="0"/>
        <w:spacing w:line="360" w:lineRule="auto"/>
        <w:ind w:firstLine="480"/>
        <w:textAlignment w:val="auto"/>
        <w:rPr>
          <w:rFonts w:ascii="宋体" w:hAnsi="宋体" w:cs="宋体"/>
          <w:color w:val="auto"/>
          <w:kern w:val="0"/>
          <w:sz w:val="24"/>
          <w:highlight w:val="none"/>
        </w:rPr>
      </w:pPr>
      <w:r>
        <w:rPr>
          <w:rFonts w:hint="eastAsia" w:ascii="宋体" w:hAnsi="宋体" w:cs="宋体"/>
          <w:color w:val="auto"/>
          <w:kern w:val="0"/>
          <w:sz w:val="24"/>
          <w:highlight w:val="none"/>
        </w:rPr>
        <w:t>（4）通过银行等金融机构向安置的每位残疾人，按月支付了不低于单位所在区县适用的经省级人民政府批准的月最低工资标准的工资；</w:t>
      </w:r>
    </w:p>
    <w:p w14:paraId="6F7F3E76">
      <w:pPr>
        <w:pStyle w:val="22"/>
        <w:keepNext w:val="0"/>
        <w:keepLines w:val="0"/>
        <w:pageBreakBefore w:val="0"/>
        <w:kinsoku/>
        <w:overflowPunct/>
        <w:topLinePunct w:val="0"/>
        <w:bidi w:val="0"/>
        <w:spacing w:line="360" w:lineRule="auto"/>
        <w:ind w:firstLine="480"/>
        <w:textAlignment w:val="auto"/>
        <w:rPr>
          <w:rFonts w:ascii="宋体" w:hAnsi="宋体" w:cs="宋体"/>
          <w:color w:val="auto"/>
          <w:kern w:val="0"/>
          <w:sz w:val="24"/>
          <w:highlight w:val="none"/>
        </w:rPr>
      </w:pPr>
      <w:r>
        <w:rPr>
          <w:rFonts w:hint="eastAsia" w:ascii="宋体" w:hAnsi="宋体" w:cs="宋体"/>
          <w:color w:val="auto"/>
          <w:kern w:val="0"/>
          <w:sz w:val="24"/>
          <w:highlight w:val="none"/>
        </w:rPr>
        <w:t>（5）提供本单位制造的货物、承担的工程或者服务（以下简称产品），或者提供其他残疾人福利性单位制造的货物（不包括使用非残疾人福利性单位注册商标的货物）。</w:t>
      </w:r>
    </w:p>
    <w:p w14:paraId="46D6E1D7">
      <w:pPr>
        <w:pStyle w:val="22"/>
        <w:keepNext w:val="0"/>
        <w:keepLines w:val="0"/>
        <w:pageBreakBefore w:val="0"/>
        <w:kinsoku/>
        <w:overflowPunct/>
        <w:topLinePunct w:val="0"/>
        <w:bidi w:val="0"/>
        <w:spacing w:line="360" w:lineRule="auto"/>
        <w:ind w:firstLine="480"/>
        <w:textAlignment w:val="auto"/>
        <w:rPr>
          <w:rFonts w:ascii="宋体" w:hAnsi="宋体" w:cs="宋体"/>
          <w:color w:val="auto"/>
          <w:kern w:val="0"/>
          <w:sz w:val="24"/>
          <w:highlight w:val="none"/>
        </w:rPr>
      </w:pPr>
      <w:r>
        <w:rPr>
          <w:rFonts w:hint="eastAsia" w:ascii="宋体" w:hAnsi="宋体" w:cs="宋体"/>
          <w:color w:val="auto"/>
          <w:kern w:val="0"/>
          <w:sz w:val="24"/>
          <w:highlight w:val="none"/>
        </w:rPr>
        <w:t>上述所称残疾人是指法定劳动年龄内，持有《中华人民共和国残疾人证》或者《中华人民共和国残疾军人证（1-8级）》的自然人，包括具有劳动条件和劳动意向的精神残疾人。在职职工人数是指与残疾人福利性单位建立劳动关系并依法签订劳动合同或者服务协议的雇员人数。</w:t>
      </w:r>
    </w:p>
    <w:p w14:paraId="11349A2E">
      <w:pPr>
        <w:pStyle w:val="22"/>
        <w:keepNext w:val="0"/>
        <w:keepLines w:val="0"/>
        <w:pageBreakBefore w:val="0"/>
        <w:kinsoku/>
        <w:overflowPunct/>
        <w:topLinePunct w:val="0"/>
        <w:bidi w:val="0"/>
        <w:spacing w:line="360" w:lineRule="auto"/>
        <w:ind w:firstLine="480"/>
        <w:textAlignment w:val="auto"/>
        <w:rPr>
          <w:rFonts w:ascii="宋体" w:hAnsi="宋体" w:cs="宋体"/>
          <w:color w:val="auto"/>
          <w:kern w:val="0"/>
          <w:sz w:val="24"/>
          <w:highlight w:val="none"/>
        </w:rPr>
      </w:pPr>
      <w:r>
        <w:rPr>
          <w:rFonts w:hint="eastAsia" w:ascii="宋体" w:hAnsi="宋体" w:cs="宋体"/>
          <w:color w:val="auto"/>
          <w:kern w:val="0"/>
          <w:sz w:val="24"/>
          <w:highlight w:val="none"/>
        </w:rPr>
        <w:t>2</w:t>
      </w:r>
      <w:r>
        <w:rPr>
          <w:rFonts w:hint="eastAsia" w:ascii="宋体" w:hAnsi="宋体" w:cs="宋体"/>
          <w:color w:val="auto"/>
          <w:kern w:val="0"/>
          <w:sz w:val="24"/>
          <w:highlight w:val="none"/>
          <w:lang w:val="en-US" w:eastAsia="zh-CN"/>
        </w:rPr>
        <w:t>0</w:t>
      </w:r>
      <w:r>
        <w:rPr>
          <w:rFonts w:hint="eastAsia" w:ascii="宋体" w:hAnsi="宋体" w:cs="宋体"/>
          <w:color w:val="auto"/>
          <w:kern w:val="0"/>
          <w:sz w:val="24"/>
          <w:highlight w:val="none"/>
        </w:rPr>
        <w:t>.1.4.2 具体评审价说明：</w:t>
      </w:r>
    </w:p>
    <w:p w14:paraId="58734457">
      <w:pPr>
        <w:pStyle w:val="22"/>
        <w:keepNext w:val="0"/>
        <w:keepLines w:val="0"/>
        <w:pageBreakBefore w:val="0"/>
        <w:kinsoku/>
        <w:overflowPunct/>
        <w:topLinePunct w:val="0"/>
        <w:bidi w:val="0"/>
        <w:spacing w:line="360" w:lineRule="auto"/>
        <w:ind w:firstLine="480"/>
        <w:textAlignment w:val="auto"/>
        <w:rPr>
          <w:rFonts w:ascii="宋体" w:hAnsi="宋体" w:cs="宋体"/>
          <w:color w:val="auto"/>
          <w:kern w:val="0"/>
          <w:sz w:val="24"/>
          <w:highlight w:val="none"/>
        </w:rPr>
      </w:pPr>
      <w:r>
        <w:rPr>
          <w:rFonts w:hint="eastAsia" w:ascii="宋体" w:hAnsi="宋体" w:cs="宋体"/>
          <w:color w:val="auto"/>
          <w:kern w:val="0"/>
          <w:sz w:val="24"/>
          <w:highlight w:val="none"/>
        </w:rPr>
        <w:t>（1）</w:t>
      </w:r>
      <w:r>
        <w:rPr>
          <w:rFonts w:hint="eastAsia" w:ascii="宋体" w:hAnsi="宋体" w:cs="宋体"/>
          <w:color w:val="auto"/>
          <w:sz w:val="24"/>
          <w:highlight w:val="none"/>
          <w:shd w:val="clear" w:color="auto" w:fill="FFFFFF"/>
        </w:rPr>
        <w:t>供应商</w:t>
      </w:r>
      <w:r>
        <w:rPr>
          <w:rFonts w:hint="eastAsia" w:ascii="宋体" w:hAnsi="宋体" w:cs="宋体"/>
          <w:color w:val="auto"/>
          <w:kern w:val="0"/>
          <w:sz w:val="24"/>
          <w:highlight w:val="none"/>
        </w:rPr>
        <w:t>为残疾人福利性单位且提供《残疾人福利性单位声明函》，其评审价=投标报价*（1-10%）。参加政府采购活动的残疾人福利性单位应当提供《残疾人福利性单位声明函》原件，未提供的，视为放弃享受小微企业价格扣除优惠政策。</w:t>
      </w:r>
    </w:p>
    <w:p w14:paraId="01EC9714">
      <w:pPr>
        <w:pStyle w:val="22"/>
        <w:keepNext w:val="0"/>
        <w:keepLines w:val="0"/>
        <w:pageBreakBefore w:val="0"/>
        <w:kinsoku/>
        <w:overflowPunct/>
        <w:topLinePunct w:val="0"/>
        <w:bidi w:val="0"/>
        <w:spacing w:line="360" w:lineRule="auto"/>
        <w:ind w:firstLine="480"/>
        <w:textAlignment w:val="auto"/>
        <w:rPr>
          <w:rFonts w:ascii="宋体" w:hAnsi="宋体" w:cs="宋体"/>
          <w:color w:val="auto"/>
          <w:kern w:val="0"/>
          <w:sz w:val="24"/>
          <w:highlight w:val="none"/>
        </w:rPr>
      </w:pPr>
      <w:r>
        <w:rPr>
          <w:rFonts w:hint="eastAsia" w:ascii="宋体" w:hAnsi="宋体" w:cs="宋体"/>
          <w:color w:val="auto"/>
          <w:kern w:val="0"/>
          <w:sz w:val="24"/>
          <w:highlight w:val="none"/>
        </w:rPr>
        <w:t>2</w:t>
      </w:r>
      <w:r>
        <w:rPr>
          <w:rFonts w:hint="eastAsia" w:ascii="宋体" w:hAnsi="宋体" w:cs="宋体"/>
          <w:color w:val="auto"/>
          <w:kern w:val="0"/>
          <w:sz w:val="24"/>
          <w:highlight w:val="none"/>
          <w:lang w:val="en-US" w:eastAsia="zh-CN"/>
        </w:rPr>
        <w:t>0</w:t>
      </w:r>
      <w:r>
        <w:rPr>
          <w:rFonts w:hint="eastAsia" w:ascii="宋体" w:hAnsi="宋体" w:cs="宋体"/>
          <w:color w:val="auto"/>
          <w:kern w:val="0"/>
          <w:sz w:val="24"/>
          <w:highlight w:val="none"/>
        </w:rPr>
        <w:t>.1.5、</w:t>
      </w:r>
      <w:r>
        <w:rPr>
          <w:rFonts w:hint="eastAsia" w:ascii="宋体" w:hAnsi="宋体" w:cs="宋体"/>
          <w:color w:val="auto"/>
          <w:sz w:val="24"/>
          <w:highlight w:val="none"/>
          <w:shd w:val="clear" w:color="auto" w:fill="FFFFFF"/>
        </w:rPr>
        <w:t>供应商</w:t>
      </w:r>
      <w:r>
        <w:rPr>
          <w:rFonts w:hint="eastAsia" w:ascii="宋体" w:hAnsi="宋体" w:cs="宋体"/>
          <w:color w:val="auto"/>
          <w:kern w:val="0"/>
          <w:sz w:val="24"/>
          <w:highlight w:val="none"/>
        </w:rPr>
        <w:t>为监狱企业的情况</w:t>
      </w:r>
    </w:p>
    <w:p w14:paraId="004CEC8F">
      <w:pPr>
        <w:pStyle w:val="22"/>
        <w:keepNext w:val="0"/>
        <w:keepLines w:val="0"/>
        <w:pageBreakBefore w:val="0"/>
        <w:kinsoku/>
        <w:overflowPunct/>
        <w:topLinePunct w:val="0"/>
        <w:bidi w:val="0"/>
        <w:spacing w:line="360" w:lineRule="auto"/>
        <w:ind w:firstLine="480"/>
        <w:textAlignment w:val="auto"/>
        <w:rPr>
          <w:rFonts w:ascii="宋体" w:hAnsi="宋体" w:cs="宋体"/>
          <w:color w:val="auto"/>
          <w:kern w:val="0"/>
          <w:sz w:val="24"/>
          <w:highlight w:val="none"/>
        </w:rPr>
      </w:pPr>
      <w:r>
        <w:rPr>
          <w:rFonts w:hint="eastAsia" w:ascii="宋体" w:hAnsi="宋体" w:cs="宋体"/>
          <w:color w:val="auto"/>
          <w:kern w:val="0"/>
          <w:sz w:val="24"/>
          <w:highlight w:val="none"/>
        </w:rPr>
        <w:t>2</w:t>
      </w:r>
      <w:r>
        <w:rPr>
          <w:rFonts w:hint="eastAsia" w:ascii="宋体" w:hAnsi="宋体" w:cs="宋体"/>
          <w:color w:val="auto"/>
          <w:kern w:val="0"/>
          <w:sz w:val="24"/>
          <w:highlight w:val="none"/>
          <w:lang w:val="en-US" w:eastAsia="zh-CN"/>
        </w:rPr>
        <w:t>0</w:t>
      </w:r>
      <w:r>
        <w:rPr>
          <w:rFonts w:hint="eastAsia" w:ascii="宋体" w:hAnsi="宋体" w:cs="宋体"/>
          <w:color w:val="auto"/>
          <w:kern w:val="0"/>
          <w:sz w:val="24"/>
          <w:highlight w:val="none"/>
        </w:rPr>
        <w:t>.1.5.1 监狱企业的认定情况：</w:t>
      </w:r>
    </w:p>
    <w:p w14:paraId="0C93BE07">
      <w:pPr>
        <w:pStyle w:val="22"/>
        <w:keepNext w:val="0"/>
        <w:keepLines w:val="0"/>
        <w:pageBreakBefore w:val="0"/>
        <w:kinsoku/>
        <w:overflowPunct/>
        <w:topLinePunct w:val="0"/>
        <w:bidi w:val="0"/>
        <w:spacing w:line="360" w:lineRule="auto"/>
        <w:ind w:firstLine="480"/>
        <w:textAlignment w:val="auto"/>
        <w:rPr>
          <w:rFonts w:ascii="宋体" w:hAnsi="宋体" w:cs="宋体"/>
          <w:color w:val="auto"/>
          <w:kern w:val="0"/>
          <w:sz w:val="24"/>
          <w:highlight w:val="none"/>
        </w:rPr>
      </w:pPr>
      <w:r>
        <w:rPr>
          <w:rFonts w:hint="eastAsia" w:ascii="宋体" w:hAnsi="宋体" w:cs="宋体"/>
          <w:color w:val="auto"/>
          <w:kern w:val="0"/>
          <w:sz w:val="24"/>
          <w:highlight w:val="none"/>
        </w:rPr>
        <w:t>（1）监狱企业是指由司法部认定的为犯罪、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参加政府采购活动时，应当提供由省级以上监狱管理局、戒毒管理局（含新疆生产建设兵团）出具的属于监狱企业的证明文件。</w:t>
      </w:r>
    </w:p>
    <w:p w14:paraId="4DB56812">
      <w:pPr>
        <w:keepNext w:val="0"/>
        <w:keepLines w:val="0"/>
        <w:pageBreakBefore w:val="0"/>
        <w:kinsoku/>
        <w:overflowPunct/>
        <w:topLinePunct w:val="0"/>
        <w:bidi w:val="0"/>
        <w:adjustRightInd w:val="0"/>
        <w:snapToGrid w:val="0"/>
        <w:spacing w:line="360" w:lineRule="auto"/>
        <w:ind w:firstLine="480" w:firstLineChars="200"/>
        <w:textAlignment w:val="auto"/>
        <w:rPr>
          <w:rFonts w:ascii="宋体" w:hAnsi="宋体" w:cs="宋体"/>
          <w:color w:val="auto"/>
          <w:kern w:val="0"/>
          <w:sz w:val="24"/>
          <w:szCs w:val="24"/>
          <w:highlight w:val="none"/>
        </w:rPr>
      </w:pPr>
      <w:r>
        <w:rPr>
          <w:rFonts w:hint="eastAsia" w:ascii="宋体" w:hAnsi="宋体" w:cs="宋体"/>
          <w:color w:val="auto"/>
          <w:kern w:val="0"/>
          <w:sz w:val="24"/>
          <w:szCs w:val="24"/>
          <w:highlight w:val="none"/>
        </w:rPr>
        <w:t>2</w:t>
      </w:r>
      <w:r>
        <w:rPr>
          <w:rFonts w:hint="eastAsia" w:ascii="宋体" w:hAnsi="宋体" w:cs="宋体"/>
          <w:color w:val="auto"/>
          <w:kern w:val="0"/>
          <w:sz w:val="24"/>
          <w:szCs w:val="24"/>
          <w:highlight w:val="none"/>
          <w:lang w:val="en-US" w:eastAsia="zh-CN"/>
        </w:rPr>
        <w:t>0</w:t>
      </w:r>
      <w:r>
        <w:rPr>
          <w:rFonts w:hint="eastAsia" w:ascii="宋体" w:hAnsi="宋体" w:cs="宋体"/>
          <w:color w:val="auto"/>
          <w:kern w:val="0"/>
          <w:sz w:val="24"/>
          <w:szCs w:val="24"/>
          <w:highlight w:val="none"/>
        </w:rPr>
        <w:t>.1.5.2 具体评审价说明：供应商为监狱企业，其评审价=投标报价*（1-10%）。</w:t>
      </w:r>
    </w:p>
    <w:p w14:paraId="1B9B89D0">
      <w:pPr>
        <w:keepNext w:val="0"/>
        <w:keepLines w:val="0"/>
        <w:pageBreakBefore w:val="0"/>
        <w:kinsoku/>
        <w:overflowPunct/>
        <w:topLinePunct w:val="0"/>
        <w:bidi w:val="0"/>
        <w:adjustRightInd w:val="0"/>
        <w:snapToGrid w:val="0"/>
        <w:spacing w:line="360" w:lineRule="auto"/>
        <w:ind w:firstLine="480" w:firstLineChars="200"/>
        <w:textAlignment w:val="auto"/>
        <w:rPr>
          <w:rFonts w:ascii="宋体" w:hAnsi="宋体" w:cs="宋体"/>
          <w:color w:val="auto"/>
          <w:kern w:val="0"/>
          <w:sz w:val="24"/>
          <w:szCs w:val="24"/>
          <w:highlight w:val="none"/>
        </w:rPr>
      </w:pPr>
      <w:r>
        <w:rPr>
          <w:rFonts w:hint="eastAsia" w:ascii="宋体" w:hAnsi="宋体" w:cs="宋体"/>
          <w:color w:val="auto"/>
          <w:kern w:val="0"/>
          <w:sz w:val="24"/>
          <w:szCs w:val="24"/>
          <w:highlight w:val="none"/>
        </w:rPr>
        <w:t>根据财政部、工业和信息化部2020年12月18日颁布的《政府采购促进中小企业发展管理办法》（财库﹝2020﹞46号）第九条规定，对小、微企业予以价格评分适当优惠。其参与评分的响应报价取值按响应报价的90%计（即按响应报价扣除10%后计算）。</w:t>
      </w:r>
    </w:p>
    <w:p w14:paraId="642A99C4">
      <w:pPr>
        <w:keepNext w:val="0"/>
        <w:keepLines w:val="0"/>
        <w:pageBreakBefore w:val="0"/>
        <w:kinsoku/>
        <w:overflowPunct/>
        <w:topLinePunct w:val="0"/>
        <w:bidi w:val="0"/>
        <w:spacing w:line="360" w:lineRule="auto"/>
        <w:ind w:firstLine="480" w:firstLineChars="200"/>
        <w:textAlignment w:val="auto"/>
        <w:rPr>
          <w:rFonts w:ascii="宋体" w:hAnsi="宋体" w:cs="宋体"/>
          <w:color w:val="auto"/>
          <w:kern w:val="0"/>
          <w:sz w:val="24"/>
          <w:szCs w:val="24"/>
          <w:highlight w:val="none"/>
        </w:rPr>
      </w:pPr>
      <w:r>
        <w:rPr>
          <w:rFonts w:hint="eastAsia" w:ascii="宋体" w:hAnsi="宋体" w:cs="宋体"/>
          <w:color w:val="auto"/>
          <w:kern w:val="0"/>
          <w:sz w:val="24"/>
          <w:szCs w:val="24"/>
          <w:highlight w:val="none"/>
        </w:rPr>
        <w:t>供应商同时为小型和微型企业、监狱企业或残疾人福利性单位的，评审中只享受一次价格扣除，不重复进行价格扣除。</w:t>
      </w:r>
    </w:p>
    <w:p w14:paraId="0710494E">
      <w:pPr>
        <w:keepNext w:val="0"/>
        <w:keepLines w:val="0"/>
        <w:pageBreakBefore w:val="0"/>
        <w:kinsoku/>
        <w:overflowPunct/>
        <w:topLinePunct w:val="0"/>
        <w:bidi w:val="0"/>
        <w:spacing w:line="360" w:lineRule="auto"/>
        <w:ind w:firstLine="480" w:firstLineChars="200"/>
        <w:textAlignment w:val="auto"/>
        <w:rPr>
          <w:rFonts w:ascii="宋体" w:hAnsi="宋体" w:cs="宋体"/>
          <w:color w:val="auto"/>
          <w:kern w:val="0"/>
          <w:sz w:val="24"/>
          <w:szCs w:val="24"/>
          <w:highlight w:val="none"/>
        </w:rPr>
      </w:pPr>
      <w:r>
        <w:rPr>
          <w:rFonts w:hint="eastAsia" w:ascii="宋体" w:hAnsi="宋体" w:cs="宋体"/>
          <w:color w:val="auto"/>
          <w:kern w:val="0"/>
          <w:sz w:val="24"/>
          <w:szCs w:val="24"/>
          <w:highlight w:val="none"/>
        </w:rPr>
        <w:t>2</w:t>
      </w:r>
      <w:r>
        <w:rPr>
          <w:rFonts w:hint="eastAsia" w:ascii="宋体" w:hAnsi="宋体" w:cs="宋体"/>
          <w:color w:val="auto"/>
          <w:kern w:val="0"/>
          <w:sz w:val="24"/>
          <w:szCs w:val="24"/>
          <w:highlight w:val="none"/>
          <w:lang w:val="en-US" w:eastAsia="zh-CN"/>
        </w:rPr>
        <w:t>0</w:t>
      </w:r>
      <w:r>
        <w:rPr>
          <w:rFonts w:hint="eastAsia" w:ascii="宋体" w:hAnsi="宋体" w:cs="宋体"/>
          <w:color w:val="auto"/>
          <w:kern w:val="0"/>
          <w:sz w:val="24"/>
          <w:szCs w:val="24"/>
          <w:highlight w:val="none"/>
        </w:rPr>
        <w:t>.6 根据财库[2010]48号《关于信息安全产品实施政府采购的通知》财政部、工业和信息化部、质检总局、认监委文件，在政府采购活动中采购信息安全产品的，应当采购经国家认证的信息安全产品。产品供应商提供由中国信息安全认证中心按国家标准认证颁发的有效认证证书。</w:t>
      </w:r>
    </w:p>
    <w:p w14:paraId="3C45EF48">
      <w:pPr>
        <w:keepNext w:val="0"/>
        <w:keepLines w:val="0"/>
        <w:pageBreakBefore w:val="0"/>
        <w:kinsoku/>
        <w:overflowPunct/>
        <w:topLinePunct w:val="0"/>
        <w:bidi w:val="0"/>
        <w:spacing w:line="360" w:lineRule="auto"/>
        <w:ind w:firstLine="480" w:firstLineChars="200"/>
        <w:textAlignment w:val="auto"/>
        <w:rPr>
          <w:rFonts w:ascii="宋体" w:hAnsi="宋体" w:cs="宋体"/>
          <w:color w:val="auto"/>
          <w:kern w:val="0"/>
          <w:sz w:val="24"/>
          <w:szCs w:val="24"/>
          <w:highlight w:val="none"/>
        </w:rPr>
      </w:pPr>
      <w:r>
        <w:rPr>
          <w:rFonts w:hint="eastAsia" w:ascii="宋体" w:hAnsi="宋体" w:cs="宋体"/>
          <w:color w:val="auto"/>
          <w:kern w:val="0"/>
          <w:sz w:val="24"/>
          <w:szCs w:val="24"/>
          <w:highlight w:val="none"/>
        </w:rPr>
        <w:t>2</w:t>
      </w:r>
      <w:r>
        <w:rPr>
          <w:rFonts w:hint="eastAsia" w:ascii="宋体" w:hAnsi="宋体" w:cs="宋体"/>
          <w:color w:val="auto"/>
          <w:kern w:val="0"/>
          <w:sz w:val="24"/>
          <w:szCs w:val="24"/>
          <w:highlight w:val="none"/>
          <w:lang w:val="en-US" w:eastAsia="zh-CN"/>
        </w:rPr>
        <w:t>0</w:t>
      </w:r>
      <w:r>
        <w:rPr>
          <w:rFonts w:hint="eastAsia" w:ascii="宋体" w:hAnsi="宋体" w:cs="宋体"/>
          <w:color w:val="auto"/>
          <w:kern w:val="0"/>
          <w:sz w:val="24"/>
          <w:szCs w:val="24"/>
          <w:highlight w:val="none"/>
        </w:rPr>
        <w:t>.7 根据中华人民共和国政府采购法相关政策，供应商在性能、技术、服务及价格等指标同等条件下，与成交候选人并列第一的，优先选择扶持不发达地区和少数民族地区的投标人作为成交候选供应商。（需提供相关证明材料）</w:t>
      </w:r>
    </w:p>
    <w:p w14:paraId="3EEA568F">
      <w:pPr>
        <w:keepNext w:val="0"/>
        <w:keepLines w:val="0"/>
        <w:pageBreakBefore w:val="0"/>
        <w:kinsoku/>
        <w:overflowPunct/>
        <w:topLinePunct w:val="0"/>
        <w:bidi w:val="0"/>
        <w:spacing w:line="360" w:lineRule="auto"/>
        <w:ind w:firstLine="482" w:firstLineChars="200"/>
        <w:textAlignment w:val="auto"/>
        <w:outlineLvl w:val="2"/>
        <w:rPr>
          <w:rFonts w:ascii="宋体" w:hAnsi="宋体" w:cs="宋体"/>
          <w:bCs/>
          <w:color w:val="auto"/>
          <w:sz w:val="24"/>
          <w:highlight w:val="none"/>
        </w:rPr>
      </w:pPr>
      <w:r>
        <w:rPr>
          <w:rFonts w:hint="eastAsia" w:ascii="宋体" w:hAnsi="宋体" w:cs="宋体"/>
          <w:b/>
          <w:color w:val="auto"/>
          <w:sz w:val="24"/>
          <w:highlight w:val="none"/>
        </w:rPr>
        <w:t>2</w:t>
      </w:r>
      <w:r>
        <w:rPr>
          <w:rFonts w:hint="eastAsia" w:ascii="宋体" w:hAnsi="宋体" w:cs="宋体"/>
          <w:b/>
          <w:color w:val="auto"/>
          <w:sz w:val="24"/>
          <w:highlight w:val="none"/>
          <w:lang w:val="en-US" w:eastAsia="zh-CN"/>
        </w:rPr>
        <w:t>1</w:t>
      </w:r>
      <w:r>
        <w:rPr>
          <w:rFonts w:hint="eastAsia" w:ascii="宋体" w:hAnsi="宋体" w:cs="宋体"/>
          <w:b/>
          <w:color w:val="auto"/>
          <w:sz w:val="24"/>
          <w:highlight w:val="none"/>
        </w:rPr>
        <w:t>、评审方法及评审程序</w:t>
      </w:r>
    </w:p>
    <w:p w14:paraId="63A7C911">
      <w:pPr>
        <w:keepNext w:val="0"/>
        <w:keepLines w:val="0"/>
        <w:pageBreakBefore w:val="0"/>
        <w:kinsoku/>
        <w:overflowPunct/>
        <w:topLinePunct w:val="0"/>
        <w:bidi w:val="0"/>
        <w:spacing w:line="360" w:lineRule="auto"/>
        <w:ind w:firstLine="480" w:firstLineChars="200"/>
        <w:textAlignment w:val="auto"/>
        <w:rPr>
          <w:rFonts w:ascii="宋体" w:cs="宋体"/>
          <w:bCs/>
          <w:color w:val="auto"/>
          <w:sz w:val="24"/>
          <w:highlight w:val="none"/>
        </w:rPr>
      </w:pPr>
      <w:r>
        <w:rPr>
          <w:rFonts w:hint="eastAsia" w:ascii="宋体" w:cs="宋体"/>
          <w:bCs/>
          <w:color w:val="auto"/>
          <w:sz w:val="24"/>
          <w:highlight w:val="none"/>
        </w:rPr>
        <w:t>21.1 本次评审采用综合评分法。</w:t>
      </w:r>
    </w:p>
    <w:p w14:paraId="1B28D4CC">
      <w:pPr>
        <w:keepNext w:val="0"/>
        <w:keepLines w:val="0"/>
        <w:pageBreakBefore w:val="0"/>
        <w:kinsoku/>
        <w:overflowPunct/>
        <w:topLinePunct w:val="0"/>
        <w:bidi w:val="0"/>
        <w:spacing w:line="360" w:lineRule="auto"/>
        <w:ind w:firstLine="480" w:firstLineChars="200"/>
        <w:textAlignment w:val="auto"/>
        <w:rPr>
          <w:rFonts w:ascii="宋体" w:cs="宋体"/>
          <w:bCs/>
          <w:color w:val="auto"/>
          <w:sz w:val="24"/>
          <w:highlight w:val="none"/>
        </w:rPr>
      </w:pPr>
      <w:r>
        <w:rPr>
          <w:rFonts w:hint="eastAsia" w:ascii="宋体" w:cs="宋体"/>
          <w:bCs/>
          <w:color w:val="auto"/>
          <w:sz w:val="24"/>
          <w:highlight w:val="none"/>
        </w:rPr>
        <w:t>21.2 综合评分法，是指响应文件满足磋商文件全部实质性要求且按评审因素的量化指标评审得分最高的供应商为成交候选供应商的评审方法。综合评分法评审标准中的分值设置与评审因素的量化指标相对应。</w:t>
      </w:r>
    </w:p>
    <w:p w14:paraId="185BFC67">
      <w:pPr>
        <w:keepNext w:val="0"/>
        <w:keepLines w:val="0"/>
        <w:pageBreakBefore w:val="0"/>
        <w:kinsoku/>
        <w:overflowPunct/>
        <w:topLinePunct w:val="0"/>
        <w:bidi w:val="0"/>
        <w:spacing w:line="360" w:lineRule="auto"/>
        <w:ind w:firstLine="480" w:firstLineChars="200"/>
        <w:textAlignment w:val="auto"/>
        <w:rPr>
          <w:rFonts w:ascii="宋体" w:cs="宋体"/>
          <w:bCs/>
          <w:color w:val="auto"/>
          <w:sz w:val="24"/>
          <w:highlight w:val="none"/>
        </w:rPr>
      </w:pPr>
      <w:r>
        <w:rPr>
          <w:rFonts w:hint="eastAsia" w:ascii="宋体" w:cs="宋体"/>
          <w:bCs/>
          <w:color w:val="auto"/>
          <w:sz w:val="24"/>
          <w:highlight w:val="none"/>
        </w:rPr>
        <w:t>21.3 评审时，磋商小组各成员独立对每个有效响应的文件进行评价、打分，然后汇总每个供应商每项评分因素的得分。</w:t>
      </w:r>
    </w:p>
    <w:p w14:paraId="75BDDF82">
      <w:pPr>
        <w:keepNext w:val="0"/>
        <w:keepLines w:val="0"/>
        <w:pageBreakBefore w:val="0"/>
        <w:kinsoku/>
        <w:overflowPunct/>
        <w:topLinePunct w:val="0"/>
        <w:bidi w:val="0"/>
        <w:spacing w:line="360" w:lineRule="auto"/>
        <w:ind w:firstLine="480" w:firstLineChars="200"/>
        <w:textAlignment w:val="auto"/>
        <w:rPr>
          <w:rFonts w:ascii="宋体" w:cs="宋体"/>
          <w:bCs/>
          <w:color w:val="auto"/>
          <w:sz w:val="24"/>
          <w:highlight w:val="none"/>
        </w:rPr>
      </w:pPr>
      <w:r>
        <w:rPr>
          <w:rFonts w:hint="eastAsia" w:ascii="宋体" w:cs="宋体"/>
          <w:bCs/>
          <w:color w:val="auto"/>
          <w:sz w:val="24"/>
          <w:highlight w:val="none"/>
        </w:rPr>
        <w:t>21.4 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5E0E6AA8">
      <w:pPr>
        <w:keepNext w:val="0"/>
        <w:keepLines w:val="0"/>
        <w:pageBreakBefore w:val="0"/>
        <w:kinsoku/>
        <w:overflowPunct/>
        <w:topLinePunct w:val="0"/>
        <w:bidi w:val="0"/>
        <w:spacing w:line="360" w:lineRule="auto"/>
        <w:ind w:firstLine="480" w:firstLineChars="200"/>
        <w:textAlignment w:val="auto"/>
        <w:rPr>
          <w:rFonts w:ascii="宋体" w:cs="宋体"/>
          <w:bCs/>
          <w:color w:val="auto"/>
          <w:sz w:val="24"/>
          <w:highlight w:val="none"/>
        </w:rPr>
      </w:pPr>
      <w:r>
        <w:rPr>
          <w:rFonts w:hint="eastAsia" w:ascii="宋体" w:cs="宋体"/>
          <w:bCs/>
          <w:color w:val="auto"/>
          <w:sz w:val="24"/>
          <w:highlight w:val="none"/>
        </w:rPr>
        <w:t>21.5 磋商小组要求供应商澄清、说明或者更正响应文件应当以书面形式作出。供应商的澄清、说明或者更正应当由法定代表人或其授权代表签字或者加盖公章。由授权代表签字的，应当附法定代表人授权书。</w:t>
      </w:r>
    </w:p>
    <w:p w14:paraId="3C65092E">
      <w:pPr>
        <w:keepNext w:val="0"/>
        <w:keepLines w:val="0"/>
        <w:pageBreakBefore w:val="0"/>
        <w:kinsoku/>
        <w:overflowPunct/>
        <w:topLinePunct w:val="0"/>
        <w:bidi w:val="0"/>
        <w:spacing w:line="360" w:lineRule="auto"/>
        <w:ind w:firstLine="480" w:firstLineChars="200"/>
        <w:textAlignment w:val="auto"/>
        <w:rPr>
          <w:rFonts w:ascii="宋体" w:cs="宋体"/>
          <w:color w:val="auto"/>
          <w:sz w:val="24"/>
          <w:highlight w:val="none"/>
        </w:rPr>
      </w:pPr>
      <w:r>
        <w:rPr>
          <w:rFonts w:hint="eastAsia" w:ascii="宋体" w:cs="宋体"/>
          <w:bCs/>
          <w:color w:val="auto"/>
          <w:sz w:val="24"/>
          <w:highlight w:val="none"/>
        </w:rPr>
        <w:t>21</w:t>
      </w:r>
      <w:r>
        <w:rPr>
          <w:rFonts w:hint="eastAsia" w:ascii="宋体" w:cs="宋体"/>
          <w:color w:val="auto"/>
          <w:sz w:val="24"/>
          <w:highlight w:val="none"/>
        </w:rPr>
        <w:t>.6 资格性、符合性审查：评审小组根据国家相关法律法规和磋商文件的规定，对供应商的资格证明文件进行资格性和符合性审查，如供应商不具备磋商资格，评审小组可按投票方式决定是否作无效响应处理（详见附表1）。</w:t>
      </w:r>
    </w:p>
    <w:p w14:paraId="3D20FFDE">
      <w:pPr>
        <w:keepNext w:val="0"/>
        <w:keepLines w:val="0"/>
        <w:pageBreakBefore w:val="0"/>
        <w:kinsoku/>
        <w:overflowPunct/>
        <w:topLinePunct w:val="0"/>
        <w:bidi w:val="0"/>
        <w:spacing w:line="360" w:lineRule="auto"/>
        <w:ind w:firstLine="480" w:firstLineChars="200"/>
        <w:textAlignment w:val="auto"/>
        <w:rPr>
          <w:rFonts w:ascii="宋体" w:cs="宋体"/>
          <w:bCs/>
          <w:color w:val="auto"/>
          <w:sz w:val="24"/>
          <w:highlight w:val="none"/>
        </w:rPr>
      </w:pPr>
      <w:r>
        <w:rPr>
          <w:rFonts w:hint="eastAsia" w:ascii="宋体" w:cs="宋体"/>
          <w:bCs/>
          <w:color w:val="auto"/>
          <w:sz w:val="24"/>
          <w:highlight w:val="none"/>
        </w:rPr>
        <w:t>21.6.1 磋商小组根据《</w:t>
      </w:r>
      <w:r>
        <w:rPr>
          <w:rFonts w:hint="eastAsia" w:ascii="宋体" w:cs="宋体"/>
          <w:color w:val="auto"/>
          <w:sz w:val="24"/>
          <w:highlight w:val="none"/>
        </w:rPr>
        <w:t>资格性、符合性审查</w:t>
      </w:r>
      <w:r>
        <w:rPr>
          <w:rFonts w:hint="eastAsia" w:ascii="宋体" w:cs="宋体"/>
          <w:bCs/>
          <w:color w:val="auto"/>
          <w:sz w:val="24"/>
          <w:highlight w:val="none"/>
        </w:rPr>
        <w:t>表》对响应文件的资格性和符合性进行审查，只有对《</w:t>
      </w:r>
      <w:r>
        <w:rPr>
          <w:rFonts w:hint="eastAsia" w:ascii="宋体" w:cs="宋体"/>
          <w:color w:val="auto"/>
          <w:sz w:val="24"/>
          <w:highlight w:val="none"/>
        </w:rPr>
        <w:t>资格性、符合性审查</w:t>
      </w:r>
      <w:r>
        <w:rPr>
          <w:rFonts w:hint="eastAsia" w:ascii="宋体" w:cs="宋体"/>
          <w:bCs/>
          <w:color w:val="auto"/>
          <w:sz w:val="24"/>
          <w:highlight w:val="none"/>
        </w:rPr>
        <w:t>表》所列各项作出实质性响应的响应文件才能通过初步评审。如通过资格审查不足3家供应商的，则本次采购失败。对是否实质性响应磋商文件的要求有争议的内容，磋商小组将以记名方式表决，得票超过半数的供应商有资格进入下一阶段的评审，否则将被淘汰。有以下情况的将不能通过初步评审：</w:t>
      </w:r>
    </w:p>
    <w:p w14:paraId="50048A7F">
      <w:pPr>
        <w:keepNext w:val="0"/>
        <w:keepLines w:val="0"/>
        <w:pageBreakBefore w:val="0"/>
        <w:kinsoku/>
        <w:overflowPunct/>
        <w:topLinePunct w:val="0"/>
        <w:bidi w:val="0"/>
        <w:adjustRightInd w:val="0"/>
        <w:snapToGrid w:val="0"/>
        <w:spacing w:line="360" w:lineRule="auto"/>
        <w:ind w:firstLine="480" w:firstLineChars="200"/>
        <w:textAlignment w:val="auto"/>
        <w:rPr>
          <w:rFonts w:ascii="宋体"/>
          <w:color w:val="auto"/>
          <w:sz w:val="24"/>
          <w:highlight w:val="none"/>
        </w:rPr>
      </w:pPr>
      <w:r>
        <w:rPr>
          <w:rFonts w:hint="eastAsia" w:ascii="宋体"/>
          <w:color w:val="auto"/>
          <w:sz w:val="24"/>
          <w:highlight w:val="none"/>
        </w:rPr>
        <w:t>（1）供应商未能满足供应商资格要求的；</w:t>
      </w:r>
    </w:p>
    <w:p w14:paraId="0288A576">
      <w:pPr>
        <w:keepNext w:val="0"/>
        <w:keepLines w:val="0"/>
        <w:pageBreakBefore w:val="0"/>
        <w:kinsoku/>
        <w:overflowPunct/>
        <w:topLinePunct w:val="0"/>
        <w:bidi w:val="0"/>
        <w:adjustRightInd w:val="0"/>
        <w:snapToGrid w:val="0"/>
        <w:spacing w:line="360" w:lineRule="auto"/>
        <w:ind w:firstLine="480" w:firstLineChars="200"/>
        <w:textAlignment w:val="auto"/>
        <w:rPr>
          <w:rFonts w:ascii="宋体"/>
          <w:color w:val="auto"/>
          <w:sz w:val="24"/>
          <w:highlight w:val="none"/>
        </w:rPr>
      </w:pPr>
      <w:r>
        <w:rPr>
          <w:rFonts w:hint="eastAsia" w:ascii="宋体"/>
          <w:color w:val="auto"/>
          <w:sz w:val="24"/>
          <w:highlight w:val="none"/>
        </w:rPr>
        <w:t xml:space="preserve">（2）供应商未提交法人授权委托书的； </w:t>
      </w:r>
    </w:p>
    <w:p w14:paraId="1CDD99D7">
      <w:pPr>
        <w:keepNext w:val="0"/>
        <w:keepLines w:val="0"/>
        <w:pageBreakBefore w:val="0"/>
        <w:kinsoku/>
        <w:overflowPunct/>
        <w:topLinePunct w:val="0"/>
        <w:bidi w:val="0"/>
        <w:adjustRightInd w:val="0"/>
        <w:snapToGrid w:val="0"/>
        <w:spacing w:line="360" w:lineRule="auto"/>
        <w:ind w:firstLine="480" w:firstLineChars="200"/>
        <w:textAlignment w:val="auto"/>
        <w:rPr>
          <w:rFonts w:ascii="宋体"/>
          <w:color w:val="auto"/>
          <w:sz w:val="24"/>
          <w:highlight w:val="none"/>
        </w:rPr>
      </w:pPr>
      <w:r>
        <w:rPr>
          <w:rFonts w:hint="eastAsia" w:ascii="宋体"/>
          <w:color w:val="auto"/>
          <w:sz w:val="24"/>
          <w:highlight w:val="none"/>
        </w:rPr>
        <w:t>（</w:t>
      </w:r>
      <w:r>
        <w:rPr>
          <w:rFonts w:hint="eastAsia" w:ascii="宋体"/>
          <w:color w:val="auto"/>
          <w:sz w:val="24"/>
          <w:highlight w:val="none"/>
          <w:lang w:val="en-US" w:eastAsia="zh-CN"/>
        </w:rPr>
        <w:t>3</w:t>
      </w:r>
      <w:r>
        <w:rPr>
          <w:rFonts w:hint="eastAsia" w:ascii="宋体"/>
          <w:color w:val="auto"/>
          <w:sz w:val="24"/>
          <w:highlight w:val="none"/>
        </w:rPr>
        <w:t>）响应文件未按磋商文件规定要求填写响应内容及签名盖章的；</w:t>
      </w:r>
    </w:p>
    <w:p w14:paraId="07C333E3">
      <w:pPr>
        <w:keepNext w:val="0"/>
        <w:keepLines w:val="0"/>
        <w:pageBreakBefore w:val="0"/>
        <w:kinsoku/>
        <w:overflowPunct/>
        <w:topLinePunct w:val="0"/>
        <w:bidi w:val="0"/>
        <w:adjustRightInd w:val="0"/>
        <w:snapToGrid w:val="0"/>
        <w:spacing w:line="360" w:lineRule="auto"/>
        <w:ind w:firstLine="480" w:firstLineChars="200"/>
        <w:textAlignment w:val="auto"/>
        <w:rPr>
          <w:rFonts w:ascii="宋体"/>
          <w:color w:val="auto"/>
          <w:sz w:val="24"/>
          <w:highlight w:val="none"/>
        </w:rPr>
      </w:pPr>
      <w:r>
        <w:rPr>
          <w:rFonts w:hint="eastAsia" w:ascii="宋体"/>
          <w:color w:val="auto"/>
          <w:sz w:val="24"/>
          <w:highlight w:val="none"/>
        </w:rPr>
        <w:t>（</w:t>
      </w:r>
      <w:r>
        <w:rPr>
          <w:rFonts w:hint="eastAsia" w:ascii="宋体"/>
          <w:color w:val="auto"/>
          <w:sz w:val="24"/>
          <w:highlight w:val="none"/>
          <w:lang w:val="en-US" w:eastAsia="zh-CN"/>
        </w:rPr>
        <w:t>4</w:t>
      </w:r>
      <w:r>
        <w:rPr>
          <w:rFonts w:hint="eastAsia" w:ascii="宋体"/>
          <w:color w:val="auto"/>
          <w:sz w:val="24"/>
          <w:highlight w:val="none"/>
        </w:rPr>
        <w:t>）报价不是固定价或者报价不是唯一的；</w:t>
      </w:r>
    </w:p>
    <w:p w14:paraId="3AF2B08F">
      <w:pPr>
        <w:keepNext w:val="0"/>
        <w:keepLines w:val="0"/>
        <w:pageBreakBefore w:val="0"/>
        <w:kinsoku/>
        <w:overflowPunct/>
        <w:topLinePunct w:val="0"/>
        <w:bidi w:val="0"/>
        <w:adjustRightInd w:val="0"/>
        <w:snapToGrid w:val="0"/>
        <w:spacing w:line="360" w:lineRule="auto"/>
        <w:ind w:firstLine="480" w:firstLineChars="200"/>
        <w:textAlignment w:val="auto"/>
        <w:rPr>
          <w:rFonts w:ascii="宋体"/>
          <w:color w:val="auto"/>
          <w:sz w:val="24"/>
          <w:highlight w:val="none"/>
        </w:rPr>
      </w:pPr>
      <w:r>
        <w:rPr>
          <w:rFonts w:hint="eastAsia" w:ascii="宋体"/>
          <w:color w:val="auto"/>
          <w:sz w:val="24"/>
          <w:highlight w:val="none"/>
        </w:rPr>
        <w:t>（</w:t>
      </w:r>
      <w:r>
        <w:rPr>
          <w:rFonts w:hint="eastAsia" w:ascii="宋体"/>
          <w:color w:val="auto"/>
          <w:sz w:val="24"/>
          <w:highlight w:val="none"/>
          <w:lang w:val="en-US" w:eastAsia="zh-CN"/>
        </w:rPr>
        <w:t>5</w:t>
      </w:r>
      <w:r>
        <w:rPr>
          <w:rFonts w:hint="eastAsia" w:ascii="宋体"/>
          <w:color w:val="auto"/>
          <w:sz w:val="24"/>
          <w:highlight w:val="none"/>
        </w:rPr>
        <w:t>）不符合磋商文件规定的其它条件。</w:t>
      </w:r>
    </w:p>
    <w:p w14:paraId="49386010">
      <w:pPr>
        <w:keepNext w:val="0"/>
        <w:keepLines w:val="0"/>
        <w:pageBreakBefore w:val="0"/>
        <w:kinsoku/>
        <w:overflowPunct/>
        <w:topLinePunct w:val="0"/>
        <w:bidi w:val="0"/>
        <w:adjustRightInd w:val="0"/>
        <w:snapToGrid w:val="0"/>
        <w:spacing w:line="360" w:lineRule="auto"/>
        <w:ind w:firstLine="480" w:firstLineChars="200"/>
        <w:textAlignment w:val="auto"/>
        <w:rPr>
          <w:rFonts w:ascii="宋体"/>
          <w:color w:val="auto"/>
          <w:sz w:val="24"/>
          <w:highlight w:val="none"/>
        </w:rPr>
      </w:pPr>
      <w:r>
        <w:rPr>
          <w:rFonts w:hint="eastAsia" w:ascii="宋体"/>
          <w:color w:val="auto"/>
          <w:sz w:val="24"/>
          <w:highlight w:val="none"/>
        </w:rPr>
        <w:t>21.6.2 根据财库〔2015〕124号（《财政部关于政府采购竞争性磋商采购方式管理暂行办法有关问题的补充通知》）规定，采用竞争性磋商采购方式采购的政府购买服务项目（含政府和社会资本合同项目），在采购过程中符合要求的供应商（社会资本）只有2家的，竞争性磋商采购活动可以继续进行。</w:t>
      </w:r>
    </w:p>
    <w:p w14:paraId="0216D403">
      <w:pPr>
        <w:keepNext w:val="0"/>
        <w:keepLines w:val="0"/>
        <w:pageBreakBefore w:val="0"/>
        <w:kinsoku/>
        <w:overflowPunct/>
        <w:topLinePunct w:val="0"/>
        <w:bidi w:val="0"/>
        <w:adjustRightInd w:val="0"/>
        <w:snapToGrid w:val="0"/>
        <w:spacing w:line="360" w:lineRule="auto"/>
        <w:ind w:firstLine="480" w:firstLineChars="200"/>
        <w:textAlignment w:val="auto"/>
        <w:rPr>
          <w:rFonts w:ascii="宋体" w:cs="宋体"/>
          <w:color w:val="auto"/>
          <w:sz w:val="24"/>
          <w:highlight w:val="none"/>
        </w:rPr>
      </w:pPr>
      <w:r>
        <w:rPr>
          <w:rFonts w:hint="eastAsia" w:ascii="宋体"/>
          <w:color w:val="auto"/>
          <w:sz w:val="24"/>
          <w:highlight w:val="none"/>
        </w:rPr>
        <w:t>21.6.3 提供相同品牌产品且通过资格审查、符合性审查的不同供应商参加同一合同项下报价的，按一家供应商计算；</w:t>
      </w:r>
      <w:r>
        <w:rPr>
          <w:rFonts w:hint="eastAsia" w:ascii="宋体" w:cs="宋体"/>
          <w:color w:val="auto"/>
          <w:sz w:val="24"/>
          <w:highlight w:val="none"/>
        </w:rPr>
        <w:t>非单一产品采购项目，根据采购项目技术构成、产品价格比重等合理确定核心产品，并在磋商文件中载明。多家供应商提供的核心产品品牌相同的，按前上述规定处理。</w:t>
      </w:r>
    </w:p>
    <w:p w14:paraId="0C29F512">
      <w:pPr>
        <w:keepNext w:val="0"/>
        <w:keepLines w:val="0"/>
        <w:pageBreakBefore w:val="0"/>
        <w:kinsoku/>
        <w:overflowPunct/>
        <w:topLinePunct w:val="0"/>
        <w:bidi w:val="0"/>
        <w:spacing w:line="360" w:lineRule="auto"/>
        <w:ind w:firstLine="480" w:firstLineChars="200"/>
        <w:textAlignment w:val="auto"/>
        <w:rPr>
          <w:rFonts w:ascii="宋体" w:cs="宋体"/>
          <w:bCs/>
          <w:color w:val="auto"/>
          <w:sz w:val="24"/>
          <w:highlight w:val="none"/>
        </w:rPr>
      </w:pPr>
      <w:r>
        <w:rPr>
          <w:rFonts w:hint="eastAsia" w:ascii="宋体"/>
          <w:color w:val="auto"/>
          <w:sz w:val="24"/>
          <w:highlight w:val="none"/>
        </w:rPr>
        <w:t>21.6.4 磋商小组在初审中</w:t>
      </w:r>
      <w:r>
        <w:rPr>
          <w:rFonts w:hint="eastAsia" w:ascii="宋体" w:cs="宋体"/>
          <w:bCs/>
          <w:color w:val="auto"/>
          <w:sz w:val="24"/>
          <w:highlight w:val="none"/>
        </w:rPr>
        <w:t>响应文件报价出现前后不一致的，除磋商文件另有规定外，按照下列规定修正：</w:t>
      </w:r>
    </w:p>
    <w:p w14:paraId="6E22813D">
      <w:pPr>
        <w:keepNext w:val="0"/>
        <w:keepLines w:val="0"/>
        <w:pageBreakBefore w:val="0"/>
        <w:kinsoku/>
        <w:overflowPunct/>
        <w:topLinePunct w:val="0"/>
        <w:bidi w:val="0"/>
        <w:spacing w:line="360" w:lineRule="auto"/>
        <w:ind w:firstLine="480" w:firstLineChars="200"/>
        <w:textAlignment w:val="auto"/>
        <w:rPr>
          <w:rFonts w:ascii="宋体" w:cs="宋体"/>
          <w:color w:val="auto"/>
          <w:sz w:val="24"/>
          <w:highlight w:val="none"/>
        </w:rPr>
      </w:pPr>
      <w:r>
        <w:rPr>
          <w:rFonts w:hint="eastAsia" w:ascii="宋体" w:cs="宋体"/>
          <w:color w:val="auto"/>
          <w:sz w:val="24"/>
          <w:highlight w:val="none"/>
        </w:rPr>
        <w:t>（1）响应文件中报价一览表内容与响应文件中相应内容不一致的，以报价一览表为准；</w:t>
      </w:r>
    </w:p>
    <w:p w14:paraId="69EEC04A">
      <w:pPr>
        <w:keepNext w:val="0"/>
        <w:keepLines w:val="0"/>
        <w:pageBreakBefore w:val="0"/>
        <w:kinsoku/>
        <w:overflowPunct/>
        <w:topLinePunct w:val="0"/>
        <w:bidi w:val="0"/>
        <w:spacing w:line="360" w:lineRule="auto"/>
        <w:ind w:firstLine="480" w:firstLineChars="200"/>
        <w:textAlignment w:val="auto"/>
        <w:rPr>
          <w:rFonts w:ascii="宋体" w:cs="宋体"/>
          <w:color w:val="auto"/>
          <w:sz w:val="24"/>
          <w:highlight w:val="none"/>
        </w:rPr>
      </w:pPr>
      <w:r>
        <w:rPr>
          <w:rFonts w:hint="eastAsia" w:ascii="宋体" w:cs="宋体"/>
          <w:color w:val="auto"/>
          <w:sz w:val="24"/>
          <w:highlight w:val="none"/>
        </w:rPr>
        <w:t>（2）大写金额和小写金额不一致的，以大写金额为准；</w:t>
      </w:r>
    </w:p>
    <w:p w14:paraId="0AAB7486">
      <w:pPr>
        <w:keepNext w:val="0"/>
        <w:keepLines w:val="0"/>
        <w:pageBreakBefore w:val="0"/>
        <w:kinsoku/>
        <w:overflowPunct/>
        <w:topLinePunct w:val="0"/>
        <w:bidi w:val="0"/>
        <w:spacing w:line="360" w:lineRule="auto"/>
        <w:ind w:firstLine="480" w:firstLineChars="200"/>
        <w:textAlignment w:val="auto"/>
        <w:rPr>
          <w:rFonts w:ascii="宋体" w:cs="宋体"/>
          <w:color w:val="auto"/>
          <w:sz w:val="24"/>
          <w:highlight w:val="none"/>
        </w:rPr>
      </w:pPr>
      <w:r>
        <w:rPr>
          <w:rFonts w:hint="eastAsia" w:ascii="宋体" w:cs="宋体"/>
          <w:color w:val="auto"/>
          <w:sz w:val="24"/>
          <w:highlight w:val="none"/>
        </w:rPr>
        <w:t>（3）单价金额小数点或者百分比有明显错位的，以报价一览表的总价为准，并修改单价；</w:t>
      </w:r>
    </w:p>
    <w:p w14:paraId="224C569B">
      <w:pPr>
        <w:keepNext w:val="0"/>
        <w:keepLines w:val="0"/>
        <w:pageBreakBefore w:val="0"/>
        <w:kinsoku/>
        <w:overflowPunct/>
        <w:topLinePunct w:val="0"/>
        <w:bidi w:val="0"/>
        <w:spacing w:line="360" w:lineRule="auto"/>
        <w:ind w:firstLine="480" w:firstLineChars="200"/>
        <w:textAlignment w:val="auto"/>
        <w:rPr>
          <w:rFonts w:ascii="宋体" w:cs="宋体"/>
          <w:color w:val="auto"/>
          <w:sz w:val="24"/>
          <w:highlight w:val="none"/>
        </w:rPr>
      </w:pPr>
      <w:r>
        <w:rPr>
          <w:rFonts w:hint="eastAsia" w:ascii="宋体" w:cs="宋体"/>
          <w:color w:val="auto"/>
          <w:sz w:val="24"/>
          <w:highlight w:val="none"/>
        </w:rPr>
        <w:t>（4）总价金额与按单价汇总金额不一致的，以单价金额计算结果为准；</w:t>
      </w:r>
    </w:p>
    <w:p w14:paraId="2A068FF9">
      <w:pPr>
        <w:keepNext w:val="0"/>
        <w:keepLines w:val="0"/>
        <w:pageBreakBefore w:val="0"/>
        <w:kinsoku/>
        <w:overflowPunct/>
        <w:topLinePunct w:val="0"/>
        <w:bidi w:val="0"/>
        <w:spacing w:line="360" w:lineRule="auto"/>
        <w:ind w:firstLine="480" w:firstLineChars="200"/>
        <w:textAlignment w:val="auto"/>
        <w:rPr>
          <w:rFonts w:ascii="宋体" w:hAnsi="宋体" w:cs="宋体"/>
          <w:color w:val="auto"/>
          <w:sz w:val="24"/>
          <w:highlight w:val="none"/>
        </w:rPr>
      </w:pPr>
      <w:r>
        <w:rPr>
          <w:rFonts w:hint="eastAsia" w:ascii="宋体" w:cs="宋体"/>
          <w:color w:val="auto"/>
          <w:sz w:val="24"/>
          <w:highlight w:val="none"/>
        </w:rPr>
        <w:t>（5）若供应商不同意以上修正，其响应文件将视为无效。</w:t>
      </w:r>
    </w:p>
    <w:p w14:paraId="57796D69">
      <w:pPr>
        <w:keepNext w:val="0"/>
        <w:keepLines w:val="0"/>
        <w:pageBreakBefore w:val="0"/>
        <w:kinsoku/>
        <w:overflowPunct/>
        <w:topLinePunct w:val="0"/>
        <w:bidi w:val="0"/>
        <w:spacing w:line="360" w:lineRule="auto"/>
        <w:ind w:firstLine="480" w:firstLineChars="200"/>
        <w:textAlignment w:val="auto"/>
        <w:rPr>
          <w:rFonts w:ascii="宋体" w:hAnsi="宋体" w:cs="宋体"/>
          <w:color w:val="auto"/>
          <w:sz w:val="24"/>
          <w:highlight w:val="none"/>
        </w:rPr>
      </w:pPr>
      <w:r>
        <w:rPr>
          <w:rFonts w:hint="eastAsia" w:ascii="宋体" w:hAnsi="宋体" w:cs="宋体"/>
          <w:bCs/>
          <w:color w:val="auto"/>
          <w:sz w:val="24"/>
          <w:highlight w:val="none"/>
        </w:rPr>
        <w:t>2</w:t>
      </w:r>
      <w:r>
        <w:rPr>
          <w:rFonts w:hint="eastAsia" w:ascii="宋体" w:hAnsi="宋体" w:cs="宋体"/>
          <w:bCs/>
          <w:color w:val="auto"/>
          <w:sz w:val="24"/>
          <w:highlight w:val="none"/>
          <w:lang w:val="en-US" w:eastAsia="zh-CN"/>
        </w:rPr>
        <w:t>1</w:t>
      </w:r>
      <w:r>
        <w:rPr>
          <w:rFonts w:hint="eastAsia" w:ascii="宋体" w:hAnsi="宋体" w:cs="宋体"/>
          <w:bCs/>
          <w:color w:val="auto"/>
          <w:sz w:val="24"/>
          <w:highlight w:val="none"/>
        </w:rPr>
        <w:t>.7</w:t>
      </w:r>
      <w:r>
        <w:rPr>
          <w:rFonts w:hint="eastAsia" w:ascii="宋体" w:hAnsi="宋体" w:cs="宋体"/>
          <w:b/>
          <w:color w:val="auto"/>
          <w:sz w:val="24"/>
          <w:highlight w:val="none"/>
        </w:rPr>
        <w:t>采购评审组认为供应商的报价明显低于其他通过初步审查供应商的报价，有可能影响产品质量或者不能诚信履约的，应当要求其在评标现场合理的时间内提供书面说明，必要时提交相关证明材料；供应商不能证明其报价合理性的，采购评审组应当将其作为无效报价处理。</w:t>
      </w:r>
    </w:p>
    <w:p w14:paraId="638C5EB5">
      <w:pPr>
        <w:spacing w:line="360" w:lineRule="auto"/>
        <w:ind w:firstLine="482" w:firstLineChars="200"/>
        <w:rPr>
          <w:rFonts w:hint="eastAsia" w:ascii="宋体" w:hAnsi="宋体" w:cs="宋体"/>
          <w:color w:val="auto"/>
          <w:sz w:val="24"/>
          <w:highlight w:val="none"/>
        </w:rPr>
      </w:pPr>
      <w:r>
        <w:rPr>
          <w:rFonts w:hint="eastAsia" w:ascii="宋体" w:hAnsi="宋体" w:cs="宋体"/>
          <w:b/>
          <w:color w:val="auto"/>
          <w:sz w:val="24"/>
          <w:highlight w:val="none"/>
          <w:lang w:eastAsia="zh-CN"/>
        </w:rPr>
        <w:t>除价格评审外，其他评审扣分的，评审专家应在评审报告中注明扣分分值、扣分理由和依据。除客观评审项外，针对同一供应商的同一评审项，评审专家的评分分值偏离幅度不得超过该评审项平均分值的30%，否则，该项评审意见无效。</w:t>
      </w:r>
    </w:p>
    <w:p w14:paraId="064A4EB6">
      <w:pPr>
        <w:keepNext w:val="0"/>
        <w:keepLines w:val="0"/>
        <w:pageBreakBefore w:val="0"/>
        <w:kinsoku/>
        <w:overflowPunct/>
        <w:topLinePunct w:val="0"/>
        <w:bidi w:val="0"/>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en-US" w:eastAsia="zh-CN"/>
        </w:rPr>
        <w:t>1</w:t>
      </w:r>
      <w:r>
        <w:rPr>
          <w:rFonts w:hint="eastAsia" w:ascii="宋体" w:hAnsi="宋体" w:cs="宋体"/>
          <w:color w:val="auto"/>
          <w:sz w:val="24"/>
          <w:highlight w:val="none"/>
        </w:rPr>
        <w:t>.8 磋商小组成员对需要共同认定的事项存在争议的，应当按照少数服从多数的原则作出结论。持不同意见的磋商小组成员应当在评审报告上签署不同意见及理由，否则视为同意评审报告。</w:t>
      </w:r>
    </w:p>
    <w:p w14:paraId="239A40BB">
      <w:pPr>
        <w:keepNext w:val="0"/>
        <w:keepLines w:val="0"/>
        <w:pageBreakBefore w:val="0"/>
        <w:kinsoku/>
        <w:overflowPunct/>
        <w:topLinePunct w:val="0"/>
        <w:bidi w:val="0"/>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en-US" w:eastAsia="zh-CN"/>
        </w:rPr>
        <w:t>1</w:t>
      </w:r>
      <w:r>
        <w:rPr>
          <w:rFonts w:hint="eastAsia" w:ascii="宋体" w:hAnsi="宋体" w:cs="宋体"/>
          <w:color w:val="auto"/>
          <w:sz w:val="24"/>
          <w:highlight w:val="none"/>
        </w:rPr>
        <w:t>.9 磋商小组对响应文件进行审核后，进行下一步评审。</w:t>
      </w:r>
    </w:p>
    <w:p w14:paraId="4F19F7DC">
      <w:pPr>
        <w:keepNext w:val="0"/>
        <w:keepLines w:val="0"/>
        <w:pageBreakBefore w:val="0"/>
        <w:kinsoku/>
        <w:overflowPunct/>
        <w:topLinePunct w:val="0"/>
        <w:bidi w:val="0"/>
        <w:spacing w:line="360" w:lineRule="auto"/>
        <w:ind w:firstLine="480" w:firstLineChars="200"/>
        <w:textAlignment w:val="auto"/>
        <w:rPr>
          <w:rFonts w:ascii="宋体" w:hAnsi="宋体" w:cs="宋体"/>
          <w:bCs/>
          <w:color w:val="auto"/>
          <w:sz w:val="24"/>
          <w:highlight w:val="none"/>
        </w:rPr>
      </w:pPr>
      <w:r>
        <w:rPr>
          <w:rFonts w:hint="eastAsia" w:ascii="宋体" w:hAnsi="宋体" w:cs="宋体"/>
          <w:bCs/>
          <w:color w:val="auto"/>
          <w:sz w:val="24"/>
          <w:highlight w:val="none"/>
        </w:rPr>
        <w:t>2</w:t>
      </w:r>
      <w:r>
        <w:rPr>
          <w:rFonts w:hint="eastAsia" w:ascii="宋体" w:hAnsi="宋体" w:cs="宋体"/>
          <w:bCs/>
          <w:color w:val="auto"/>
          <w:sz w:val="24"/>
          <w:highlight w:val="none"/>
          <w:lang w:val="en-US" w:eastAsia="zh-CN"/>
        </w:rPr>
        <w:t>1</w:t>
      </w:r>
      <w:r>
        <w:rPr>
          <w:rFonts w:hint="eastAsia" w:ascii="宋体" w:hAnsi="宋体" w:cs="宋体"/>
          <w:bCs/>
          <w:color w:val="auto"/>
          <w:sz w:val="24"/>
          <w:highlight w:val="none"/>
        </w:rPr>
        <w:t>.10量化评审</w:t>
      </w:r>
    </w:p>
    <w:p w14:paraId="39922B34">
      <w:pPr>
        <w:keepNext w:val="0"/>
        <w:keepLines w:val="0"/>
        <w:pageBreakBefore w:val="0"/>
        <w:kinsoku/>
        <w:overflowPunct/>
        <w:topLinePunct w:val="0"/>
        <w:bidi w:val="0"/>
        <w:spacing w:line="360" w:lineRule="auto"/>
        <w:ind w:firstLine="480" w:firstLineChars="200"/>
        <w:textAlignment w:val="auto"/>
        <w:rPr>
          <w:rFonts w:ascii="宋体" w:hAnsi="宋体" w:cs="宋体"/>
          <w:bCs/>
          <w:color w:val="auto"/>
          <w:sz w:val="24"/>
          <w:highlight w:val="none"/>
        </w:rPr>
      </w:pPr>
      <w:r>
        <w:rPr>
          <w:rFonts w:hint="eastAsia" w:ascii="宋体" w:hAnsi="宋体" w:cs="宋体"/>
          <w:bCs/>
          <w:color w:val="auto"/>
          <w:sz w:val="24"/>
          <w:highlight w:val="none"/>
        </w:rPr>
        <w:t>2</w:t>
      </w:r>
      <w:r>
        <w:rPr>
          <w:rFonts w:hint="eastAsia" w:ascii="宋体" w:hAnsi="宋体" w:cs="宋体"/>
          <w:bCs/>
          <w:color w:val="auto"/>
          <w:sz w:val="24"/>
          <w:highlight w:val="none"/>
          <w:lang w:val="en-US" w:eastAsia="zh-CN"/>
        </w:rPr>
        <w:t>1</w:t>
      </w:r>
      <w:r>
        <w:rPr>
          <w:rFonts w:hint="eastAsia" w:ascii="宋体" w:hAnsi="宋体" w:cs="宋体"/>
          <w:bCs/>
          <w:color w:val="auto"/>
          <w:sz w:val="24"/>
          <w:highlight w:val="none"/>
        </w:rPr>
        <w:t>.10.1 磋商小组根据评审办法对通过初步评审的响应文件进行详细评审，并进行技术和商务的评审打分。</w:t>
      </w:r>
    </w:p>
    <w:p w14:paraId="5DDF4411">
      <w:pPr>
        <w:keepNext w:val="0"/>
        <w:keepLines w:val="0"/>
        <w:pageBreakBefore w:val="0"/>
        <w:kinsoku/>
        <w:overflowPunct/>
        <w:topLinePunct w:val="0"/>
        <w:bidi w:val="0"/>
        <w:spacing w:line="360" w:lineRule="auto"/>
        <w:ind w:firstLine="480" w:firstLineChars="200"/>
        <w:textAlignment w:val="auto"/>
        <w:rPr>
          <w:rFonts w:ascii="宋体" w:hAnsi="宋体" w:cs="宋体"/>
          <w:bCs/>
          <w:color w:val="auto"/>
          <w:sz w:val="24"/>
          <w:highlight w:val="none"/>
        </w:rPr>
      </w:pPr>
      <w:r>
        <w:rPr>
          <w:rFonts w:hint="eastAsia" w:ascii="宋体" w:hAnsi="宋体" w:cs="宋体"/>
          <w:bCs/>
          <w:color w:val="auto"/>
          <w:sz w:val="24"/>
          <w:highlight w:val="none"/>
        </w:rPr>
        <w:t>2</w:t>
      </w:r>
      <w:r>
        <w:rPr>
          <w:rFonts w:hint="eastAsia" w:ascii="宋体" w:hAnsi="宋体" w:cs="宋体"/>
          <w:bCs/>
          <w:color w:val="auto"/>
          <w:sz w:val="24"/>
          <w:highlight w:val="none"/>
          <w:lang w:val="en-US" w:eastAsia="zh-CN"/>
        </w:rPr>
        <w:t>1</w:t>
      </w:r>
      <w:r>
        <w:rPr>
          <w:rFonts w:hint="eastAsia" w:ascii="宋体" w:hAnsi="宋体" w:cs="宋体"/>
          <w:bCs/>
          <w:color w:val="auto"/>
          <w:sz w:val="24"/>
          <w:highlight w:val="none"/>
        </w:rPr>
        <w:t>.10.2 技术、商务评分：具体评审的内容详见（附表2）。</w:t>
      </w:r>
    </w:p>
    <w:p w14:paraId="411A5145">
      <w:pPr>
        <w:keepNext w:val="0"/>
        <w:keepLines w:val="0"/>
        <w:pageBreakBefore w:val="0"/>
        <w:kinsoku/>
        <w:overflowPunct/>
        <w:topLinePunct w:val="0"/>
        <w:bidi w:val="0"/>
        <w:spacing w:line="360" w:lineRule="auto"/>
        <w:ind w:firstLine="480" w:firstLineChars="200"/>
        <w:textAlignment w:val="auto"/>
        <w:rPr>
          <w:rFonts w:ascii="宋体" w:hAnsi="宋体" w:cs="宋体"/>
          <w:bCs/>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en-US" w:eastAsia="zh-CN"/>
        </w:rPr>
        <w:t>1</w:t>
      </w:r>
      <w:r>
        <w:rPr>
          <w:rFonts w:hint="eastAsia" w:ascii="宋体" w:hAnsi="宋体" w:cs="宋体"/>
          <w:bCs/>
          <w:color w:val="auto"/>
          <w:sz w:val="24"/>
          <w:highlight w:val="none"/>
        </w:rPr>
        <w:t>.10.3 价格分统一采用低价优先法计算，将通过初步评审的所有供应商的报价，即满足磋商文件要求且价格最低的报价为磋商基准价，其价格分为满分（30分）。其他供应商的价格分统一按照下列公式计算：</w:t>
      </w:r>
    </w:p>
    <w:p w14:paraId="5772A810">
      <w:pPr>
        <w:keepNext w:val="0"/>
        <w:keepLines w:val="0"/>
        <w:pageBreakBefore w:val="0"/>
        <w:kinsoku/>
        <w:overflowPunct/>
        <w:topLinePunct w:val="0"/>
        <w:bidi w:val="0"/>
        <w:spacing w:line="360" w:lineRule="auto"/>
        <w:ind w:firstLine="480" w:firstLineChars="200"/>
        <w:textAlignment w:val="auto"/>
        <w:rPr>
          <w:rFonts w:ascii="宋体" w:hAnsi="宋体" w:cs="宋体"/>
          <w:bCs/>
          <w:color w:val="auto"/>
          <w:sz w:val="24"/>
          <w:highlight w:val="none"/>
        </w:rPr>
      </w:pPr>
      <w:r>
        <w:rPr>
          <w:rFonts w:hint="eastAsia" w:ascii="宋体" w:hAnsi="宋体" w:cs="宋体"/>
          <w:bCs/>
          <w:color w:val="auto"/>
          <w:sz w:val="24"/>
          <w:highlight w:val="none"/>
        </w:rPr>
        <w:t>价格分=（基准价／报价）×价格权值×100。</w:t>
      </w:r>
    </w:p>
    <w:p w14:paraId="63A52F73">
      <w:pPr>
        <w:keepNext w:val="0"/>
        <w:keepLines w:val="0"/>
        <w:pageBreakBefore w:val="0"/>
        <w:kinsoku/>
        <w:overflowPunct/>
        <w:topLinePunct w:val="0"/>
        <w:bidi w:val="0"/>
        <w:spacing w:after="159" w:line="360" w:lineRule="auto"/>
        <w:ind w:firstLine="480" w:firstLineChars="200"/>
        <w:textAlignment w:val="auto"/>
        <w:rPr>
          <w:rFonts w:ascii="宋体" w:hAnsi="宋体" w:cs="宋体"/>
          <w:bCs/>
          <w:color w:val="auto"/>
          <w:sz w:val="24"/>
          <w:highlight w:val="none"/>
        </w:rPr>
      </w:pPr>
      <w:r>
        <w:rPr>
          <w:rFonts w:hint="eastAsia" w:ascii="宋体" w:hAnsi="宋体" w:cs="宋体"/>
          <w:bCs/>
          <w:color w:val="auto"/>
          <w:sz w:val="24"/>
          <w:highlight w:val="none"/>
        </w:rPr>
        <w:t>2</w:t>
      </w:r>
      <w:r>
        <w:rPr>
          <w:rFonts w:hint="eastAsia" w:ascii="宋体" w:hAnsi="宋体" w:cs="宋体"/>
          <w:bCs/>
          <w:color w:val="auto"/>
          <w:sz w:val="24"/>
          <w:highlight w:val="none"/>
          <w:lang w:val="en-US" w:eastAsia="zh-CN"/>
        </w:rPr>
        <w:t>1</w:t>
      </w:r>
      <w:r>
        <w:rPr>
          <w:rFonts w:hint="eastAsia" w:ascii="宋体" w:hAnsi="宋体" w:cs="宋体"/>
          <w:bCs/>
          <w:color w:val="auto"/>
          <w:sz w:val="24"/>
          <w:highlight w:val="none"/>
        </w:rPr>
        <w:t>.10.4 技术、商务及价格权重分配</w:t>
      </w:r>
    </w:p>
    <w:tbl>
      <w:tblPr>
        <w:tblStyle w:val="23"/>
        <w:tblW w:w="84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2"/>
        <w:gridCol w:w="5047"/>
        <w:gridCol w:w="1683"/>
      </w:tblGrid>
      <w:tr w14:paraId="555A3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1682" w:type="dxa"/>
            <w:shd w:val="clear" w:color="auto" w:fill="D9D9D9"/>
            <w:vAlign w:val="center"/>
          </w:tcPr>
          <w:p w14:paraId="10032603">
            <w:pPr>
              <w:spacing w:before="95" w:after="95" w:line="360" w:lineRule="auto"/>
              <w:jc w:val="center"/>
              <w:rPr>
                <w:rFonts w:ascii="宋体" w:hAnsi="宋体" w:cs="宋体"/>
                <w:b/>
                <w:bCs/>
                <w:color w:val="auto"/>
                <w:sz w:val="24"/>
                <w:highlight w:val="none"/>
              </w:rPr>
            </w:pPr>
            <w:r>
              <w:rPr>
                <w:rFonts w:hint="eastAsia" w:ascii="宋体" w:hAnsi="宋体" w:cs="宋体"/>
                <w:b/>
                <w:bCs/>
                <w:color w:val="auto"/>
                <w:sz w:val="24"/>
                <w:highlight w:val="none"/>
              </w:rPr>
              <w:t>评分项目</w:t>
            </w:r>
          </w:p>
        </w:tc>
        <w:tc>
          <w:tcPr>
            <w:tcW w:w="5047" w:type="dxa"/>
            <w:shd w:val="clear" w:color="auto" w:fill="D9D9D9"/>
            <w:vAlign w:val="center"/>
          </w:tcPr>
          <w:p w14:paraId="36FB958A">
            <w:pPr>
              <w:spacing w:before="95" w:after="95" w:line="360" w:lineRule="auto"/>
              <w:jc w:val="center"/>
              <w:rPr>
                <w:rFonts w:ascii="宋体" w:hAnsi="宋体" w:cs="宋体"/>
                <w:b/>
                <w:bCs/>
                <w:color w:val="auto"/>
                <w:sz w:val="24"/>
                <w:highlight w:val="none"/>
              </w:rPr>
            </w:pPr>
            <w:r>
              <w:rPr>
                <w:rFonts w:hint="eastAsia" w:ascii="宋体" w:hAnsi="宋体" w:cs="宋体"/>
                <w:b/>
                <w:bCs/>
                <w:color w:val="auto"/>
                <w:sz w:val="24"/>
                <w:highlight w:val="none"/>
              </w:rPr>
              <w:t>技术、商务项</w:t>
            </w:r>
          </w:p>
        </w:tc>
        <w:tc>
          <w:tcPr>
            <w:tcW w:w="1683" w:type="dxa"/>
            <w:shd w:val="clear" w:color="auto" w:fill="D9D9D9"/>
            <w:vAlign w:val="center"/>
          </w:tcPr>
          <w:p w14:paraId="4F719E2B">
            <w:pPr>
              <w:spacing w:before="95" w:after="95" w:line="360" w:lineRule="auto"/>
              <w:jc w:val="center"/>
              <w:rPr>
                <w:rFonts w:ascii="宋体" w:hAnsi="宋体" w:cs="宋体"/>
                <w:b/>
                <w:bCs/>
                <w:color w:val="auto"/>
                <w:sz w:val="24"/>
                <w:highlight w:val="none"/>
              </w:rPr>
            </w:pPr>
            <w:r>
              <w:rPr>
                <w:rFonts w:hint="eastAsia" w:ascii="宋体" w:hAnsi="宋体" w:cs="宋体"/>
                <w:b/>
                <w:bCs/>
                <w:color w:val="auto"/>
                <w:sz w:val="24"/>
                <w:highlight w:val="none"/>
              </w:rPr>
              <w:t>价格项</w:t>
            </w:r>
          </w:p>
        </w:tc>
      </w:tr>
      <w:tr w14:paraId="6C41C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682" w:type="dxa"/>
            <w:vAlign w:val="center"/>
          </w:tcPr>
          <w:p w14:paraId="16F38FF7">
            <w:pPr>
              <w:spacing w:before="95" w:after="95" w:line="360" w:lineRule="auto"/>
              <w:jc w:val="center"/>
              <w:rPr>
                <w:rFonts w:ascii="宋体" w:hAnsi="宋体" w:cs="宋体"/>
                <w:color w:val="auto"/>
                <w:sz w:val="24"/>
                <w:highlight w:val="none"/>
              </w:rPr>
            </w:pPr>
            <w:r>
              <w:rPr>
                <w:rFonts w:hint="eastAsia" w:ascii="宋体" w:hAnsi="宋体" w:cs="宋体"/>
                <w:b/>
                <w:bCs/>
                <w:color w:val="auto"/>
                <w:sz w:val="24"/>
                <w:highlight w:val="none"/>
              </w:rPr>
              <w:t>权重</w:t>
            </w:r>
          </w:p>
        </w:tc>
        <w:tc>
          <w:tcPr>
            <w:tcW w:w="5047" w:type="dxa"/>
            <w:vAlign w:val="center"/>
          </w:tcPr>
          <w:p w14:paraId="2F5B78CB">
            <w:pPr>
              <w:spacing w:before="95" w:after="95" w:line="360" w:lineRule="auto"/>
              <w:jc w:val="center"/>
              <w:rPr>
                <w:rFonts w:ascii="宋体" w:hAnsi="宋体" w:cs="宋体"/>
                <w:color w:val="auto"/>
                <w:sz w:val="24"/>
                <w:highlight w:val="none"/>
              </w:rPr>
            </w:pPr>
            <w:r>
              <w:rPr>
                <w:rFonts w:hint="eastAsia" w:ascii="宋体" w:hAnsi="宋体" w:cs="宋体"/>
                <w:color w:val="auto"/>
                <w:sz w:val="24"/>
                <w:highlight w:val="none"/>
              </w:rPr>
              <w:t>70%</w:t>
            </w:r>
          </w:p>
        </w:tc>
        <w:tc>
          <w:tcPr>
            <w:tcW w:w="1683" w:type="dxa"/>
            <w:vAlign w:val="center"/>
          </w:tcPr>
          <w:p w14:paraId="6C4C0CB2">
            <w:pPr>
              <w:spacing w:before="95" w:after="95" w:line="360" w:lineRule="auto"/>
              <w:jc w:val="center"/>
              <w:rPr>
                <w:rFonts w:ascii="宋体" w:hAnsi="宋体" w:cs="宋体"/>
                <w:color w:val="auto"/>
                <w:sz w:val="24"/>
                <w:highlight w:val="none"/>
              </w:rPr>
            </w:pPr>
            <w:r>
              <w:rPr>
                <w:rFonts w:hint="eastAsia" w:ascii="宋体" w:hAnsi="宋体" w:cs="宋体"/>
                <w:color w:val="auto"/>
                <w:sz w:val="24"/>
                <w:highlight w:val="none"/>
              </w:rPr>
              <w:t>30%</w:t>
            </w:r>
          </w:p>
        </w:tc>
      </w:tr>
    </w:tbl>
    <w:p w14:paraId="21B9467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en-US" w:eastAsia="zh-CN"/>
        </w:rPr>
        <w:t>1</w:t>
      </w:r>
      <w:r>
        <w:rPr>
          <w:rFonts w:hint="eastAsia" w:ascii="宋体" w:hAnsi="宋体" w:cs="宋体"/>
          <w:color w:val="auto"/>
          <w:sz w:val="24"/>
          <w:highlight w:val="none"/>
        </w:rPr>
        <w:t>.11 磋商小组根据综合评分情况，按照评审综合得分由高到低顺序推荐3名以上成交候选供应商，并编写评审报告。评审</w:t>
      </w:r>
      <w:r>
        <w:rPr>
          <w:rFonts w:hint="eastAsia" w:ascii="宋体" w:hAnsi="宋体" w:cs="宋体"/>
          <w:color w:val="auto"/>
          <w:kern w:val="0"/>
          <w:sz w:val="24"/>
          <w:highlight w:val="none"/>
        </w:rPr>
        <w:t>得分相同的，按最终报价由低到高顺序排列；评审得分且最终报价相同的，</w:t>
      </w:r>
      <w:r>
        <w:rPr>
          <w:rFonts w:hint="eastAsia" w:ascii="宋体" w:hAnsi="宋体" w:cs="宋体"/>
          <w:color w:val="auto"/>
          <w:sz w:val="24"/>
          <w:highlight w:val="none"/>
        </w:rPr>
        <w:t>按照技术及商务指标优劣顺序推荐。</w:t>
      </w:r>
    </w:p>
    <w:p w14:paraId="30600BA4">
      <w:pPr>
        <w:keepNext w:val="0"/>
        <w:keepLines w:val="0"/>
        <w:pageBreakBefore w:val="0"/>
        <w:widowControl w:val="0"/>
        <w:kinsoku/>
        <w:wordWrap/>
        <w:overflowPunct/>
        <w:topLinePunct w:val="0"/>
        <w:autoSpaceDE/>
        <w:autoSpaceDN/>
        <w:bidi w:val="0"/>
        <w:adjustRightInd/>
        <w:snapToGrid/>
        <w:spacing w:after="159" w:line="360" w:lineRule="auto"/>
        <w:ind w:firstLine="482" w:firstLineChars="200"/>
        <w:textAlignment w:val="auto"/>
        <w:rPr>
          <w:rFonts w:ascii="宋体" w:hAnsi="宋体" w:cs="宋体"/>
          <w:b/>
          <w:bCs/>
          <w:color w:val="auto"/>
          <w:sz w:val="24"/>
          <w:highlight w:val="none"/>
        </w:rPr>
      </w:pPr>
      <w:r>
        <w:rPr>
          <w:rFonts w:hint="eastAsia" w:ascii="宋体" w:hAnsi="宋体" w:cs="宋体"/>
          <w:b/>
          <w:bCs/>
          <w:color w:val="auto"/>
          <w:sz w:val="24"/>
          <w:highlight w:val="none"/>
        </w:rPr>
        <w:t>注：</w:t>
      </w:r>
    </w:p>
    <w:p w14:paraId="381602C4">
      <w:pPr>
        <w:keepNext w:val="0"/>
        <w:keepLines w:val="0"/>
        <w:pageBreakBefore w:val="0"/>
        <w:widowControl w:val="0"/>
        <w:kinsoku/>
        <w:wordWrap/>
        <w:overflowPunct/>
        <w:topLinePunct w:val="0"/>
        <w:autoSpaceDE/>
        <w:autoSpaceDN/>
        <w:bidi w:val="0"/>
        <w:adjustRightInd/>
        <w:snapToGrid/>
        <w:spacing w:after="159"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1、技术项得分=（∑各评委所审技术参数得分）/（评委人数）；</w:t>
      </w:r>
    </w:p>
    <w:p w14:paraId="6775A1C8">
      <w:pPr>
        <w:keepNext w:val="0"/>
        <w:keepLines w:val="0"/>
        <w:pageBreakBefore w:val="0"/>
        <w:widowControl w:val="0"/>
        <w:kinsoku/>
        <w:wordWrap/>
        <w:overflowPunct/>
        <w:topLinePunct w:val="0"/>
        <w:autoSpaceDE/>
        <w:autoSpaceDN/>
        <w:bidi w:val="0"/>
        <w:adjustRightInd/>
        <w:snapToGrid/>
        <w:spacing w:after="159"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2、商务项得分=（∑各评委所审商务参数得分）/（评委人数）；</w:t>
      </w:r>
    </w:p>
    <w:p w14:paraId="2DDF958A">
      <w:pPr>
        <w:keepNext w:val="0"/>
        <w:keepLines w:val="0"/>
        <w:pageBreakBefore w:val="0"/>
        <w:widowControl w:val="0"/>
        <w:kinsoku/>
        <w:wordWrap/>
        <w:overflowPunct/>
        <w:topLinePunct w:val="0"/>
        <w:autoSpaceDE/>
        <w:autoSpaceDN/>
        <w:bidi w:val="0"/>
        <w:adjustRightInd/>
        <w:snapToGrid/>
        <w:spacing w:after="159"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3、价格项得分=（基准价／报价）×价格权值×100；</w:t>
      </w:r>
    </w:p>
    <w:p w14:paraId="063D83CC">
      <w:pPr>
        <w:keepNext w:val="0"/>
        <w:keepLines w:val="0"/>
        <w:pageBreakBefore w:val="0"/>
        <w:widowControl w:val="0"/>
        <w:kinsoku/>
        <w:wordWrap/>
        <w:overflowPunct/>
        <w:topLinePunct w:val="0"/>
        <w:autoSpaceDE/>
        <w:autoSpaceDN/>
        <w:bidi w:val="0"/>
        <w:adjustRightInd/>
        <w:snapToGrid/>
        <w:spacing w:after="159" w:line="360" w:lineRule="auto"/>
        <w:ind w:firstLine="480" w:firstLineChars="200"/>
        <w:textAlignment w:val="auto"/>
        <w:rPr>
          <w:rFonts w:ascii="宋体" w:hAnsi="宋体" w:cs="宋体"/>
          <w:b/>
          <w:bCs/>
          <w:color w:val="auto"/>
          <w:sz w:val="24"/>
          <w:highlight w:val="none"/>
        </w:rPr>
      </w:pPr>
      <w:r>
        <w:rPr>
          <w:rFonts w:hint="eastAsia" w:ascii="宋体" w:hAnsi="宋体" w:cs="宋体"/>
          <w:color w:val="auto"/>
          <w:sz w:val="24"/>
          <w:highlight w:val="none"/>
        </w:rPr>
        <w:t>4、供应商综合得分=技术项得分+商务项得分+价格项得分（保留二位小数）。</w:t>
      </w:r>
    </w:p>
    <w:p w14:paraId="379A8333">
      <w:pPr>
        <w:spacing w:line="312" w:lineRule="auto"/>
        <w:rPr>
          <w:rFonts w:ascii="宋体" w:hAnsi="宋体" w:cs="宋体"/>
          <w:b/>
          <w:bCs/>
          <w:color w:val="auto"/>
          <w:sz w:val="24"/>
          <w:highlight w:val="none"/>
        </w:rPr>
      </w:pPr>
      <w:r>
        <w:rPr>
          <w:rFonts w:hint="eastAsia" w:ascii="宋体" w:hAnsi="宋体" w:cs="宋体"/>
          <w:b/>
          <w:bCs/>
          <w:color w:val="auto"/>
          <w:sz w:val="24"/>
          <w:highlight w:val="none"/>
        </w:rPr>
        <w:br w:type="page"/>
      </w:r>
      <w:r>
        <w:rPr>
          <w:rFonts w:hint="eastAsia" w:ascii="宋体" w:hAnsi="宋体" w:cs="宋体"/>
          <w:b/>
          <w:bCs/>
          <w:color w:val="auto"/>
          <w:sz w:val="24"/>
          <w:highlight w:val="none"/>
        </w:rPr>
        <w:t>（附表1）</w:t>
      </w:r>
    </w:p>
    <w:p w14:paraId="56487F2B">
      <w:pPr>
        <w:spacing w:after="79" w:line="312" w:lineRule="auto"/>
        <w:jc w:val="center"/>
        <w:rPr>
          <w:rFonts w:ascii="宋体" w:hAnsi="宋体" w:cs="宋体"/>
          <w:color w:val="auto"/>
          <w:highlight w:val="none"/>
        </w:rPr>
      </w:pPr>
      <w:r>
        <w:rPr>
          <w:rFonts w:hint="eastAsia" w:ascii="宋体" w:hAnsi="宋体" w:cs="宋体"/>
          <w:b/>
          <w:color w:val="auto"/>
          <w:sz w:val="36"/>
          <w:szCs w:val="36"/>
          <w:highlight w:val="none"/>
        </w:rPr>
        <w:t>资格性、符合性审查表</w:t>
      </w:r>
    </w:p>
    <w:p w14:paraId="33359515">
      <w:pPr>
        <w:ind w:left="-24" w:leftChars="-95" w:hanging="175" w:hangingChars="83"/>
        <w:rPr>
          <w:rFonts w:hint="eastAsia" w:ascii="宋体" w:hAnsi="宋体" w:eastAsia="宋体" w:cs="宋体"/>
          <w:b/>
          <w:color w:val="auto"/>
          <w:sz w:val="21"/>
          <w:szCs w:val="21"/>
          <w:highlight w:val="none"/>
          <w:lang w:eastAsia="zh-CN"/>
        </w:rPr>
      </w:pPr>
      <w:r>
        <w:rPr>
          <w:rFonts w:hint="eastAsia" w:ascii="宋体" w:hAnsi="宋体" w:eastAsia="宋体" w:cs="宋体"/>
          <w:b/>
          <w:color w:val="auto"/>
          <w:sz w:val="21"/>
          <w:szCs w:val="21"/>
          <w:highlight w:val="none"/>
        </w:rPr>
        <w:t>项目名称：</w:t>
      </w:r>
      <w:r>
        <w:rPr>
          <w:rFonts w:hint="eastAsia" w:ascii="宋体" w:hAnsi="宋体" w:cs="宋体"/>
          <w:b/>
          <w:color w:val="auto"/>
          <w:sz w:val="21"/>
          <w:szCs w:val="21"/>
          <w:highlight w:val="none"/>
          <w:lang w:eastAsia="zh-CN"/>
        </w:rPr>
        <w:t>海口市琼山区振群幼儿园2025年秋季设施设备采购项目</w:t>
      </w:r>
    </w:p>
    <w:p w14:paraId="14EBD187">
      <w:pPr>
        <w:spacing w:beforeLines="50" w:afterLines="50"/>
        <w:ind w:left="-24" w:leftChars="-95" w:hanging="175" w:hangingChars="83"/>
        <w:rPr>
          <w:rFonts w:hint="default" w:ascii="宋体" w:hAnsi="宋体" w:eastAsia="宋体" w:cs="宋体"/>
          <w:b/>
          <w:color w:val="auto"/>
          <w:sz w:val="21"/>
          <w:szCs w:val="21"/>
          <w:highlight w:val="none"/>
          <w:lang w:val="en-US" w:eastAsia="zh-CN"/>
        </w:rPr>
      </w:pPr>
      <w:r>
        <w:rPr>
          <w:rFonts w:hint="eastAsia" w:ascii="宋体" w:hAnsi="宋体" w:eastAsia="宋体" w:cs="宋体"/>
          <w:b/>
          <w:color w:val="auto"/>
          <w:sz w:val="21"/>
          <w:szCs w:val="21"/>
          <w:highlight w:val="none"/>
        </w:rPr>
        <w:t>项目编号：</w:t>
      </w:r>
      <w:r>
        <w:rPr>
          <w:rFonts w:hint="eastAsia" w:ascii="宋体" w:hAnsi="宋体" w:cs="宋体"/>
          <w:b/>
          <w:color w:val="auto"/>
          <w:sz w:val="21"/>
          <w:szCs w:val="21"/>
          <w:highlight w:val="none"/>
          <w:lang w:eastAsia="zh-CN"/>
        </w:rPr>
        <w:t>HNZY2025-100</w:t>
      </w:r>
      <w:r>
        <w:rPr>
          <w:rFonts w:hint="eastAsia" w:ascii="宋体" w:hAnsi="宋体" w:cs="宋体"/>
          <w:b/>
          <w:color w:val="auto"/>
          <w:sz w:val="21"/>
          <w:szCs w:val="21"/>
          <w:highlight w:val="none"/>
          <w:lang w:val="en-US" w:eastAsia="zh-CN"/>
        </w:rPr>
        <w:t xml:space="preserve">            包号：A/B/C </w:t>
      </w:r>
    </w:p>
    <w:tbl>
      <w:tblPr>
        <w:tblStyle w:val="23"/>
        <w:tblW w:w="952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92"/>
        <w:gridCol w:w="1936"/>
        <w:gridCol w:w="3450"/>
        <w:gridCol w:w="1127"/>
        <w:gridCol w:w="1104"/>
        <w:gridCol w:w="1114"/>
      </w:tblGrid>
      <w:tr w14:paraId="168C3B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792" w:type="dxa"/>
            <w:tcBorders>
              <w:top w:val="single" w:color="auto" w:sz="4" w:space="0"/>
              <w:left w:val="single" w:color="auto" w:sz="4" w:space="0"/>
              <w:bottom w:val="single" w:color="auto" w:sz="4" w:space="0"/>
              <w:right w:val="single" w:color="auto" w:sz="4" w:space="0"/>
            </w:tcBorders>
            <w:vAlign w:val="center"/>
          </w:tcPr>
          <w:p w14:paraId="40D51112">
            <w:pPr>
              <w:shd w:val="clear" w:color="auto" w:fill="FFFFFF"/>
              <w:spacing w:line="288" w:lineRule="auto"/>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类别</w:t>
            </w:r>
          </w:p>
        </w:tc>
        <w:tc>
          <w:tcPr>
            <w:tcW w:w="1936" w:type="dxa"/>
            <w:tcBorders>
              <w:top w:val="single" w:color="auto" w:sz="4" w:space="0"/>
              <w:left w:val="single" w:color="auto" w:sz="4" w:space="0"/>
              <w:bottom w:val="single" w:color="auto" w:sz="4" w:space="0"/>
              <w:right w:val="single" w:color="auto" w:sz="4" w:space="0"/>
            </w:tcBorders>
            <w:vAlign w:val="center"/>
          </w:tcPr>
          <w:p w14:paraId="52DE90F7">
            <w:pPr>
              <w:shd w:val="clear" w:color="auto" w:fill="FFFFFF"/>
              <w:spacing w:line="288" w:lineRule="auto"/>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审查项目</w:t>
            </w:r>
          </w:p>
        </w:tc>
        <w:tc>
          <w:tcPr>
            <w:tcW w:w="3450" w:type="dxa"/>
            <w:tcBorders>
              <w:top w:val="single" w:color="auto" w:sz="4" w:space="0"/>
              <w:left w:val="single" w:color="auto" w:sz="4" w:space="0"/>
              <w:bottom w:val="single" w:color="auto" w:sz="4" w:space="0"/>
              <w:right w:val="single" w:color="auto" w:sz="4" w:space="0"/>
            </w:tcBorders>
            <w:vAlign w:val="center"/>
          </w:tcPr>
          <w:p w14:paraId="1D13129C">
            <w:pPr>
              <w:shd w:val="clear" w:color="auto" w:fill="FFFFFF"/>
              <w:spacing w:line="288" w:lineRule="auto"/>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评议内容</w:t>
            </w:r>
            <w:r>
              <w:rPr>
                <w:rFonts w:hint="eastAsia" w:ascii="宋体" w:hAnsi="宋体" w:eastAsia="宋体" w:cs="宋体"/>
                <w:bCs/>
                <w:color w:val="auto"/>
                <w:sz w:val="21"/>
                <w:szCs w:val="21"/>
                <w:highlight w:val="none"/>
              </w:rPr>
              <w:t>（无效投标认定条件）</w:t>
            </w:r>
          </w:p>
        </w:tc>
        <w:tc>
          <w:tcPr>
            <w:tcW w:w="1127" w:type="dxa"/>
            <w:tcBorders>
              <w:top w:val="single" w:color="auto" w:sz="4" w:space="0"/>
              <w:left w:val="single" w:color="auto" w:sz="4" w:space="0"/>
              <w:bottom w:val="single" w:color="auto" w:sz="4" w:space="0"/>
              <w:right w:val="single" w:color="auto" w:sz="4" w:space="0"/>
            </w:tcBorders>
            <w:vAlign w:val="center"/>
          </w:tcPr>
          <w:p w14:paraId="52C63C78">
            <w:pPr>
              <w:shd w:val="clear" w:color="auto" w:fill="FFFFFF"/>
              <w:snapToGrid w:val="0"/>
              <w:spacing w:line="288" w:lineRule="auto"/>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供应商1</w:t>
            </w:r>
          </w:p>
        </w:tc>
        <w:tc>
          <w:tcPr>
            <w:tcW w:w="1104" w:type="dxa"/>
            <w:tcBorders>
              <w:top w:val="single" w:color="auto" w:sz="4" w:space="0"/>
              <w:left w:val="single" w:color="auto" w:sz="4" w:space="0"/>
              <w:bottom w:val="single" w:color="auto" w:sz="4" w:space="0"/>
              <w:right w:val="single" w:color="auto" w:sz="4" w:space="0"/>
            </w:tcBorders>
            <w:vAlign w:val="center"/>
          </w:tcPr>
          <w:p w14:paraId="111A817C">
            <w:pPr>
              <w:shd w:val="clear" w:color="auto" w:fill="FFFFFF"/>
              <w:snapToGrid w:val="0"/>
              <w:spacing w:line="288" w:lineRule="auto"/>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供应商2</w:t>
            </w:r>
          </w:p>
        </w:tc>
        <w:tc>
          <w:tcPr>
            <w:tcW w:w="1114" w:type="dxa"/>
            <w:tcBorders>
              <w:top w:val="single" w:color="auto" w:sz="4" w:space="0"/>
              <w:left w:val="single" w:color="auto" w:sz="4" w:space="0"/>
              <w:bottom w:val="single" w:color="auto" w:sz="4" w:space="0"/>
              <w:right w:val="single" w:color="auto" w:sz="4" w:space="0"/>
            </w:tcBorders>
            <w:vAlign w:val="center"/>
          </w:tcPr>
          <w:p w14:paraId="7FDE38D8">
            <w:pPr>
              <w:shd w:val="clear" w:color="auto" w:fill="FFFFFF"/>
              <w:snapToGrid w:val="0"/>
              <w:spacing w:line="288" w:lineRule="auto"/>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供应商3</w:t>
            </w:r>
          </w:p>
        </w:tc>
      </w:tr>
      <w:tr w14:paraId="59D4F88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92" w:type="dxa"/>
            <w:vMerge w:val="restart"/>
            <w:tcBorders>
              <w:top w:val="single" w:color="auto" w:sz="4" w:space="0"/>
              <w:left w:val="single" w:color="auto" w:sz="4" w:space="0"/>
              <w:bottom w:val="single" w:color="auto" w:sz="4" w:space="0"/>
              <w:right w:val="single" w:color="auto" w:sz="4" w:space="0"/>
            </w:tcBorders>
            <w:vAlign w:val="center"/>
          </w:tcPr>
          <w:p w14:paraId="40BD67AF">
            <w:pPr>
              <w:shd w:val="clear" w:color="auto" w:fill="FFFFFF"/>
              <w:spacing w:line="288"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资格性审查</w:t>
            </w:r>
          </w:p>
        </w:tc>
        <w:tc>
          <w:tcPr>
            <w:tcW w:w="1936" w:type="dxa"/>
            <w:tcBorders>
              <w:top w:val="single" w:color="auto" w:sz="4" w:space="0"/>
              <w:left w:val="single" w:color="auto" w:sz="4" w:space="0"/>
              <w:bottom w:val="single" w:color="auto" w:sz="4" w:space="0"/>
              <w:right w:val="single" w:color="auto" w:sz="4" w:space="0"/>
            </w:tcBorders>
            <w:vAlign w:val="center"/>
          </w:tcPr>
          <w:p w14:paraId="081C80BC">
            <w:pPr>
              <w:shd w:val="clear" w:color="auto" w:fill="FFFFFF"/>
              <w:spacing w:line="288"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供应商的资格</w:t>
            </w:r>
          </w:p>
        </w:tc>
        <w:tc>
          <w:tcPr>
            <w:tcW w:w="3450" w:type="dxa"/>
            <w:tcBorders>
              <w:top w:val="single" w:color="auto" w:sz="4" w:space="0"/>
              <w:left w:val="single" w:color="auto" w:sz="4" w:space="0"/>
              <w:bottom w:val="single" w:color="auto" w:sz="4" w:space="0"/>
              <w:right w:val="single" w:color="auto" w:sz="4" w:space="0"/>
            </w:tcBorders>
            <w:vAlign w:val="center"/>
          </w:tcPr>
          <w:p w14:paraId="356D2485">
            <w:pPr>
              <w:shd w:val="clear" w:color="auto" w:fill="FFFFFF"/>
              <w:spacing w:line="288"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是否符合第一章磋商公告的申请人的资格要求</w:t>
            </w:r>
          </w:p>
        </w:tc>
        <w:tc>
          <w:tcPr>
            <w:tcW w:w="1127" w:type="dxa"/>
            <w:tcBorders>
              <w:top w:val="single" w:color="auto" w:sz="4" w:space="0"/>
              <w:left w:val="single" w:color="auto" w:sz="4" w:space="0"/>
              <w:bottom w:val="single" w:color="auto" w:sz="4" w:space="0"/>
              <w:right w:val="single" w:color="auto" w:sz="4" w:space="0"/>
            </w:tcBorders>
          </w:tcPr>
          <w:p w14:paraId="6131EC0C">
            <w:pPr>
              <w:shd w:val="clear" w:color="auto" w:fill="FFFFFF"/>
              <w:spacing w:line="288" w:lineRule="auto"/>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w:t>
            </w:r>
          </w:p>
        </w:tc>
        <w:tc>
          <w:tcPr>
            <w:tcW w:w="1104" w:type="dxa"/>
            <w:tcBorders>
              <w:top w:val="single" w:color="auto" w:sz="4" w:space="0"/>
              <w:left w:val="single" w:color="auto" w:sz="4" w:space="0"/>
              <w:bottom w:val="single" w:color="auto" w:sz="4" w:space="0"/>
              <w:right w:val="single" w:color="auto" w:sz="4" w:space="0"/>
            </w:tcBorders>
          </w:tcPr>
          <w:p w14:paraId="265CA140">
            <w:pPr>
              <w:shd w:val="clear" w:color="auto" w:fill="FFFFFF"/>
              <w:spacing w:line="288" w:lineRule="auto"/>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w:t>
            </w:r>
          </w:p>
        </w:tc>
        <w:tc>
          <w:tcPr>
            <w:tcW w:w="1114" w:type="dxa"/>
            <w:tcBorders>
              <w:top w:val="single" w:color="auto" w:sz="4" w:space="0"/>
              <w:left w:val="single" w:color="auto" w:sz="4" w:space="0"/>
              <w:bottom w:val="single" w:color="auto" w:sz="4" w:space="0"/>
              <w:right w:val="single" w:color="auto" w:sz="4" w:space="0"/>
            </w:tcBorders>
          </w:tcPr>
          <w:p w14:paraId="66A368FC">
            <w:pPr>
              <w:shd w:val="clear" w:color="auto" w:fill="FFFFFF"/>
              <w:spacing w:line="288" w:lineRule="auto"/>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w:t>
            </w:r>
          </w:p>
        </w:tc>
      </w:tr>
      <w:tr w14:paraId="068815C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1" w:hRule="atLeast"/>
          <w:jc w:val="center"/>
        </w:trPr>
        <w:tc>
          <w:tcPr>
            <w:tcW w:w="792" w:type="dxa"/>
            <w:vMerge w:val="continue"/>
            <w:tcBorders>
              <w:top w:val="single" w:color="auto" w:sz="4" w:space="0"/>
              <w:left w:val="single" w:color="auto" w:sz="4" w:space="0"/>
              <w:bottom w:val="single" w:color="auto" w:sz="4" w:space="0"/>
              <w:right w:val="single" w:color="auto" w:sz="4" w:space="0"/>
            </w:tcBorders>
            <w:vAlign w:val="center"/>
          </w:tcPr>
          <w:p w14:paraId="786C657A">
            <w:pPr>
              <w:shd w:val="clear" w:color="auto" w:fill="FFFFFF"/>
              <w:spacing w:line="288" w:lineRule="auto"/>
              <w:jc w:val="center"/>
              <w:rPr>
                <w:rFonts w:hint="eastAsia" w:ascii="宋体" w:hAnsi="宋体" w:eastAsia="宋体" w:cs="宋体"/>
                <w:color w:val="auto"/>
                <w:sz w:val="21"/>
                <w:szCs w:val="21"/>
                <w:highlight w:val="none"/>
              </w:rPr>
            </w:pPr>
          </w:p>
        </w:tc>
        <w:tc>
          <w:tcPr>
            <w:tcW w:w="1936" w:type="dxa"/>
            <w:tcBorders>
              <w:top w:val="single" w:color="auto" w:sz="4" w:space="0"/>
              <w:left w:val="single" w:color="auto" w:sz="4" w:space="0"/>
              <w:bottom w:val="single" w:color="auto" w:sz="4" w:space="0"/>
              <w:right w:val="single" w:color="auto" w:sz="4" w:space="0"/>
            </w:tcBorders>
            <w:vAlign w:val="center"/>
          </w:tcPr>
          <w:p w14:paraId="0E97EFF9">
            <w:pPr>
              <w:shd w:val="clear" w:color="auto" w:fill="FFFFFF"/>
              <w:spacing w:line="288"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w:t>
            </w:r>
          </w:p>
        </w:tc>
        <w:tc>
          <w:tcPr>
            <w:tcW w:w="3450" w:type="dxa"/>
            <w:tcBorders>
              <w:top w:val="single" w:color="auto" w:sz="4" w:space="0"/>
              <w:left w:val="single" w:color="auto" w:sz="4" w:space="0"/>
              <w:bottom w:val="single" w:color="auto" w:sz="4" w:space="0"/>
              <w:right w:val="single" w:color="auto" w:sz="4" w:space="0"/>
            </w:tcBorders>
            <w:vAlign w:val="center"/>
          </w:tcPr>
          <w:p w14:paraId="083E7352">
            <w:pPr>
              <w:shd w:val="clear" w:color="auto" w:fill="FFFFFF"/>
              <w:spacing w:line="288"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是否满足磋商文件要求</w:t>
            </w:r>
          </w:p>
        </w:tc>
        <w:tc>
          <w:tcPr>
            <w:tcW w:w="1127" w:type="dxa"/>
            <w:tcBorders>
              <w:top w:val="single" w:color="auto" w:sz="4" w:space="0"/>
              <w:left w:val="single" w:color="auto" w:sz="4" w:space="0"/>
              <w:bottom w:val="single" w:color="auto" w:sz="4" w:space="0"/>
              <w:right w:val="single" w:color="auto" w:sz="4" w:space="0"/>
            </w:tcBorders>
          </w:tcPr>
          <w:p w14:paraId="46924B70">
            <w:pPr>
              <w:shd w:val="clear" w:color="auto" w:fill="FFFFFF"/>
              <w:spacing w:line="288" w:lineRule="auto"/>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w:t>
            </w:r>
          </w:p>
        </w:tc>
        <w:tc>
          <w:tcPr>
            <w:tcW w:w="1104" w:type="dxa"/>
            <w:tcBorders>
              <w:top w:val="single" w:color="auto" w:sz="4" w:space="0"/>
              <w:left w:val="single" w:color="auto" w:sz="4" w:space="0"/>
              <w:bottom w:val="single" w:color="auto" w:sz="4" w:space="0"/>
              <w:right w:val="single" w:color="auto" w:sz="4" w:space="0"/>
            </w:tcBorders>
          </w:tcPr>
          <w:p w14:paraId="5E2EDD86">
            <w:pPr>
              <w:shd w:val="clear" w:color="auto" w:fill="FFFFFF"/>
              <w:spacing w:line="288" w:lineRule="auto"/>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w:t>
            </w:r>
          </w:p>
        </w:tc>
        <w:tc>
          <w:tcPr>
            <w:tcW w:w="1114" w:type="dxa"/>
            <w:tcBorders>
              <w:top w:val="single" w:color="auto" w:sz="4" w:space="0"/>
              <w:left w:val="single" w:color="auto" w:sz="4" w:space="0"/>
              <w:bottom w:val="single" w:color="auto" w:sz="4" w:space="0"/>
              <w:right w:val="single" w:color="auto" w:sz="4" w:space="0"/>
            </w:tcBorders>
          </w:tcPr>
          <w:p w14:paraId="145EE263">
            <w:pPr>
              <w:shd w:val="clear" w:color="auto" w:fill="FFFFFF"/>
              <w:spacing w:line="288" w:lineRule="auto"/>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w:t>
            </w:r>
          </w:p>
        </w:tc>
      </w:tr>
      <w:tr w14:paraId="2E666D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6" w:hRule="atLeast"/>
          <w:jc w:val="center"/>
        </w:trPr>
        <w:tc>
          <w:tcPr>
            <w:tcW w:w="792" w:type="dxa"/>
            <w:vMerge w:val="restart"/>
            <w:tcBorders>
              <w:top w:val="single" w:color="auto" w:sz="4" w:space="0"/>
              <w:left w:val="single" w:color="auto" w:sz="4" w:space="0"/>
              <w:bottom w:val="single" w:color="auto" w:sz="4" w:space="0"/>
              <w:right w:val="single" w:color="auto" w:sz="4" w:space="0"/>
            </w:tcBorders>
            <w:vAlign w:val="center"/>
          </w:tcPr>
          <w:p w14:paraId="067DE6AB">
            <w:pPr>
              <w:shd w:val="clear" w:color="auto" w:fill="FFFFFF"/>
              <w:spacing w:line="288"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符合性审查</w:t>
            </w:r>
          </w:p>
        </w:tc>
        <w:tc>
          <w:tcPr>
            <w:tcW w:w="1936" w:type="dxa"/>
            <w:tcBorders>
              <w:top w:val="single" w:color="auto" w:sz="4" w:space="0"/>
              <w:left w:val="single" w:color="auto" w:sz="4" w:space="0"/>
              <w:bottom w:val="single" w:color="auto" w:sz="4" w:space="0"/>
              <w:right w:val="single" w:color="auto" w:sz="4" w:space="0"/>
            </w:tcBorders>
            <w:vAlign w:val="center"/>
          </w:tcPr>
          <w:p w14:paraId="1A3B7483">
            <w:pPr>
              <w:shd w:val="clear" w:color="auto" w:fill="FFFFFF"/>
              <w:snapToGrid w:val="0"/>
              <w:spacing w:line="288"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响应文件符合性</w:t>
            </w:r>
          </w:p>
        </w:tc>
        <w:tc>
          <w:tcPr>
            <w:tcW w:w="3450" w:type="dxa"/>
            <w:tcBorders>
              <w:top w:val="single" w:color="auto" w:sz="4" w:space="0"/>
              <w:left w:val="single" w:color="auto" w:sz="4" w:space="0"/>
              <w:bottom w:val="single" w:color="auto" w:sz="4" w:space="0"/>
              <w:right w:val="single" w:color="auto" w:sz="4" w:space="0"/>
            </w:tcBorders>
            <w:vAlign w:val="center"/>
          </w:tcPr>
          <w:p w14:paraId="721117DF">
            <w:pPr>
              <w:shd w:val="clear" w:color="auto" w:fill="FFFFFF"/>
              <w:spacing w:line="288"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是否满足磋商文件的实质性要求</w:t>
            </w:r>
          </w:p>
        </w:tc>
        <w:tc>
          <w:tcPr>
            <w:tcW w:w="1127" w:type="dxa"/>
            <w:tcBorders>
              <w:top w:val="single" w:color="auto" w:sz="4" w:space="0"/>
              <w:left w:val="single" w:color="auto" w:sz="4" w:space="0"/>
              <w:bottom w:val="single" w:color="auto" w:sz="4" w:space="0"/>
              <w:right w:val="single" w:color="auto" w:sz="4" w:space="0"/>
            </w:tcBorders>
          </w:tcPr>
          <w:p w14:paraId="0B53C755">
            <w:pPr>
              <w:shd w:val="clear" w:color="auto" w:fill="FFFFFF"/>
              <w:spacing w:line="288" w:lineRule="auto"/>
              <w:jc w:val="center"/>
              <w:rPr>
                <w:rFonts w:hint="eastAsia" w:ascii="宋体" w:hAnsi="宋体" w:eastAsia="宋体" w:cs="宋体"/>
                <w:b/>
                <w:color w:val="auto"/>
                <w:sz w:val="21"/>
                <w:szCs w:val="21"/>
                <w:highlight w:val="none"/>
              </w:rPr>
            </w:pPr>
          </w:p>
        </w:tc>
        <w:tc>
          <w:tcPr>
            <w:tcW w:w="1104" w:type="dxa"/>
            <w:tcBorders>
              <w:top w:val="single" w:color="auto" w:sz="4" w:space="0"/>
              <w:left w:val="single" w:color="auto" w:sz="4" w:space="0"/>
              <w:bottom w:val="single" w:color="auto" w:sz="4" w:space="0"/>
              <w:right w:val="single" w:color="auto" w:sz="4" w:space="0"/>
            </w:tcBorders>
          </w:tcPr>
          <w:p w14:paraId="01297AFB">
            <w:pPr>
              <w:shd w:val="clear" w:color="auto" w:fill="FFFFFF"/>
              <w:spacing w:line="288" w:lineRule="auto"/>
              <w:jc w:val="center"/>
              <w:rPr>
                <w:rFonts w:hint="eastAsia" w:ascii="宋体" w:hAnsi="宋体" w:eastAsia="宋体" w:cs="宋体"/>
                <w:b/>
                <w:color w:val="auto"/>
                <w:sz w:val="21"/>
                <w:szCs w:val="21"/>
                <w:highlight w:val="none"/>
              </w:rPr>
            </w:pPr>
          </w:p>
        </w:tc>
        <w:tc>
          <w:tcPr>
            <w:tcW w:w="1114" w:type="dxa"/>
            <w:tcBorders>
              <w:top w:val="single" w:color="auto" w:sz="4" w:space="0"/>
              <w:left w:val="single" w:color="auto" w:sz="4" w:space="0"/>
              <w:bottom w:val="single" w:color="auto" w:sz="4" w:space="0"/>
              <w:right w:val="single" w:color="auto" w:sz="4" w:space="0"/>
            </w:tcBorders>
          </w:tcPr>
          <w:p w14:paraId="57787796">
            <w:pPr>
              <w:shd w:val="clear" w:color="auto" w:fill="FFFFFF"/>
              <w:spacing w:line="288" w:lineRule="auto"/>
              <w:jc w:val="center"/>
              <w:rPr>
                <w:rFonts w:hint="eastAsia" w:ascii="宋体" w:hAnsi="宋体" w:eastAsia="宋体" w:cs="宋体"/>
                <w:b/>
                <w:color w:val="auto"/>
                <w:sz w:val="21"/>
                <w:szCs w:val="21"/>
                <w:highlight w:val="none"/>
              </w:rPr>
            </w:pPr>
          </w:p>
        </w:tc>
      </w:tr>
      <w:tr w14:paraId="26B586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92" w:type="dxa"/>
            <w:vMerge w:val="continue"/>
            <w:tcBorders>
              <w:top w:val="single" w:color="auto" w:sz="4" w:space="0"/>
              <w:left w:val="single" w:color="auto" w:sz="4" w:space="0"/>
              <w:bottom w:val="single" w:color="auto" w:sz="4" w:space="0"/>
              <w:right w:val="single" w:color="auto" w:sz="4" w:space="0"/>
            </w:tcBorders>
          </w:tcPr>
          <w:p w14:paraId="392DB2B7">
            <w:pPr>
              <w:shd w:val="clear" w:color="auto" w:fill="FFFFFF"/>
              <w:snapToGrid w:val="0"/>
              <w:spacing w:line="288" w:lineRule="auto"/>
              <w:jc w:val="center"/>
              <w:rPr>
                <w:rFonts w:hint="eastAsia" w:ascii="宋体" w:hAnsi="宋体" w:eastAsia="宋体" w:cs="宋体"/>
                <w:color w:val="auto"/>
                <w:sz w:val="21"/>
                <w:szCs w:val="21"/>
                <w:highlight w:val="none"/>
              </w:rPr>
            </w:pPr>
          </w:p>
        </w:tc>
        <w:tc>
          <w:tcPr>
            <w:tcW w:w="1936" w:type="dxa"/>
            <w:tcBorders>
              <w:top w:val="single" w:color="auto" w:sz="4" w:space="0"/>
              <w:left w:val="single" w:color="auto" w:sz="4" w:space="0"/>
              <w:bottom w:val="single" w:color="auto" w:sz="4" w:space="0"/>
              <w:right w:val="single" w:color="auto" w:sz="4" w:space="0"/>
            </w:tcBorders>
            <w:vAlign w:val="center"/>
          </w:tcPr>
          <w:p w14:paraId="02C053DA">
            <w:pPr>
              <w:shd w:val="clear" w:color="auto" w:fill="FFFFFF"/>
              <w:spacing w:line="288"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响应文件的有效性、完整性</w:t>
            </w:r>
          </w:p>
        </w:tc>
        <w:tc>
          <w:tcPr>
            <w:tcW w:w="3450" w:type="dxa"/>
            <w:tcBorders>
              <w:top w:val="single" w:color="auto" w:sz="4" w:space="0"/>
              <w:left w:val="single" w:color="auto" w:sz="4" w:space="0"/>
              <w:bottom w:val="single" w:color="auto" w:sz="4" w:space="0"/>
              <w:right w:val="single" w:color="auto" w:sz="4" w:space="0"/>
            </w:tcBorders>
          </w:tcPr>
          <w:p w14:paraId="3E3F1AF8">
            <w:pPr>
              <w:shd w:val="clear" w:color="auto" w:fill="FFFFFF"/>
              <w:spacing w:line="288"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是否符合磋商文件的式样和签署要求且内容完整无缺漏</w:t>
            </w:r>
          </w:p>
        </w:tc>
        <w:tc>
          <w:tcPr>
            <w:tcW w:w="1127" w:type="dxa"/>
            <w:tcBorders>
              <w:top w:val="single" w:color="auto" w:sz="4" w:space="0"/>
              <w:left w:val="single" w:color="auto" w:sz="4" w:space="0"/>
              <w:bottom w:val="single" w:color="auto" w:sz="4" w:space="0"/>
              <w:right w:val="single" w:color="auto" w:sz="4" w:space="0"/>
            </w:tcBorders>
          </w:tcPr>
          <w:p w14:paraId="79772E74">
            <w:pPr>
              <w:shd w:val="clear" w:color="auto" w:fill="FFFFFF"/>
              <w:spacing w:line="288" w:lineRule="auto"/>
              <w:jc w:val="center"/>
              <w:rPr>
                <w:rFonts w:hint="eastAsia" w:ascii="宋体" w:hAnsi="宋体" w:eastAsia="宋体" w:cs="宋体"/>
                <w:b/>
                <w:color w:val="auto"/>
                <w:sz w:val="21"/>
                <w:szCs w:val="21"/>
                <w:highlight w:val="none"/>
              </w:rPr>
            </w:pPr>
          </w:p>
        </w:tc>
        <w:tc>
          <w:tcPr>
            <w:tcW w:w="1104" w:type="dxa"/>
            <w:tcBorders>
              <w:top w:val="single" w:color="auto" w:sz="4" w:space="0"/>
              <w:left w:val="single" w:color="auto" w:sz="4" w:space="0"/>
              <w:bottom w:val="single" w:color="auto" w:sz="4" w:space="0"/>
              <w:right w:val="single" w:color="auto" w:sz="4" w:space="0"/>
            </w:tcBorders>
          </w:tcPr>
          <w:p w14:paraId="4C2B2780">
            <w:pPr>
              <w:shd w:val="clear" w:color="auto" w:fill="FFFFFF"/>
              <w:spacing w:line="288" w:lineRule="auto"/>
              <w:jc w:val="center"/>
              <w:rPr>
                <w:rFonts w:hint="eastAsia" w:ascii="宋体" w:hAnsi="宋体" w:eastAsia="宋体" w:cs="宋体"/>
                <w:b/>
                <w:color w:val="auto"/>
                <w:sz w:val="21"/>
                <w:szCs w:val="21"/>
                <w:highlight w:val="none"/>
              </w:rPr>
            </w:pPr>
          </w:p>
        </w:tc>
        <w:tc>
          <w:tcPr>
            <w:tcW w:w="1114" w:type="dxa"/>
            <w:tcBorders>
              <w:top w:val="single" w:color="auto" w:sz="4" w:space="0"/>
              <w:left w:val="single" w:color="auto" w:sz="4" w:space="0"/>
              <w:bottom w:val="single" w:color="auto" w:sz="4" w:space="0"/>
              <w:right w:val="single" w:color="auto" w:sz="4" w:space="0"/>
            </w:tcBorders>
          </w:tcPr>
          <w:p w14:paraId="697CD035">
            <w:pPr>
              <w:shd w:val="clear" w:color="auto" w:fill="FFFFFF"/>
              <w:spacing w:line="288" w:lineRule="auto"/>
              <w:jc w:val="center"/>
              <w:rPr>
                <w:rFonts w:hint="eastAsia" w:ascii="宋体" w:hAnsi="宋体" w:eastAsia="宋体" w:cs="宋体"/>
                <w:b/>
                <w:color w:val="auto"/>
                <w:sz w:val="21"/>
                <w:szCs w:val="21"/>
                <w:highlight w:val="none"/>
              </w:rPr>
            </w:pPr>
          </w:p>
        </w:tc>
      </w:tr>
      <w:tr w14:paraId="2A729B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20" w:hRule="atLeast"/>
          <w:jc w:val="center"/>
        </w:trPr>
        <w:tc>
          <w:tcPr>
            <w:tcW w:w="792" w:type="dxa"/>
            <w:vMerge w:val="continue"/>
            <w:tcBorders>
              <w:top w:val="single" w:color="auto" w:sz="4" w:space="0"/>
              <w:left w:val="single" w:color="auto" w:sz="4" w:space="0"/>
              <w:bottom w:val="single" w:color="auto" w:sz="4" w:space="0"/>
              <w:right w:val="single" w:color="auto" w:sz="4" w:space="0"/>
            </w:tcBorders>
          </w:tcPr>
          <w:p w14:paraId="2623B303">
            <w:pPr>
              <w:shd w:val="clear" w:color="auto" w:fill="FFFFFF"/>
              <w:snapToGrid w:val="0"/>
              <w:spacing w:line="288" w:lineRule="auto"/>
              <w:jc w:val="center"/>
              <w:rPr>
                <w:rFonts w:hint="eastAsia" w:ascii="宋体" w:hAnsi="宋体" w:eastAsia="宋体" w:cs="宋体"/>
                <w:color w:val="auto"/>
                <w:sz w:val="21"/>
                <w:szCs w:val="21"/>
                <w:highlight w:val="none"/>
              </w:rPr>
            </w:pPr>
          </w:p>
        </w:tc>
        <w:tc>
          <w:tcPr>
            <w:tcW w:w="1936" w:type="dxa"/>
            <w:tcBorders>
              <w:top w:val="single" w:color="auto" w:sz="4" w:space="0"/>
              <w:left w:val="single" w:color="auto" w:sz="4" w:space="0"/>
              <w:bottom w:val="single" w:color="auto" w:sz="4" w:space="0"/>
              <w:right w:val="single" w:color="auto" w:sz="4" w:space="0"/>
            </w:tcBorders>
            <w:vAlign w:val="center"/>
          </w:tcPr>
          <w:p w14:paraId="36D32950">
            <w:pPr>
              <w:shd w:val="clear" w:color="auto" w:fill="FFFFFF"/>
              <w:spacing w:line="288"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报价项目完整性</w:t>
            </w:r>
          </w:p>
        </w:tc>
        <w:tc>
          <w:tcPr>
            <w:tcW w:w="3450" w:type="dxa"/>
            <w:tcBorders>
              <w:top w:val="single" w:color="auto" w:sz="4" w:space="0"/>
              <w:left w:val="single" w:color="auto" w:sz="4" w:space="0"/>
              <w:bottom w:val="single" w:color="auto" w:sz="4" w:space="0"/>
              <w:right w:val="single" w:color="auto" w:sz="4" w:space="0"/>
            </w:tcBorders>
          </w:tcPr>
          <w:p w14:paraId="309A4989">
            <w:pPr>
              <w:shd w:val="clear" w:color="auto" w:fill="FFFFFF"/>
              <w:spacing w:line="288"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是否对本项目内所有的内容进行投标，漏报其投标将被拒绝</w:t>
            </w:r>
          </w:p>
        </w:tc>
        <w:tc>
          <w:tcPr>
            <w:tcW w:w="1127" w:type="dxa"/>
            <w:tcBorders>
              <w:top w:val="single" w:color="auto" w:sz="4" w:space="0"/>
              <w:left w:val="single" w:color="auto" w:sz="4" w:space="0"/>
              <w:bottom w:val="single" w:color="auto" w:sz="4" w:space="0"/>
              <w:right w:val="single" w:color="auto" w:sz="4" w:space="0"/>
            </w:tcBorders>
          </w:tcPr>
          <w:p w14:paraId="1380487F">
            <w:pPr>
              <w:shd w:val="clear" w:color="auto" w:fill="FFFFFF"/>
              <w:spacing w:line="288" w:lineRule="auto"/>
              <w:jc w:val="center"/>
              <w:rPr>
                <w:rFonts w:hint="eastAsia" w:ascii="宋体" w:hAnsi="宋体" w:eastAsia="宋体" w:cs="宋体"/>
                <w:b/>
                <w:color w:val="auto"/>
                <w:sz w:val="21"/>
                <w:szCs w:val="21"/>
                <w:highlight w:val="none"/>
              </w:rPr>
            </w:pPr>
          </w:p>
        </w:tc>
        <w:tc>
          <w:tcPr>
            <w:tcW w:w="1104" w:type="dxa"/>
            <w:tcBorders>
              <w:top w:val="single" w:color="auto" w:sz="4" w:space="0"/>
              <w:left w:val="single" w:color="auto" w:sz="4" w:space="0"/>
              <w:bottom w:val="single" w:color="auto" w:sz="4" w:space="0"/>
              <w:right w:val="single" w:color="auto" w:sz="4" w:space="0"/>
            </w:tcBorders>
          </w:tcPr>
          <w:p w14:paraId="6B796395">
            <w:pPr>
              <w:shd w:val="clear" w:color="auto" w:fill="FFFFFF"/>
              <w:spacing w:line="288" w:lineRule="auto"/>
              <w:jc w:val="center"/>
              <w:rPr>
                <w:rFonts w:hint="eastAsia" w:ascii="宋体" w:hAnsi="宋体" w:eastAsia="宋体" w:cs="宋体"/>
                <w:b/>
                <w:color w:val="auto"/>
                <w:sz w:val="21"/>
                <w:szCs w:val="21"/>
                <w:highlight w:val="none"/>
              </w:rPr>
            </w:pPr>
          </w:p>
        </w:tc>
        <w:tc>
          <w:tcPr>
            <w:tcW w:w="1114" w:type="dxa"/>
            <w:tcBorders>
              <w:top w:val="single" w:color="auto" w:sz="4" w:space="0"/>
              <w:left w:val="single" w:color="auto" w:sz="4" w:space="0"/>
              <w:bottom w:val="single" w:color="auto" w:sz="4" w:space="0"/>
              <w:right w:val="single" w:color="auto" w:sz="4" w:space="0"/>
            </w:tcBorders>
          </w:tcPr>
          <w:p w14:paraId="33C5E442">
            <w:pPr>
              <w:shd w:val="clear" w:color="auto" w:fill="FFFFFF"/>
              <w:spacing w:line="288" w:lineRule="auto"/>
              <w:jc w:val="center"/>
              <w:rPr>
                <w:rFonts w:hint="eastAsia" w:ascii="宋体" w:hAnsi="宋体" w:eastAsia="宋体" w:cs="宋体"/>
                <w:b/>
                <w:color w:val="auto"/>
                <w:sz w:val="21"/>
                <w:szCs w:val="21"/>
                <w:highlight w:val="none"/>
              </w:rPr>
            </w:pPr>
          </w:p>
        </w:tc>
      </w:tr>
      <w:tr w14:paraId="6D5A494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4" w:hRule="atLeast"/>
          <w:jc w:val="center"/>
        </w:trPr>
        <w:tc>
          <w:tcPr>
            <w:tcW w:w="792" w:type="dxa"/>
            <w:vMerge w:val="continue"/>
            <w:tcBorders>
              <w:top w:val="single" w:color="auto" w:sz="4" w:space="0"/>
              <w:left w:val="single" w:color="auto" w:sz="4" w:space="0"/>
              <w:bottom w:val="single" w:color="auto" w:sz="4" w:space="0"/>
              <w:right w:val="single" w:color="auto" w:sz="4" w:space="0"/>
            </w:tcBorders>
          </w:tcPr>
          <w:p w14:paraId="74014743">
            <w:pPr>
              <w:shd w:val="clear" w:color="auto" w:fill="FFFFFF"/>
              <w:snapToGrid w:val="0"/>
              <w:spacing w:line="288" w:lineRule="auto"/>
              <w:jc w:val="center"/>
              <w:rPr>
                <w:rFonts w:hint="eastAsia" w:ascii="宋体" w:hAnsi="宋体" w:eastAsia="宋体" w:cs="宋体"/>
                <w:color w:val="auto"/>
                <w:sz w:val="21"/>
                <w:szCs w:val="21"/>
                <w:highlight w:val="none"/>
              </w:rPr>
            </w:pPr>
          </w:p>
        </w:tc>
        <w:tc>
          <w:tcPr>
            <w:tcW w:w="1936" w:type="dxa"/>
            <w:tcBorders>
              <w:top w:val="single" w:color="auto" w:sz="4" w:space="0"/>
              <w:left w:val="single" w:color="auto" w:sz="4" w:space="0"/>
              <w:bottom w:val="single" w:color="auto" w:sz="4" w:space="0"/>
              <w:right w:val="single" w:color="auto" w:sz="4" w:space="0"/>
            </w:tcBorders>
            <w:vAlign w:val="center"/>
          </w:tcPr>
          <w:p w14:paraId="7E1B6D51">
            <w:pPr>
              <w:shd w:val="clear" w:color="auto" w:fill="FFFFFF"/>
              <w:spacing w:line="288"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投标报价</w:t>
            </w:r>
          </w:p>
        </w:tc>
        <w:tc>
          <w:tcPr>
            <w:tcW w:w="3450" w:type="dxa"/>
            <w:tcBorders>
              <w:top w:val="single" w:color="auto" w:sz="4" w:space="0"/>
              <w:left w:val="single" w:color="auto" w:sz="4" w:space="0"/>
              <w:bottom w:val="single" w:color="auto" w:sz="4" w:space="0"/>
              <w:right w:val="single" w:color="auto" w:sz="4" w:space="0"/>
            </w:tcBorders>
          </w:tcPr>
          <w:p w14:paraId="0DCFBB65">
            <w:pPr>
              <w:shd w:val="clear" w:color="auto" w:fill="FFFFFF"/>
              <w:spacing w:line="288"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投标价是否固定价且投标价是唯一的，且不超过最高限价或预算金额</w:t>
            </w:r>
          </w:p>
        </w:tc>
        <w:tc>
          <w:tcPr>
            <w:tcW w:w="1127" w:type="dxa"/>
            <w:tcBorders>
              <w:top w:val="single" w:color="auto" w:sz="4" w:space="0"/>
              <w:left w:val="single" w:color="auto" w:sz="4" w:space="0"/>
              <w:bottom w:val="single" w:color="auto" w:sz="4" w:space="0"/>
              <w:right w:val="single" w:color="auto" w:sz="4" w:space="0"/>
            </w:tcBorders>
          </w:tcPr>
          <w:p w14:paraId="3187EE00">
            <w:pPr>
              <w:shd w:val="clear" w:color="auto" w:fill="FFFFFF"/>
              <w:spacing w:line="288" w:lineRule="auto"/>
              <w:jc w:val="center"/>
              <w:rPr>
                <w:rFonts w:hint="eastAsia" w:ascii="宋体" w:hAnsi="宋体" w:eastAsia="宋体" w:cs="宋体"/>
                <w:b/>
                <w:color w:val="auto"/>
                <w:sz w:val="21"/>
                <w:szCs w:val="21"/>
                <w:highlight w:val="none"/>
              </w:rPr>
            </w:pPr>
          </w:p>
        </w:tc>
        <w:tc>
          <w:tcPr>
            <w:tcW w:w="1104" w:type="dxa"/>
            <w:tcBorders>
              <w:top w:val="single" w:color="auto" w:sz="4" w:space="0"/>
              <w:left w:val="single" w:color="auto" w:sz="4" w:space="0"/>
              <w:bottom w:val="single" w:color="auto" w:sz="4" w:space="0"/>
              <w:right w:val="single" w:color="auto" w:sz="4" w:space="0"/>
            </w:tcBorders>
          </w:tcPr>
          <w:p w14:paraId="54702975">
            <w:pPr>
              <w:shd w:val="clear" w:color="auto" w:fill="FFFFFF"/>
              <w:spacing w:line="288" w:lineRule="auto"/>
              <w:jc w:val="center"/>
              <w:rPr>
                <w:rFonts w:hint="eastAsia" w:ascii="宋体" w:hAnsi="宋体" w:eastAsia="宋体" w:cs="宋体"/>
                <w:b/>
                <w:color w:val="auto"/>
                <w:sz w:val="21"/>
                <w:szCs w:val="21"/>
                <w:highlight w:val="none"/>
              </w:rPr>
            </w:pPr>
          </w:p>
        </w:tc>
        <w:tc>
          <w:tcPr>
            <w:tcW w:w="1114" w:type="dxa"/>
            <w:tcBorders>
              <w:top w:val="single" w:color="auto" w:sz="4" w:space="0"/>
              <w:left w:val="single" w:color="auto" w:sz="4" w:space="0"/>
              <w:bottom w:val="single" w:color="auto" w:sz="4" w:space="0"/>
              <w:right w:val="single" w:color="auto" w:sz="4" w:space="0"/>
            </w:tcBorders>
          </w:tcPr>
          <w:p w14:paraId="211A1624">
            <w:pPr>
              <w:shd w:val="clear" w:color="auto" w:fill="FFFFFF"/>
              <w:spacing w:line="288" w:lineRule="auto"/>
              <w:jc w:val="center"/>
              <w:rPr>
                <w:rFonts w:hint="eastAsia" w:ascii="宋体" w:hAnsi="宋体" w:eastAsia="宋体" w:cs="宋体"/>
                <w:b/>
                <w:color w:val="auto"/>
                <w:sz w:val="21"/>
                <w:szCs w:val="21"/>
                <w:highlight w:val="none"/>
              </w:rPr>
            </w:pPr>
          </w:p>
        </w:tc>
      </w:tr>
      <w:tr w14:paraId="20CE1C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2" w:hRule="atLeast"/>
          <w:jc w:val="center"/>
        </w:trPr>
        <w:tc>
          <w:tcPr>
            <w:tcW w:w="792" w:type="dxa"/>
            <w:vMerge w:val="continue"/>
            <w:tcBorders>
              <w:top w:val="single" w:color="auto" w:sz="4" w:space="0"/>
              <w:left w:val="single" w:color="auto" w:sz="4" w:space="0"/>
              <w:bottom w:val="single" w:color="auto" w:sz="4" w:space="0"/>
              <w:right w:val="single" w:color="auto" w:sz="4" w:space="0"/>
            </w:tcBorders>
          </w:tcPr>
          <w:p w14:paraId="46991019">
            <w:pPr>
              <w:shd w:val="clear" w:color="auto" w:fill="FFFFFF"/>
              <w:snapToGrid w:val="0"/>
              <w:spacing w:line="288" w:lineRule="auto"/>
              <w:jc w:val="center"/>
              <w:rPr>
                <w:rFonts w:hint="eastAsia" w:ascii="宋体" w:hAnsi="宋体" w:eastAsia="宋体" w:cs="宋体"/>
                <w:color w:val="auto"/>
                <w:sz w:val="21"/>
                <w:szCs w:val="21"/>
                <w:highlight w:val="none"/>
              </w:rPr>
            </w:pPr>
          </w:p>
        </w:tc>
        <w:tc>
          <w:tcPr>
            <w:tcW w:w="1936" w:type="dxa"/>
            <w:tcBorders>
              <w:top w:val="single" w:color="auto" w:sz="4" w:space="0"/>
              <w:left w:val="single" w:color="auto" w:sz="4" w:space="0"/>
              <w:bottom w:val="single" w:color="auto" w:sz="4" w:space="0"/>
              <w:right w:val="single" w:color="auto" w:sz="4" w:space="0"/>
            </w:tcBorders>
            <w:vAlign w:val="center"/>
          </w:tcPr>
          <w:p w14:paraId="26B42D43">
            <w:pPr>
              <w:shd w:val="clear" w:color="auto" w:fill="FFFFFF"/>
              <w:spacing w:line="288" w:lineRule="auto"/>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合同履行期限</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交货期</w:t>
            </w:r>
            <w:r>
              <w:rPr>
                <w:rFonts w:hint="eastAsia" w:ascii="宋体" w:hAnsi="宋体" w:cs="宋体"/>
                <w:color w:val="auto"/>
                <w:sz w:val="21"/>
                <w:szCs w:val="21"/>
                <w:highlight w:val="none"/>
                <w:lang w:eastAsia="zh-CN"/>
              </w:rPr>
              <w:t>）</w:t>
            </w:r>
          </w:p>
        </w:tc>
        <w:tc>
          <w:tcPr>
            <w:tcW w:w="3450" w:type="dxa"/>
            <w:tcBorders>
              <w:top w:val="single" w:color="auto" w:sz="4" w:space="0"/>
              <w:left w:val="single" w:color="auto" w:sz="4" w:space="0"/>
              <w:bottom w:val="single" w:color="auto" w:sz="4" w:space="0"/>
              <w:right w:val="single" w:color="auto" w:sz="4" w:space="0"/>
            </w:tcBorders>
          </w:tcPr>
          <w:p w14:paraId="02FCA210">
            <w:pPr>
              <w:shd w:val="clear" w:color="auto" w:fill="FFFFFF"/>
              <w:spacing w:line="288"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是否满足磋商文件要求</w:t>
            </w:r>
          </w:p>
        </w:tc>
        <w:tc>
          <w:tcPr>
            <w:tcW w:w="1127" w:type="dxa"/>
            <w:tcBorders>
              <w:top w:val="single" w:color="auto" w:sz="4" w:space="0"/>
              <w:left w:val="single" w:color="auto" w:sz="4" w:space="0"/>
              <w:bottom w:val="single" w:color="auto" w:sz="4" w:space="0"/>
              <w:right w:val="single" w:color="auto" w:sz="4" w:space="0"/>
            </w:tcBorders>
          </w:tcPr>
          <w:p w14:paraId="73D8AB8E">
            <w:pPr>
              <w:shd w:val="clear" w:color="auto" w:fill="FFFFFF"/>
              <w:spacing w:line="288" w:lineRule="auto"/>
              <w:jc w:val="center"/>
              <w:rPr>
                <w:rFonts w:hint="eastAsia" w:ascii="宋体" w:hAnsi="宋体" w:eastAsia="宋体" w:cs="宋体"/>
                <w:b/>
                <w:color w:val="auto"/>
                <w:sz w:val="21"/>
                <w:szCs w:val="21"/>
                <w:highlight w:val="none"/>
              </w:rPr>
            </w:pPr>
          </w:p>
        </w:tc>
        <w:tc>
          <w:tcPr>
            <w:tcW w:w="1104" w:type="dxa"/>
            <w:tcBorders>
              <w:top w:val="single" w:color="auto" w:sz="4" w:space="0"/>
              <w:left w:val="single" w:color="auto" w:sz="4" w:space="0"/>
              <w:bottom w:val="single" w:color="auto" w:sz="4" w:space="0"/>
              <w:right w:val="single" w:color="auto" w:sz="4" w:space="0"/>
            </w:tcBorders>
          </w:tcPr>
          <w:p w14:paraId="79C0E233">
            <w:pPr>
              <w:shd w:val="clear" w:color="auto" w:fill="FFFFFF"/>
              <w:spacing w:line="288" w:lineRule="auto"/>
              <w:jc w:val="center"/>
              <w:rPr>
                <w:rFonts w:hint="eastAsia" w:ascii="宋体" w:hAnsi="宋体" w:eastAsia="宋体" w:cs="宋体"/>
                <w:b/>
                <w:color w:val="auto"/>
                <w:sz w:val="21"/>
                <w:szCs w:val="21"/>
                <w:highlight w:val="none"/>
              </w:rPr>
            </w:pPr>
          </w:p>
        </w:tc>
        <w:tc>
          <w:tcPr>
            <w:tcW w:w="1114" w:type="dxa"/>
            <w:tcBorders>
              <w:top w:val="single" w:color="auto" w:sz="4" w:space="0"/>
              <w:left w:val="single" w:color="auto" w:sz="4" w:space="0"/>
              <w:bottom w:val="single" w:color="auto" w:sz="4" w:space="0"/>
              <w:right w:val="single" w:color="auto" w:sz="4" w:space="0"/>
            </w:tcBorders>
          </w:tcPr>
          <w:p w14:paraId="3BAFA988">
            <w:pPr>
              <w:shd w:val="clear" w:color="auto" w:fill="FFFFFF"/>
              <w:spacing w:line="288" w:lineRule="auto"/>
              <w:jc w:val="center"/>
              <w:rPr>
                <w:rFonts w:hint="eastAsia" w:ascii="宋体" w:hAnsi="宋体" w:eastAsia="宋体" w:cs="宋体"/>
                <w:b/>
                <w:color w:val="auto"/>
                <w:sz w:val="21"/>
                <w:szCs w:val="21"/>
                <w:highlight w:val="none"/>
              </w:rPr>
            </w:pPr>
          </w:p>
        </w:tc>
      </w:tr>
      <w:tr w14:paraId="6869A4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92" w:type="dxa"/>
            <w:vMerge w:val="continue"/>
            <w:tcBorders>
              <w:top w:val="single" w:color="auto" w:sz="4" w:space="0"/>
              <w:left w:val="single" w:color="auto" w:sz="4" w:space="0"/>
              <w:bottom w:val="single" w:color="auto" w:sz="4" w:space="0"/>
              <w:right w:val="single" w:color="auto" w:sz="4" w:space="0"/>
            </w:tcBorders>
          </w:tcPr>
          <w:p w14:paraId="6D746B96">
            <w:pPr>
              <w:shd w:val="clear" w:color="auto" w:fill="FFFFFF"/>
              <w:snapToGrid w:val="0"/>
              <w:spacing w:line="288" w:lineRule="auto"/>
              <w:jc w:val="center"/>
              <w:rPr>
                <w:rFonts w:hint="eastAsia" w:ascii="宋体" w:hAnsi="宋体" w:eastAsia="宋体" w:cs="宋体"/>
                <w:color w:val="auto"/>
                <w:sz w:val="21"/>
                <w:szCs w:val="21"/>
                <w:highlight w:val="none"/>
              </w:rPr>
            </w:pPr>
          </w:p>
        </w:tc>
        <w:tc>
          <w:tcPr>
            <w:tcW w:w="1936" w:type="dxa"/>
            <w:tcBorders>
              <w:top w:val="single" w:color="auto" w:sz="4" w:space="0"/>
              <w:left w:val="single" w:color="auto" w:sz="4" w:space="0"/>
              <w:bottom w:val="single" w:color="auto" w:sz="4" w:space="0"/>
              <w:right w:val="single" w:color="auto" w:sz="4" w:space="0"/>
            </w:tcBorders>
            <w:vAlign w:val="center"/>
          </w:tcPr>
          <w:p w14:paraId="1F4B4E31">
            <w:pPr>
              <w:shd w:val="clear" w:color="auto" w:fill="FFFFFF"/>
              <w:spacing w:line="288"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其它</w:t>
            </w:r>
          </w:p>
        </w:tc>
        <w:tc>
          <w:tcPr>
            <w:tcW w:w="3450" w:type="dxa"/>
            <w:tcBorders>
              <w:top w:val="single" w:color="auto" w:sz="4" w:space="0"/>
              <w:left w:val="single" w:color="auto" w:sz="4" w:space="0"/>
              <w:bottom w:val="single" w:color="auto" w:sz="4" w:space="0"/>
              <w:right w:val="single" w:color="auto" w:sz="4" w:space="0"/>
            </w:tcBorders>
          </w:tcPr>
          <w:p w14:paraId="7511B020">
            <w:pPr>
              <w:shd w:val="clear" w:color="auto" w:fill="FFFFFF"/>
              <w:spacing w:line="288"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无其它无效投标认定条件</w:t>
            </w:r>
          </w:p>
        </w:tc>
        <w:tc>
          <w:tcPr>
            <w:tcW w:w="1127" w:type="dxa"/>
            <w:tcBorders>
              <w:top w:val="single" w:color="auto" w:sz="4" w:space="0"/>
              <w:left w:val="single" w:color="auto" w:sz="4" w:space="0"/>
              <w:bottom w:val="single" w:color="auto" w:sz="4" w:space="0"/>
              <w:right w:val="single" w:color="auto" w:sz="4" w:space="0"/>
            </w:tcBorders>
          </w:tcPr>
          <w:p w14:paraId="3844263B">
            <w:pPr>
              <w:shd w:val="clear" w:color="auto" w:fill="FFFFFF"/>
              <w:spacing w:line="288" w:lineRule="auto"/>
              <w:jc w:val="center"/>
              <w:rPr>
                <w:rFonts w:hint="eastAsia" w:ascii="宋体" w:hAnsi="宋体" w:eastAsia="宋体" w:cs="宋体"/>
                <w:b/>
                <w:color w:val="auto"/>
                <w:sz w:val="21"/>
                <w:szCs w:val="21"/>
                <w:highlight w:val="none"/>
              </w:rPr>
            </w:pPr>
          </w:p>
        </w:tc>
        <w:tc>
          <w:tcPr>
            <w:tcW w:w="1104" w:type="dxa"/>
            <w:tcBorders>
              <w:top w:val="single" w:color="auto" w:sz="4" w:space="0"/>
              <w:left w:val="single" w:color="auto" w:sz="4" w:space="0"/>
              <w:bottom w:val="single" w:color="auto" w:sz="4" w:space="0"/>
              <w:right w:val="single" w:color="auto" w:sz="4" w:space="0"/>
            </w:tcBorders>
          </w:tcPr>
          <w:p w14:paraId="7D36A4DB">
            <w:pPr>
              <w:shd w:val="clear" w:color="auto" w:fill="FFFFFF"/>
              <w:spacing w:line="288" w:lineRule="auto"/>
              <w:jc w:val="center"/>
              <w:rPr>
                <w:rFonts w:hint="eastAsia" w:ascii="宋体" w:hAnsi="宋体" w:eastAsia="宋体" w:cs="宋体"/>
                <w:b/>
                <w:color w:val="auto"/>
                <w:sz w:val="21"/>
                <w:szCs w:val="21"/>
                <w:highlight w:val="none"/>
              </w:rPr>
            </w:pPr>
          </w:p>
        </w:tc>
        <w:tc>
          <w:tcPr>
            <w:tcW w:w="1114" w:type="dxa"/>
            <w:tcBorders>
              <w:top w:val="single" w:color="auto" w:sz="4" w:space="0"/>
              <w:left w:val="single" w:color="auto" w:sz="4" w:space="0"/>
              <w:bottom w:val="single" w:color="auto" w:sz="4" w:space="0"/>
              <w:right w:val="single" w:color="auto" w:sz="4" w:space="0"/>
            </w:tcBorders>
          </w:tcPr>
          <w:p w14:paraId="4066DE74">
            <w:pPr>
              <w:shd w:val="clear" w:color="auto" w:fill="FFFFFF"/>
              <w:spacing w:line="288" w:lineRule="auto"/>
              <w:jc w:val="center"/>
              <w:rPr>
                <w:rFonts w:hint="eastAsia" w:ascii="宋体" w:hAnsi="宋体" w:eastAsia="宋体" w:cs="宋体"/>
                <w:b/>
                <w:color w:val="auto"/>
                <w:sz w:val="21"/>
                <w:szCs w:val="21"/>
                <w:highlight w:val="none"/>
              </w:rPr>
            </w:pPr>
          </w:p>
        </w:tc>
      </w:tr>
      <w:tr w14:paraId="16D4FD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jc w:val="center"/>
        </w:trPr>
        <w:tc>
          <w:tcPr>
            <w:tcW w:w="6178" w:type="dxa"/>
            <w:gridSpan w:val="3"/>
            <w:tcBorders>
              <w:top w:val="single" w:color="auto" w:sz="4" w:space="0"/>
              <w:left w:val="single" w:color="auto" w:sz="4" w:space="0"/>
              <w:bottom w:val="single" w:color="auto" w:sz="4" w:space="0"/>
              <w:right w:val="single" w:color="auto" w:sz="4" w:space="0"/>
            </w:tcBorders>
          </w:tcPr>
          <w:p w14:paraId="447A840D">
            <w:pPr>
              <w:shd w:val="clear" w:color="auto" w:fill="FFFFFF"/>
              <w:spacing w:line="288" w:lineRule="auto"/>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结         论</w:t>
            </w:r>
          </w:p>
        </w:tc>
        <w:tc>
          <w:tcPr>
            <w:tcW w:w="1127" w:type="dxa"/>
            <w:tcBorders>
              <w:top w:val="single" w:color="auto" w:sz="4" w:space="0"/>
              <w:left w:val="single" w:color="auto" w:sz="4" w:space="0"/>
              <w:bottom w:val="single" w:color="auto" w:sz="4" w:space="0"/>
              <w:right w:val="single" w:color="auto" w:sz="4" w:space="0"/>
            </w:tcBorders>
          </w:tcPr>
          <w:p w14:paraId="006797E8">
            <w:pPr>
              <w:shd w:val="clear" w:color="auto" w:fill="FFFFFF"/>
              <w:spacing w:line="288" w:lineRule="auto"/>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w:t>
            </w:r>
          </w:p>
        </w:tc>
        <w:tc>
          <w:tcPr>
            <w:tcW w:w="1104" w:type="dxa"/>
            <w:tcBorders>
              <w:top w:val="single" w:color="auto" w:sz="4" w:space="0"/>
              <w:left w:val="single" w:color="auto" w:sz="4" w:space="0"/>
              <w:bottom w:val="single" w:color="auto" w:sz="4" w:space="0"/>
              <w:right w:val="single" w:color="auto" w:sz="4" w:space="0"/>
            </w:tcBorders>
          </w:tcPr>
          <w:p w14:paraId="676AF984">
            <w:pPr>
              <w:shd w:val="clear" w:color="auto" w:fill="FFFFFF"/>
              <w:spacing w:line="288" w:lineRule="auto"/>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w:t>
            </w:r>
          </w:p>
        </w:tc>
        <w:tc>
          <w:tcPr>
            <w:tcW w:w="1114" w:type="dxa"/>
            <w:tcBorders>
              <w:top w:val="single" w:color="auto" w:sz="4" w:space="0"/>
              <w:left w:val="single" w:color="auto" w:sz="4" w:space="0"/>
              <w:bottom w:val="single" w:color="auto" w:sz="4" w:space="0"/>
              <w:right w:val="single" w:color="auto" w:sz="4" w:space="0"/>
            </w:tcBorders>
          </w:tcPr>
          <w:p w14:paraId="33D3D384">
            <w:pPr>
              <w:shd w:val="clear" w:color="auto" w:fill="FFFFFF"/>
              <w:spacing w:line="288" w:lineRule="auto"/>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w:t>
            </w:r>
          </w:p>
        </w:tc>
      </w:tr>
    </w:tbl>
    <w:p w14:paraId="45853550">
      <w:pPr>
        <w:spacing w:line="360" w:lineRule="auto"/>
        <w:rPr>
          <w:rFonts w:ascii="宋体" w:hAnsi="宋体" w:cs="宋体"/>
          <w:b/>
          <w:bCs/>
          <w:color w:val="auto"/>
          <w:sz w:val="21"/>
          <w:szCs w:val="21"/>
          <w:highlight w:val="none"/>
        </w:rPr>
      </w:pPr>
      <w:r>
        <w:rPr>
          <w:rFonts w:hint="eastAsia" w:ascii="宋体" w:hAnsi="宋体" w:cs="宋体"/>
          <w:b/>
          <w:bCs/>
          <w:color w:val="auto"/>
          <w:sz w:val="21"/>
          <w:szCs w:val="21"/>
          <w:highlight w:val="none"/>
        </w:rPr>
        <w:t>注：</w:t>
      </w:r>
    </w:p>
    <w:p w14:paraId="00DAA4DB">
      <w:pPr>
        <w:keepNext w:val="0"/>
        <w:keepLines w:val="0"/>
        <w:pageBreakBefore w:val="0"/>
        <w:widowControl w:val="0"/>
        <w:kinsoku/>
        <w:wordWrap/>
        <w:overflowPunct/>
        <w:topLinePunct w:val="0"/>
        <w:autoSpaceDE/>
        <w:autoSpaceDN/>
        <w:bidi w:val="0"/>
        <w:adjustRightInd/>
        <w:snapToGrid/>
        <w:ind w:firstLine="420" w:firstLineChars="200"/>
        <w:textAlignment w:val="auto"/>
        <w:rPr>
          <w:rFonts w:ascii="宋体" w:hAnsi="宋体" w:cs="宋体"/>
          <w:color w:val="auto"/>
          <w:sz w:val="21"/>
          <w:szCs w:val="21"/>
          <w:highlight w:val="none"/>
        </w:rPr>
      </w:pPr>
      <w:r>
        <w:rPr>
          <w:rFonts w:hint="eastAsia" w:ascii="宋体" w:hAnsi="宋体" w:cs="宋体"/>
          <w:color w:val="auto"/>
          <w:sz w:val="21"/>
          <w:szCs w:val="21"/>
          <w:highlight w:val="none"/>
        </w:rPr>
        <w:t>1、表中只需填写“√”通过或“×”不通过；</w:t>
      </w:r>
    </w:p>
    <w:p w14:paraId="7B0EBBF6">
      <w:pPr>
        <w:keepNext w:val="0"/>
        <w:keepLines w:val="0"/>
        <w:pageBreakBefore w:val="0"/>
        <w:widowControl w:val="0"/>
        <w:kinsoku/>
        <w:wordWrap/>
        <w:overflowPunct/>
        <w:topLinePunct w:val="0"/>
        <w:autoSpaceDE/>
        <w:autoSpaceDN/>
        <w:bidi w:val="0"/>
        <w:adjustRightInd/>
        <w:snapToGrid/>
        <w:ind w:firstLine="420" w:firstLineChars="200"/>
        <w:textAlignment w:val="auto"/>
        <w:rPr>
          <w:rFonts w:ascii="宋体" w:hAnsi="宋体" w:cs="宋体"/>
          <w:color w:val="auto"/>
          <w:sz w:val="21"/>
          <w:szCs w:val="21"/>
          <w:highlight w:val="none"/>
        </w:rPr>
      </w:pPr>
      <w:r>
        <w:rPr>
          <w:rFonts w:hint="eastAsia" w:ascii="宋体" w:hAnsi="宋体" w:cs="宋体"/>
          <w:color w:val="auto"/>
          <w:sz w:val="21"/>
          <w:szCs w:val="21"/>
          <w:highlight w:val="none"/>
        </w:rPr>
        <w:t>2、在结论中按“一项否决”的原则，只有全部是“√”通过的，填写“合格”；只要其中有一项是“×”不通过的，填写“不合格”；</w:t>
      </w:r>
    </w:p>
    <w:p w14:paraId="22035494">
      <w:pPr>
        <w:keepNext w:val="0"/>
        <w:keepLines w:val="0"/>
        <w:pageBreakBefore w:val="0"/>
        <w:widowControl w:val="0"/>
        <w:kinsoku/>
        <w:wordWrap/>
        <w:overflowPunct/>
        <w:topLinePunct w:val="0"/>
        <w:autoSpaceDE/>
        <w:autoSpaceDN/>
        <w:bidi w:val="0"/>
        <w:adjustRightInd/>
        <w:snapToGrid/>
        <w:ind w:firstLine="420" w:firstLineChars="200"/>
        <w:textAlignment w:val="auto"/>
        <w:rPr>
          <w:rFonts w:ascii="宋体" w:hAnsi="宋体" w:cs="宋体"/>
          <w:b/>
          <w:color w:val="auto"/>
          <w:sz w:val="21"/>
          <w:szCs w:val="21"/>
          <w:highlight w:val="none"/>
        </w:rPr>
      </w:pPr>
      <w:r>
        <w:rPr>
          <w:rFonts w:hint="eastAsia" w:ascii="宋体" w:hAnsi="宋体" w:cs="宋体"/>
          <w:color w:val="auto"/>
          <w:sz w:val="21"/>
          <w:szCs w:val="21"/>
          <w:highlight w:val="none"/>
        </w:rPr>
        <w:t>3、结论是合格的，才能进入下一轮，不合格的被淘汰。</w:t>
      </w:r>
    </w:p>
    <w:p w14:paraId="234D5B61">
      <w:pPr>
        <w:spacing w:before="159" w:after="159" w:line="288" w:lineRule="auto"/>
        <w:jc w:val="left"/>
        <w:rPr>
          <w:rFonts w:ascii="宋体" w:hAnsi="宋体" w:cs="宋体"/>
          <w:b/>
          <w:color w:val="auto"/>
          <w:sz w:val="24"/>
          <w:highlight w:val="none"/>
        </w:rPr>
      </w:pPr>
      <w:r>
        <w:rPr>
          <w:rFonts w:hint="eastAsia" w:ascii="宋体" w:hAnsi="宋体" w:cs="宋体"/>
          <w:b/>
          <w:color w:val="auto"/>
          <w:sz w:val="24"/>
          <w:highlight w:val="none"/>
        </w:rPr>
        <w:br w:type="page"/>
      </w:r>
      <w:r>
        <w:rPr>
          <w:rFonts w:hint="eastAsia" w:ascii="宋体" w:hAnsi="宋体" w:cs="宋体"/>
          <w:b/>
          <w:color w:val="auto"/>
          <w:sz w:val="24"/>
          <w:highlight w:val="none"/>
        </w:rPr>
        <w:t>(附表2)</w:t>
      </w:r>
    </w:p>
    <w:p w14:paraId="43C92970">
      <w:pPr>
        <w:spacing w:before="159" w:after="159" w:line="440" w:lineRule="exact"/>
        <w:jc w:val="center"/>
        <w:rPr>
          <w:rFonts w:hint="eastAsia" w:ascii="宋体" w:hAnsi="宋体" w:cs="宋体"/>
          <w:b/>
          <w:bCs/>
          <w:color w:val="auto"/>
          <w:sz w:val="36"/>
          <w:szCs w:val="36"/>
          <w:highlight w:val="none"/>
        </w:rPr>
      </w:pPr>
      <w:r>
        <w:rPr>
          <w:rFonts w:hint="eastAsia" w:ascii="宋体" w:hAnsi="宋体" w:cs="宋体"/>
          <w:b/>
          <w:bCs/>
          <w:color w:val="auto"/>
          <w:sz w:val="36"/>
          <w:szCs w:val="36"/>
          <w:highlight w:val="none"/>
        </w:rPr>
        <w:t>详细评审标准</w:t>
      </w:r>
    </w:p>
    <w:p w14:paraId="1BEE27AC">
      <w:pPr>
        <w:spacing w:before="159" w:after="159" w:line="440" w:lineRule="exact"/>
        <w:jc w:val="center"/>
        <w:rPr>
          <w:rFonts w:hint="default" w:ascii="宋体" w:hAnsi="宋体" w:eastAsia="宋体" w:cs="宋体"/>
          <w:b/>
          <w:bCs/>
          <w:color w:val="auto"/>
          <w:sz w:val="36"/>
          <w:szCs w:val="36"/>
          <w:highlight w:val="none"/>
          <w:lang w:val="en-US" w:eastAsia="zh-CN"/>
        </w:rPr>
      </w:pPr>
      <w:r>
        <w:rPr>
          <w:rFonts w:hint="eastAsia" w:ascii="宋体" w:hAnsi="宋体" w:cs="宋体"/>
          <w:b/>
          <w:bCs/>
          <w:color w:val="auto"/>
          <w:sz w:val="36"/>
          <w:szCs w:val="36"/>
          <w:highlight w:val="none"/>
        </w:rPr>
        <w:t>详细评审标准</w:t>
      </w:r>
      <w:r>
        <w:rPr>
          <w:rFonts w:hint="eastAsia" w:ascii="宋体" w:hAnsi="宋体" w:cs="宋体"/>
          <w:b/>
          <w:bCs/>
          <w:color w:val="auto"/>
          <w:sz w:val="36"/>
          <w:szCs w:val="36"/>
          <w:highlight w:val="none"/>
          <w:lang w:val="en-US" w:eastAsia="zh-CN"/>
        </w:rPr>
        <w:t>-A包</w:t>
      </w:r>
    </w:p>
    <w:p w14:paraId="19BC2680">
      <w:pPr>
        <w:pStyle w:val="11"/>
        <w:rPr>
          <w:rFonts w:hint="eastAsia"/>
          <w:color w:val="auto"/>
        </w:rPr>
      </w:pPr>
    </w:p>
    <w:tbl>
      <w:tblPr>
        <w:tblStyle w:val="23"/>
        <w:tblW w:w="570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5"/>
        <w:gridCol w:w="953"/>
        <w:gridCol w:w="7825"/>
        <w:gridCol w:w="800"/>
      </w:tblGrid>
      <w:tr w14:paraId="23857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6" w:type="pct"/>
            <w:noWrap w:val="0"/>
            <w:vAlign w:val="center"/>
          </w:tcPr>
          <w:p w14:paraId="643DF3A3">
            <w:pPr>
              <w:spacing w:line="36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
                <w:bCs/>
                <w:color w:val="auto"/>
                <w:sz w:val="21"/>
                <w:szCs w:val="21"/>
                <w:highlight w:val="none"/>
                <w:lang w:bidi="ar-SA"/>
              </w:rPr>
              <w:t>序号</w:t>
            </w:r>
          </w:p>
        </w:tc>
        <w:tc>
          <w:tcPr>
            <w:tcW w:w="467" w:type="pct"/>
            <w:noWrap w:val="0"/>
            <w:vAlign w:val="center"/>
          </w:tcPr>
          <w:p w14:paraId="43786834">
            <w:pPr>
              <w:spacing w:line="360" w:lineRule="auto"/>
              <w:jc w:val="center"/>
              <w:rPr>
                <w:rFonts w:hint="eastAsia" w:ascii="宋体" w:hAnsi="宋体" w:eastAsia="宋体" w:cs="宋体"/>
                <w:b/>
                <w:bCs/>
                <w:color w:val="auto"/>
                <w:sz w:val="21"/>
                <w:szCs w:val="21"/>
                <w:highlight w:val="none"/>
                <w:lang w:bidi="ar-SA"/>
              </w:rPr>
            </w:pPr>
            <w:r>
              <w:rPr>
                <w:rFonts w:hint="eastAsia" w:ascii="宋体" w:hAnsi="宋体" w:eastAsia="宋体" w:cs="宋体"/>
                <w:b/>
                <w:bCs/>
                <w:color w:val="auto"/>
                <w:sz w:val="21"/>
                <w:szCs w:val="21"/>
                <w:highlight w:val="none"/>
                <w:lang w:bidi="ar-SA"/>
              </w:rPr>
              <w:t>评分</w:t>
            </w:r>
          </w:p>
          <w:p w14:paraId="4A3B2105">
            <w:pPr>
              <w:spacing w:line="36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
                <w:bCs/>
                <w:color w:val="auto"/>
                <w:sz w:val="21"/>
                <w:szCs w:val="21"/>
                <w:highlight w:val="none"/>
                <w:lang w:bidi="ar-SA"/>
              </w:rPr>
              <w:t>项目</w:t>
            </w:r>
          </w:p>
        </w:tc>
        <w:tc>
          <w:tcPr>
            <w:tcW w:w="3834" w:type="pct"/>
            <w:noWrap w:val="0"/>
            <w:vAlign w:val="center"/>
          </w:tcPr>
          <w:p w14:paraId="65F0A1A7">
            <w:pPr>
              <w:spacing w:line="36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
                <w:bCs/>
                <w:color w:val="auto"/>
                <w:sz w:val="21"/>
                <w:szCs w:val="21"/>
                <w:highlight w:val="none"/>
                <w:lang w:bidi="ar-SA"/>
              </w:rPr>
              <w:t>评分内容</w:t>
            </w:r>
          </w:p>
        </w:tc>
        <w:tc>
          <w:tcPr>
            <w:tcW w:w="392" w:type="pct"/>
            <w:noWrap w:val="0"/>
            <w:vAlign w:val="center"/>
          </w:tcPr>
          <w:p w14:paraId="1E4863DD">
            <w:pPr>
              <w:spacing w:line="36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
                <w:bCs/>
                <w:color w:val="auto"/>
                <w:sz w:val="21"/>
                <w:szCs w:val="21"/>
                <w:highlight w:val="none"/>
                <w:lang w:bidi="ar-SA"/>
              </w:rPr>
              <w:t>分值</w:t>
            </w:r>
          </w:p>
        </w:tc>
      </w:tr>
      <w:tr w14:paraId="15640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6" w:type="pct"/>
            <w:noWrap w:val="0"/>
            <w:vAlign w:val="center"/>
          </w:tcPr>
          <w:p w14:paraId="6738D0C9">
            <w:pPr>
              <w:spacing w:line="360" w:lineRule="auto"/>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lang w:val="en-US" w:eastAsia="zh-CN"/>
              </w:rPr>
              <w:t>1</w:t>
            </w:r>
          </w:p>
        </w:tc>
        <w:tc>
          <w:tcPr>
            <w:tcW w:w="467" w:type="pct"/>
            <w:noWrap w:val="0"/>
            <w:vAlign w:val="center"/>
          </w:tcPr>
          <w:p w14:paraId="5DE46C00">
            <w:pPr>
              <w:jc w:val="center"/>
              <w:rPr>
                <w:rFonts w:hint="eastAsia" w:ascii="宋体" w:hAnsi="宋体" w:eastAsia="宋体" w:cs="宋体"/>
                <w:b/>
                <w:bCs w:val="0"/>
                <w:color w:val="auto"/>
                <w:sz w:val="21"/>
                <w:szCs w:val="21"/>
                <w:highlight w:val="none"/>
              </w:rPr>
            </w:pPr>
            <w:r>
              <w:rPr>
                <w:rFonts w:hint="eastAsia" w:ascii="宋体" w:hAnsi="宋体" w:eastAsia="宋体" w:cs="宋体"/>
                <w:color w:val="auto"/>
                <w:sz w:val="21"/>
                <w:szCs w:val="21"/>
                <w:lang w:val="en-US" w:eastAsia="zh-CN"/>
              </w:rPr>
              <w:t>带▲的关键性技术参数及要求</w:t>
            </w:r>
          </w:p>
        </w:tc>
        <w:tc>
          <w:tcPr>
            <w:tcW w:w="3834" w:type="pct"/>
            <w:noWrap w:val="0"/>
            <w:vAlign w:val="center"/>
          </w:tcPr>
          <w:p w14:paraId="3C5959DC">
            <w:pPr>
              <w:pStyle w:val="10"/>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根据采购文件“第三章《采购需求》 二、采购清单及技术参数”的全部产品（A包共104项），</w:t>
            </w:r>
            <w:r>
              <w:rPr>
                <w:rFonts w:hint="eastAsia" w:ascii="宋体" w:hAnsi="宋体" w:eastAsia="宋体" w:cs="宋体"/>
                <w:color w:val="auto"/>
                <w:sz w:val="21"/>
                <w:szCs w:val="21"/>
              </w:rPr>
              <w:t>其中</w:t>
            </w:r>
            <w:r>
              <w:rPr>
                <w:rFonts w:hint="eastAsia" w:ascii="宋体" w:hAnsi="宋体" w:eastAsia="宋体" w:cs="宋体"/>
                <w:color w:val="auto"/>
                <w:sz w:val="21"/>
                <w:szCs w:val="21"/>
                <w:lang w:val="en-US" w:eastAsia="zh-CN"/>
              </w:rPr>
              <w:t>带▲的关键性技术参数及要求</w:t>
            </w:r>
            <w:r>
              <w:rPr>
                <w:rFonts w:hint="eastAsia" w:ascii="宋体" w:hAnsi="宋体" w:eastAsia="宋体" w:cs="宋体"/>
                <w:color w:val="auto"/>
                <w:sz w:val="21"/>
                <w:szCs w:val="21"/>
              </w:rPr>
              <w:t>共</w:t>
            </w: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条，每</w:t>
            </w:r>
            <w:r>
              <w:rPr>
                <w:rFonts w:hint="eastAsia" w:ascii="宋体" w:hAnsi="宋体" w:eastAsia="宋体" w:cs="宋体"/>
                <w:color w:val="auto"/>
                <w:sz w:val="21"/>
                <w:szCs w:val="21"/>
                <w:lang w:val="en-US" w:eastAsia="zh-CN"/>
              </w:rPr>
              <w:t>满足一条得1</w:t>
            </w:r>
            <w:r>
              <w:rPr>
                <w:rFonts w:hint="eastAsia" w:ascii="宋体" w:hAnsi="宋体" w:eastAsia="宋体" w:cs="宋体"/>
                <w:color w:val="auto"/>
                <w:sz w:val="21"/>
                <w:szCs w:val="21"/>
              </w:rPr>
              <w:t>分</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合计最高得3分</w:t>
            </w:r>
            <w:r>
              <w:rPr>
                <w:rFonts w:hint="eastAsia" w:ascii="宋体" w:hAnsi="宋体" w:eastAsia="宋体" w:cs="宋体"/>
                <w:color w:val="auto"/>
                <w:sz w:val="21"/>
                <w:szCs w:val="21"/>
                <w:lang w:eastAsia="zh-CN"/>
              </w:rPr>
              <w:t>。</w:t>
            </w:r>
          </w:p>
          <w:p w14:paraId="09800117">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lang w:val="en-US" w:eastAsia="zh-CN"/>
              </w:rPr>
              <w:t>注明：采购需求中有明确要求提供证明材料，需按照要求提供，不提供不得分；若采购需求中未明确要求提供证明材料，由评审委员会根据投标人的响应情况进行评定。</w:t>
            </w:r>
          </w:p>
        </w:tc>
        <w:tc>
          <w:tcPr>
            <w:tcW w:w="392" w:type="pct"/>
            <w:noWrap w:val="0"/>
            <w:vAlign w:val="center"/>
          </w:tcPr>
          <w:p w14:paraId="7322FBF1">
            <w:pPr>
              <w:spacing w:line="360" w:lineRule="auto"/>
              <w:jc w:val="center"/>
              <w:rPr>
                <w:rFonts w:hint="eastAsia" w:ascii="宋体" w:hAnsi="宋体" w:eastAsia="宋体" w:cs="宋体"/>
                <w:bCs/>
                <w:color w:val="auto"/>
                <w:kern w:val="0"/>
                <w:sz w:val="21"/>
                <w:szCs w:val="21"/>
                <w:highlight w:val="none"/>
                <w:lang w:val="en-US" w:eastAsia="zh-CN"/>
              </w:rPr>
            </w:pPr>
            <w:r>
              <w:rPr>
                <w:rFonts w:hint="eastAsia" w:ascii="宋体" w:hAnsi="宋体" w:cs="宋体"/>
                <w:bCs/>
                <w:color w:val="auto"/>
                <w:kern w:val="0"/>
                <w:sz w:val="21"/>
                <w:szCs w:val="21"/>
                <w:highlight w:val="none"/>
                <w:lang w:val="en-US" w:eastAsia="zh-CN"/>
              </w:rPr>
              <w:t>3</w:t>
            </w:r>
            <w:r>
              <w:rPr>
                <w:rFonts w:hint="eastAsia" w:ascii="宋体" w:hAnsi="宋体" w:eastAsia="宋体" w:cs="宋体"/>
                <w:bCs/>
                <w:color w:val="auto"/>
                <w:kern w:val="0"/>
                <w:sz w:val="21"/>
                <w:szCs w:val="21"/>
                <w:highlight w:val="none"/>
                <w:lang w:val="en-US" w:eastAsia="zh-CN"/>
              </w:rPr>
              <w:t>分</w:t>
            </w:r>
          </w:p>
        </w:tc>
      </w:tr>
      <w:tr w14:paraId="69A83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6" w:type="pct"/>
            <w:noWrap w:val="0"/>
            <w:vAlign w:val="center"/>
          </w:tcPr>
          <w:p w14:paraId="4D313641">
            <w:pPr>
              <w:spacing w:line="360" w:lineRule="auto"/>
              <w:jc w:val="center"/>
              <w:rPr>
                <w:rFonts w:hint="default" w:ascii="宋体" w:hAnsi="宋体" w:eastAsia="宋体" w:cs="宋体"/>
                <w:b/>
                <w:bCs w:val="0"/>
                <w:color w:val="auto"/>
                <w:kern w:val="0"/>
                <w:sz w:val="21"/>
                <w:szCs w:val="21"/>
                <w:highlight w:val="none"/>
                <w:lang w:val="en-US" w:eastAsia="zh-CN"/>
              </w:rPr>
            </w:pPr>
            <w:r>
              <w:rPr>
                <w:rFonts w:hint="eastAsia" w:ascii="宋体" w:hAnsi="宋体" w:cs="宋体"/>
                <w:b/>
                <w:bCs w:val="0"/>
                <w:color w:val="auto"/>
                <w:kern w:val="0"/>
                <w:sz w:val="21"/>
                <w:szCs w:val="21"/>
                <w:highlight w:val="none"/>
                <w:lang w:val="en-US" w:eastAsia="zh-CN"/>
              </w:rPr>
              <w:t>2</w:t>
            </w:r>
          </w:p>
        </w:tc>
        <w:tc>
          <w:tcPr>
            <w:tcW w:w="467" w:type="pct"/>
            <w:noWrap w:val="0"/>
            <w:vAlign w:val="center"/>
          </w:tcPr>
          <w:p w14:paraId="169E368D">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不带</w:t>
            </w:r>
            <w:r>
              <w:rPr>
                <w:rFonts w:hint="eastAsia" w:ascii="宋体" w:hAnsi="宋体" w:eastAsia="宋体" w:cs="宋体"/>
                <w:color w:val="auto"/>
                <w:sz w:val="21"/>
                <w:szCs w:val="21"/>
              </w:rPr>
              <w:t>★</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w:t>
            </w:r>
            <w:r>
              <w:rPr>
                <w:rFonts w:hint="eastAsia" w:ascii="宋体" w:hAnsi="宋体" w:eastAsia="宋体" w:cs="宋体"/>
                <w:color w:val="auto"/>
                <w:sz w:val="21"/>
                <w:szCs w:val="21"/>
                <w:lang w:eastAsia="zh-CN"/>
              </w:rPr>
              <w:t>的</w:t>
            </w:r>
            <w:r>
              <w:rPr>
                <w:rFonts w:hint="eastAsia" w:ascii="宋体" w:hAnsi="宋体" w:eastAsia="宋体" w:cs="宋体"/>
                <w:color w:val="auto"/>
                <w:sz w:val="21"/>
                <w:szCs w:val="21"/>
                <w:lang w:val="en-US" w:eastAsia="zh-CN"/>
              </w:rPr>
              <w:t>一般性技术参数及要求</w:t>
            </w:r>
          </w:p>
        </w:tc>
        <w:tc>
          <w:tcPr>
            <w:tcW w:w="3834" w:type="pct"/>
            <w:noWrap w:val="0"/>
            <w:vAlign w:val="center"/>
          </w:tcPr>
          <w:p w14:paraId="37708FF9">
            <w:pPr>
              <w:pStyle w:val="10"/>
              <w:pageBreakBefore w:val="0"/>
              <w:kinsoku/>
              <w:overflowPunct/>
              <w:topLinePunct w:val="0"/>
              <w:autoSpaceDE/>
              <w:autoSpaceDN/>
              <w:bidi w:val="0"/>
              <w:spacing w:line="360" w:lineRule="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根据采购文件“第三章《采购需求》 二、采购清单及技术参数”的全部产品（A包共104项），共有104项投标产品性能指标及技术参数完全满足不带</w:t>
            </w:r>
            <w:r>
              <w:rPr>
                <w:rFonts w:hint="eastAsia" w:ascii="宋体" w:hAnsi="宋体" w:eastAsia="宋体" w:cs="宋体"/>
                <w:color w:val="auto"/>
                <w:sz w:val="21"/>
                <w:szCs w:val="21"/>
              </w:rPr>
              <w:t>★</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▲的一般性技术参数及要求的得22分；</w:t>
            </w:r>
          </w:p>
          <w:p w14:paraId="046E7D99">
            <w:pPr>
              <w:pStyle w:val="10"/>
              <w:pageBreakBefore w:val="0"/>
              <w:kinsoku/>
              <w:overflowPunct/>
              <w:topLinePunct w:val="0"/>
              <w:autoSpaceDE/>
              <w:autoSpaceDN/>
              <w:bidi w:val="0"/>
              <w:spacing w:line="360" w:lineRule="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共有103-98项投标产品性能指标及技术参数完全满足不带</w:t>
            </w:r>
            <w:r>
              <w:rPr>
                <w:rFonts w:hint="eastAsia" w:ascii="宋体" w:hAnsi="宋体" w:eastAsia="宋体" w:cs="宋体"/>
                <w:color w:val="auto"/>
                <w:sz w:val="21"/>
                <w:szCs w:val="21"/>
              </w:rPr>
              <w:t>★</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▲的一般性技术参数及要求的得19分；</w:t>
            </w:r>
          </w:p>
          <w:p w14:paraId="156E6951">
            <w:pPr>
              <w:pStyle w:val="10"/>
              <w:pageBreakBefore w:val="0"/>
              <w:kinsoku/>
              <w:overflowPunct/>
              <w:topLinePunct w:val="0"/>
              <w:autoSpaceDE/>
              <w:autoSpaceDN/>
              <w:bidi w:val="0"/>
              <w:spacing w:line="360" w:lineRule="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共有97-93项投标产品性能指标及技术参数完全满足不带</w:t>
            </w:r>
            <w:r>
              <w:rPr>
                <w:rFonts w:hint="eastAsia" w:ascii="宋体" w:hAnsi="宋体" w:eastAsia="宋体" w:cs="宋体"/>
                <w:color w:val="auto"/>
                <w:sz w:val="21"/>
                <w:szCs w:val="21"/>
              </w:rPr>
              <w:t>★</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▲的一般性技术参数及要求的得16分；</w:t>
            </w:r>
          </w:p>
          <w:p w14:paraId="020D2140">
            <w:pPr>
              <w:pStyle w:val="10"/>
              <w:pageBreakBefore w:val="0"/>
              <w:kinsoku/>
              <w:overflowPunct/>
              <w:topLinePunct w:val="0"/>
              <w:autoSpaceDE/>
              <w:autoSpaceDN/>
              <w:bidi w:val="0"/>
              <w:spacing w:line="360" w:lineRule="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共有92-88项投标产品性能指标及技术参数完全满足不带</w:t>
            </w:r>
            <w:r>
              <w:rPr>
                <w:rFonts w:hint="eastAsia" w:ascii="宋体" w:hAnsi="宋体" w:eastAsia="宋体" w:cs="宋体"/>
                <w:color w:val="auto"/>
                <w:sz w:val="21"/>
                <w:szCs w:val="21"/>
              </w:rPr>
              <w:t>★</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▲的一般性技术参数及要求的得13分；</w:t>
            </w:r>
          </w:p>
          <w:p w14:paraId="509560ED">
            <w:pPr>
              <w:pStyle w:val="10"/>
              <w:pageBreakBefore w:val="0"/>
              <w:kinsoku/>
              <w:overflowPunct/>
              <w:topLinePunct w:val="0"/>
              <w:autoSpaceDE/>
              <w:autoSpaceDN/>
              <w:bidi w:val="0"/>
              <w:spacing w:line="360" w:lineRule="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共有87-83项投标产品性能指标及技术参数完全满足不带</w:t>
            </w:r>
            <w:r>
              <w:rPr>
                <w:rFonts w:hint="eastAsia" w:ascii="宋体" w:hAnsi="宋体" w:eastAsia="宋体" w:cs="宋体"/>
                <w:color w:val="auto"/>
                <w:sz w:val="21"/>
                <w:szCs w:val="21"/>
              </w:rPr>
              <w:t>★</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▲的一般性技术参数及要求的得10分；其余情况不得分。</w:t>
            </w:r>
          </w:p>
          <w:p w14:paraId="51F56926">
            <w:pP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注明：漏报技术参数视为不满足。</w:t>
            </w:r>
          </w:p>
        </w:tc>
        <w:tc>
          <w:tcPr>
            <w:tcW w:w="392" w:type="pct"/>
            <w:noWrap w:val="0"/>
            <w:vAlign w:val="center"/>
          </w:tcPr>
          <w:p w14:paraId="0F4ECC27">
            <w:pPr>
              <w:spacing w:line="360" w:lineRule="auto"/>
              <w:jc w:val="center"/>
              <w:rPr>
                <w:rFonts w:hint="default" w:ascii="宋体" w:hAnsi="宋体" w:cs="宋体"/>
                <w:bCs/>
                <w:color w:val="auto"/>
                <w:kern w:val="0"/>
                <w:sz w:val="21"/>
                <w:szCs w:val="21"/>
                <w:highlight w:val="none"/>
                <w:lang w:val="en-US" w:eastAsia="zh-CN"/>
              </w:rPr>
            </w:pPr>
            <w:r>
              <w:rPr>
                <w:rFonts w:hint="eastAsia" w:ascii="宋体" w:hAnsi="宋体" w:cs="宋体"/>
                <w:bCs/>
                <w:color w:val="auto"/>
                <w:kern w:val="0"/>
                <w:sz w:val="21"/>
                <w:szCs w:val="21"/>
                <w:highlight w:val="none"/>
                <w:lang w:val="en-US" w:eastAsia="zh-CN"/>
              </w:rPr>
              <w:t>22分</w:t>
            </w:r>
          </w:p>
        </w:tc>
      </w:tr>
      <w:tr w14:paraId="17449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6" w:type="pct"/>
            <w:noWrap w:val="0"/>
            <w:vAlign w:val="center"/>
          </w:tcPr>
          <w:p w14:paraId="03091B20">
            <w:pPr>
              <w:spacing w:line="360" w:lineRule="auto"/>
              <w:jc w:val="center"/>
              <w:rPr>
                <w:rFonts w:hint="eastAsia" w:ascii="宋体" w:hAnsi="宋体" w:eastAsia="宋体" w:cs="宋体"/>
                <w:b/>
                <w:bCs w:val="0"/>
                <w:color w:val="auto"/>
                <w:sz w:val="21"/>
                <w:szCs w:val="21"/>
                <w:highlight w:val="none"/>
                <w:lang w:val="en-US" w:eastAsia="zh-CN"/>
              </w:rPr>
            </w:pPr>
            <w:r>
              <w:rPr>
                <w:rFonts w:hint="eastAsia" w:ascii="宋体" w:hAnsi="宋体" w:cs="宋体"/>
                <w:b/>
                <w:bCs w:val="0"/>
                <w:color w:val="auto"/>
                <w:sz w:val="21"/>
                <w:szCs w:val="21"/>
                <w:highlight w:val="none"/>
                <w:lang w:val="en-US" w:eastAsia="zh-CN"/>
              </w:rPr>
              <w:t>3</w:t>
            </w:r>
          </w:p>
        </w:tc>
        <w:tc>
          <w:tcPr>
            <w:tcW w:w="467" w:type="pct"/>
            <w:noWrap w:val="0"/>
            <w:vAlign w:val="center"/>
          </w:tcPr>
          <w:p w14:paraId="406705F7">
            <w:pPr>
              <w:jc w:val="center"/>
              <w:rPr>
                <w:rFonts w:hint="eastAsia" w:ascii="宋体" w:hAnsi="宋体" w:eastAsia="宋体" w:cs="宋体"/>
                <w:b/>
                <w:bCs w:val="0"/>
                <w:color w:val="auto"/>
                <w:sz w:val="21"/>
                <w:szCs w:val="21"/>
                <w:highlight w:val="none"/>
                <w:lang w:val="en-US" w:eastAsia="zh-CN"/>
              </w:rPr>
            </w:pPr>
            <w:r>
              <w:rPr>
                <w:rFonts w:hint="eastAsia" w:ascii="宋体" w:hAnsi="宋体" w:eastAsia="宋体" w:cs="宋体"/>
                <w:b/>
                <w:bCs w:val="0"/>
                <w:color w:val="auto"/>
                <w:sz w:val="21"/>
                <w:szCs w:val="21"/>
                <w:highlight w:val="none"/>
                <w:lang w:val="en-US" w:eastAsia="zh-CN"/>
              </w:rPr>
              <w:t>类似</w:t>
            </w:r>
          </w:p>
          <w:p w14:paraId="086CEBEF">
            <w:pPr>
              <w:jc w:val="center"/>
              <w:rPr>
                <w:rFonts w:hint="eastAsia" w:ascii="宋体" w:hAnsi="宋体" w:eastAsia="宋体" w:cs="宋体"/>
                <w:b/>
                <w:bCs w:val="0"/>
                <w:color w:val="auto"/>
                <w:sz w:val="21"/>
                <w:szCs w:val="21"/>
                <w:highlight w:val="none"/>
                <w:lang w:val="en-US" w:eastAsia="zh-CN"/>
              </w:rPr>
            </w:pPr>
            <w:r>
              <w:rPr>
                <w:rFonts w:hint="eastAsia" w:ascii="宋体" w:hAnsi="宋体" w:eastAsia="宋体" w:cs="宋体"/>
                <w:b/>
                <w:bCs w:val="0"/>
                <w:color w:val="auto"/>
                <w:sz w:val="21"/>
                <w:szCs w:val="21"/>
                <w:highlight w:val="none"/>
                <w:lang w:val="en-US" w:eastAsia="zh-CN"/>
              </w:rPr>
              <w:t>业绩</w:t>
            </w:r>
          </w:p>
        </w:tc>
        <w:tc>
          <w:tcPr>
            <w:tcW w:w="3834" w:type="pct"/>
            <w:noWrap w:val="0"/>
            <w:vAlign w:val="center"/>
          </w:tcPr>
          <w:p w14:paraId="092992A5">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供应商202</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年1月1日至今（以合同签订时间为准），具有类似项目业绩每提供一份项目合同，得</w:t>
            </w:r>
            <w:r>
              <w:rPr>
                <w:rFonts w:hint="eastAsia" w:ascii="宋体" w:hAnsi="宋体" w:cs="宋体"/>
                <w:color w:val="auto"/>
                <w:sz w:val="21"/>
                <w:szCs w:val="21"/>
                <w:highlight w:val="none"/>
                <w:lang w:val="en-US" w:eastAsia="zh-CN"/>
              </w:rPr>
              <w:t>1.5</w:t>
            </w:r>
            <w:r>
              <w:rPr>
                <w:rFonts w:hint="eastAsia" w:ascii="宋体" w:hAnsi="宋体" w:eastAsia="宋体" w:cs="宋体"/>
                <w:color w:val="auto"/>
                <w:sz w:val="21"/>
                <w:szCs w:val="21"/>
                <w:highlight w:val="none"/>
                <w:lang w:val="en-US" w:eastAsia="zh-CN"/>
              </w:rPr>
              <w:t>分，满分</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分。</w:t>
            </w:r>
          </w:p>
          <w:p w14:paraId="1518A3EF">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注：提供合同复印件加盖公章。</w:t>
            </w: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须对所</w:t>
            </w:r>
            <w:r>
              <w:rPr>
                <w:rFonts w:hint="eastAsia" w:ascii="宋体" w:hAnsi="宋体" w:cs="宋体"/>
                <w:color w:val="auto"/>
                <w:sz w:val="21"/>
                <w:szCs w:val="21"/>
                <w:highlight w:val="none"/>
                <w:lang w:val="en-US" w:eastAsia="zh-CN"/>
              </w:rPr>
              <w:t>提供业绩</w:t>
            </w:r>
            <w:r>
              <w:rPr>
                <w:rFonts w:hint="eastAsia" w:ascii="宋体" w:hAnsi="宋体" w:eastAsia="宋体" w:cs="宋体"/>
                <w:color w:val="auto"/>
                <w:sz w:val="21"/>
                <w:szCs w:val="21"/>
                <w:highlight w:val="none"/>
                <w:lang w:val="en-US" w:eastAsia="zh-CN"/>
              </w:rPr>
              <w:t>的真实性负责，提供虚假</w:t>
            </w:r>
            <w:r>
              <w:rPr>
                <w:rFonts w:hint="eastAsia" w:ascii="宋体" w:hAnsi="宋体" w:cs="宋体"/>
                <w:color w:val="auto"/>
                <w:sz w:val="21"/>
                <w:szCs w:val="21"/>
                <w:highlight w:val="none"/>
                <w:lang w:val="en-US" w:eastAsia="zh-CN"/>
              </w:rPr>
              <w:t>业绩</w:t>
            </w:r>
            <w:r>
              <w:rPr>
                <w:rFonts w:hint="eastAsia" w:ascii="宋体" w:hAnsi="宋体" w:eastAsia="宋体" w:cs="宋体"/>
                <w:color w:val="auto"/>
                <w:sz w:val="21"/>
                <w:szCs w:val="21"/>
                <w:highlight w:val="none"/>
                <w:lang w:val="en-US" w:eastAsia="zh-CN"/>
              </w:rPr>
              <w:t>，伪造</w:t>
            </w:r>
            <w:r>
              <w:rPr>
                <w:rFonts w:hint="eastAsia" w:ascii="宋体" w:hAnsi="宋体" w:cs="宋体"/>
                <w:color w:val="auto"/>
                <w:sz w:val="21"/>
                <w:szCs w:val="21"/>
                <w:highlight w:val="none"/>
                <w:lang w:val="en-US" w:eastAsia="zh-CN"/>
              </w:rPr>
              <w:t>业绩的，</w:t>
            </w:r>
            <w:r>
              <w:rPr>
                <w:rFonts w:hint="eastAsia" w:ascii="宋体" w:hAnsi="宋体" w:eastAsia="宋体" w:cs="宋体"/>
                <w:color w:val="auto"/>
                <w:sz w:val="21"/>
                <w:szCs w:val="21"/>
                <w:highlight w:val="none"/>
                <w:lang w:val="en-US" w:eastAsia="zh-CN"/>
              </w:rPr>
              <w:t>按</w:t>
            </w:r>
            <w:r>
              <w:rPr>
                <w:rFonts w:hint="eastAsia" w:ascii="宋体" w:hAnsi="宋体" w:cs="宋体"/>
                <w:color w:val="auto"/>
                <w:sz w:val="21"/>
                <w:szCs w:val="21"/>
                <w:highlight w:val="none"/>
                <w:lang w:val="en-US" w:eastAsia="zh-CN"/>
              </w:rPr>
              <w:t>无效投标</w:t>
            </w:r>
            <w:r>
              <w:rPr>
                <w:rFonts w:hint="eastAsia" w:ascii="宋体" w:hAnsi="宋体" w:eastAsia="宋体" w:cs="宋体"/>
                <w:color w:val="auto"/>
                <w:sz w:val="21"/>
                <w:szCs w:val="21"/>
                <w:highlight w:val="none"/>
                <w:lang w:val="en-US" w:eastAsia="zh-CN"/>
              </w:rPr>
              <w:t>处理，并上报</w:t>
            </w:r>
            <w:r>
              <w:rPr>
                <w:rFonts w:hint="eastAsia" w:ascii="宋体" w:hAnsi="宋体" w:cs="宋体"/>
                <w:color w:val="auto"/>
                <w:sz w:val="21"/>
                <w:szCs w:val="21"/>
                <w:highlight w:val="none"/>
                <w:lang w:val="en-US" w:eastAsia="zh-CN"/>
              </w:rPr>
              <w:t>相关</w:t>
            </w:r>
            <w:r>
              <w:rPr>
                <w:rFonts w:hint="eastAsia" w:ascii="宋体" w:hAnsi="宋体" w:eastAsia="宋体" w:cs="宋体"/>
                <w:color w:val="auto"/>
                <w:sz w:val="21"/>
                <w:szCs w:val="21"/>
                <w:highlight w:val="none"/>
                <w:lang w:val="en-US" w:eastAsia="zh-CN"/>
              </w:rPr>
              <w:t>主管部门进行严肃处理</w:t>
            </w:r>
            <w:r>
              <w:rPr>
                <w:rFonts w:hint="eastAsia" w:ascii="宋体" w:hAnsi="宋体" w:cs="宋体"/>
                <w:color w:val="auto"/>
                <w:sz w:val="21"/>
                <w:szCs w:val="21"/>
                <w:highlight w:val="none"/>
                <w:lang w:val="en-US" w:eastAsia="zh-CN"/>
              </w:rPr>
              <w:t>。</w:t>
            </w:r>
          </w:p>
        </w:tc>
        <w:tc>
          <w:tcPr>
            <w:tcW w:w="392" w:type="pct"/>
            <w:noWrap w:val="0"/>
            <w:vAlign w:val="center"/>
          </w:tcPr>
          <w:p w14:paraId="65759ECE">
            <w:pPr>
              <w:spacing w:line="360" w:lineRule="auto"/>
              <w:jc w:val="center"/>
              <w:rPr>
                <w:rFonts w:hint="eastAsia" w:ascii="宋体" w:hAnsi="宋体" w:eastAsia="宋体" w:cs="宋体"/>
                <w:bCs/>
                <w:color w:val="auto"/>
                <w:kern w:val="0"/>
                <w:sz w:val="21"/>
                <w:szCs w:val="21"/>
                <w:highlight w:val="none"/>
              </w:rPr>
            </w:pPr>
            <w:r>
              <w:rPr>
                <w:rFonts w:hint="eastAsia" w:ascii="宋体" w:hAnsi="宋体" w:cs="宋体"/>
                <w:bCs/>
                <w:color w:val="auto"/>
                <w:kern w:val="0"/>
                <w:sz w:val="21"/>
                <w:szCs w:val="21"/>
                <w:highlight w:val="none"/>
                <w:lang w:val="en-US" w:eastAsia="zh-CN"/>
              </w:rPr>
              <w:t>3</w:t>
            </w:r>
            <w:r>
              <w:rPr>
                <w:rFonts w:hint="eastAsia" w:ascii="宋体" w:hAnsi="宋体" w:eastAsia="宋体" w:cs="宋体"/>
                <w:bCs/>
                <w:color w:val="auto"/>
                <w:kern w:val="0"/>
                <w:sz w:val="21"/>
                <w:szCs w:val="21"/>
                <w:highlight w:val="none"/>
                <w:lang w:val="en-US" w:eastAsia="zh-CN"/>
              </w:rPr>
              <w:t>分</w:t>
            </w:r>
          </w:p>
        </w:tc>
      </w:tr>
      <w:tr w14:paraId="34A9E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306" w:type="pct"/>
            <w:noWrap w:val="0"/>
            <w:vAlign w:val="center"/>
          </w:tcPr>
          <w:p w14:paraId="6463AA3E">
            <w:pPr>
              <w:spacing w:line="360" w:lineRule="auto"/>
              <w:jc w:val="center"/>
              <w:rPr>
                <w:rFonts w:hint="eastAsia" w:ascii="宋体" w:hAnsi="宋体" w:eastAsia="宋体" w:cs="宋体"/>
                <w:b/>
                <w:bCs w:val="0"/>
                <w:color w:val="auto"/>
                <w:kern w:val="0"/>
                <w:sz w:val="21"/>
                <w:szCs w:val="21"/>
                <w:highlight w:val="none"/>
                <w:lang w:val="en-US" w:eastAsia="zh-CN"/>
              </w:rPr>
            </w:pPr>
            <w:r>
              <w:rPr>
                <w:rFonts w:hint="eastAsia" w:ascii="宋体" w:hAnsi="宋体" w:cs="宋体"/>
                <w:b/>
                <w:bCs w:val="0"/>
                <w:color w:val="auto"/>
                <w:kern w:val="0"/>
                <w:sz w:val="21"/>
                <w:szCs w:val="21"/>
                <w:highlight w:val="none"/>
                <w:lang w:val="en-US" w:eastAsia="zh-CN"/>
              </w:rPr>
              <w:t>4</w:t>
            </w:r>
          </w:p>
        </w:tc>
        <w:tc>
          <w:tcPr>
            <w:tcW w:w="467" w:type="pct"/>
            <w:noWrap w:val="0"/>
            <w:vAlign w:val="center"/>
          </w:tcPr>
          <w:p w14:paraId="6DC9271B">
            <w:pPr>
              <w:jc w:val="center"/>
              <w:rPr>
                <w:rFonts w:hint="eastAsia" w:ascii="宋体" w:hAnsi="宋体" w:eastAsia="宋体" w:cs="宋体"/>
                <w:b/>
                <w:bCs w:val="0"/>
                <w:color w:val="auto"/>
                <w:sz w:val="21"/>
                <w:szCs w:val="21"/>
                <w:highlight w:val="none"/>
                <w:lang w:eastAsia="zh-CN"/>
              </w:rPr>
            </w:pPr>
            <w:r>
              <w:rPr>
                <w:rFonts w:hint="eastAsia" w:ascii="宋体" w:hAnsi="宋体" w:eastAsia="宋体" w:cs="宋体"/>
                <w:b/>
                <w:bCs w:val="0"/>
                <w:color w:val="auto"/>
                <w:sz w:val="21"/>
                <w:szCs w:val="21"/>
                <w:highlight w:val="none"/>
                <w:lang w:eastAsia="zh-CN"/>
              </w:rPr>
              <w:t>安装调试方案</w:t>
            </w:r>
          </w:p>
        </w:tc>
        <w:tc>
          <w:tcPr>
            <w:tcW w:w="3834" w:type="pct"/>
            <w:noWrap w:val="0"/>
            <w:vAlign w:val="center"/>
          </w:tcPr>
          <w:p w14:paraId="52CA5974">
            <w:pP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根据供应商提供安装调试方案（包括但不限于到货安装调试校验、安装调试进度安排等内容）进行赋分</w:t>
            </w:r>
            <w:r>
              <w:rPr>
                <w:rFonts w:hint="eastAsia" w:ascii="宋体" w:hAnsi="宋体" w:cs="宋体"/>
                <w:b/>
                <w:bCs/>
                <w:color w:val="auto"/>
                <w:sz w:val="21"/>
                <w:szCs w:val="21"/>
                <w:highlight w:val="none"/>
                <w:lang w:val="en-US" w:eastAsia="zh-CN"/>
              </w:rPr>
              <w:t>：</w:t>
            </w:r>
          </w:p>
          <w:p w14:paraId="283C065F">
            <w:pP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1、到货安装调试校验</w:t>
            </w:r>
          </w:p>
          <w:p w14:paraId="398F6717">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（1）方案全面具体性、措施完善性、科学合理性，完全满足实际工作需要的，得3分；</w:t>
            </w:r>
          </w:p>
          <w:p w14:paraId="5C429347">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14:paraId="0B0D7CFC">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p w14:paraId="195C3F47">
            <w:pPr>
              <w:rPr>
                <w:rFonts w:hint="eastAsia" w:hAnsi="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2、安装调试进度安排</w:t>
            </w:r>
          </w:p>
          <w:p w14:paraId="0D338F02">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（1）方案全面具体性、措施完善性、科学合理性，完全满足实际工作需要的，得3分；</w:t>
            </w:r>
          </w:p>
          <w:p w14:paraId="20516525">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14:paraId="66FD5781">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p w14:paraId="0C80DEA9">
            <w:pPr>
              <w:rPr>
                <w:rFonts w:hint="eastAsia" w:ascii="宋体" w:hAnsi="宋体" w:eastAsia="宋体" w:cs="宋体"/>
                <w:b/>
                <w:bCs/>
                <w:color w:val="auto"/>
                <w:sz w:val="21"/>
                <w:szCs w:val="21"/>
                <w:highlight w:val="none"/>
              </w:rPr>
            </w:pPr>
            <w:r>
              <w:rPr>
                <w:rFonts w:hint="eastAsia" w:ascii="宋体" w:hAnsi="宋体" w:cs="宋体"/>
                <w:b/>
                <w:bCs/>
                <w:color w:val="auto"/>
                <w:sz w:val="21"/>
                <w:szCs w:val="21"/>
                <w:highlight w:val="none"/>
                <w:lang w:val="en-US" w:eastAsia="zh-CN"/>
              </w:rPr>
              <w:t>3</w:t>
            </w:r>
            <w:r>
              <w:rPr>
                <w:rFonts w:hint="eastAsia" w:ascii="宋体" w:hAnsi="宋体" w:eastAsia="宋体" w:cs="宋体"/>
                <w:b/>
                <w:bCs/>
                <w:color w:val="auto"/>
                <w:sz w:val="21"/>
                <w:szCs w:val="21"/>
                <w:highlight w:val="none"/>
                <w:lang w:val="en-US" w:eastAsia="zh-CN"/>
              </w:rPr>
              <w:t>、</w:t>
            </w:r>
            <w:r>
              <w:rPr>
                <w:rFonts w:hint="eastAsia" w:ascii="宋体" w:hAnsi="宋体" w:eastAsia="宋体" w:cs="宋体"/>
                <w:b/>
                <w:bCs/>
                <w:color w:val="auto"/>
                <w:sz w:val="21"/>
                <w:szCs w:val="21"/>
                <w:highlight w:val="none"/>
              </w:rPr>
              <w:t>方案内容除以上</w:t>
            </w:r>
            <w:r>
              <w:rPr>
                <w:rFonts w:hint="eastAsia" w:ascii="宋体" w:hAnsi="宋体" w:cs="宋体"/>
                <w:b/>
                <w:bCs/>
                <w:color w:val="auto"/>
                <w:sz w:val="21"/>
                <w:szCs w:val="21"/>
                <w:highlight w:val="none"/>
                <w:lang w:val="en-US" w:eastAsia="zh-CN"/>
              </w:rPr>
              <w:t>2</w:t>
            </w:r>
            <w:r>
              <w:rPr>
                <w:rFonts w:hint="eastAsia" w:ascii="宋体" w:hAnsi="宋体" w:eastAsia="宋体" w:cs="宋体"/>
                <w:b/>
                <w:bCs/>
                <w:color w:val="auto"/>
                <w:sz w:val="21"/>
                <w:szCs w:val="21"/>
                <w:highlight w:val="none"/>
              </w:rPr>
              <w:t>个方面外，供应商可根据采购需求、项目特点，提供其他有针对性的措施，对所提供的措施的科学性、合理性、适用性进行赋分：</w:t>
            </w:r>
          </w:p>
          <w:p w14:paraId="1185CE84">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（1）方案全面具体性、措施完善性、科学合理性优于项目需求的，得</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分；</w:t>
            </w:r>
          </w:p>
          <w:p w14:paraId="1AACE17F">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14:paraId="5C683697">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tc>
        <w:tc>
          <w:tcPr>
            <w:tcW w:w="392" w:type="pct"/>
            <w:noWrap w:val="0"/>
            <w:vAlign w:val="center"/>
          </w:tcPr>
          <w:p w14:paraId="14164118">
            <w:pPr>
              <w:spacing w:line="360" w:lineRule="auto"/>
              <w:jc w:val="center"/>
              <w:rPr>
                <w:rFonts w:hint="eastAsia" w:ascii="宋体" w:hAnsi="宋体" w:eastAsia="宋体" w:cs="宋体"/>
                <w:bCs/>
                <w:color w:val="auto"/>
                <w:kern w:val="0"/>
                <w:sz w:val="21"/>
                <w:szCs w:val="21"/>
                <w:highlight w:val="none"/>
                <w:lang w:val="en-US" w:eastAsia="zh-CN"/>
              </w:rPr>
            </w:pPr>
            <w:r>
              <w:rPr>
                <w:rFonts w:hint="eastAsia" w:ascii="宋体" w:hAnsi="宋体" w:cs="宋体"/>
                <w:bCs/>
                <w:color w:val="auto"/>
                <w:kern w:val="0"/>
                <w:sz w:val="21"/>
                <w:szCs w:val="21"/>
                <w:highlight w:val="none"/>
                <w:lang w:val="en-US" w:eastAsia="zh-CN"/>
              </w:rPr>
              <w:t>9</w:t>
            </w:r>
            <w:r>
              <w:rPr>
                <w:rFonts w:hint="eastAsia" w:ascii="宋体" w:hAnsi="宋体" w:eastAsia="宋体" w:cs="宋体"/>
                <w:bCs/>
                <w:color w:val="auto"/>
                <w:kern w:val="0"/>
                <w:sz w:val="21"/>
                <w:szCs w:val="21"/>
                <w:highlight w:val="none"/>
                <w:lang w:val="en-US" w:eastAsia="zh-CN"/>
              </w:rPr>
              <w:t>分</w:t>
            </w:r>
          </w:p>
        </w:tc>
      </w:tr>
      <w:tr w14:paraId="62780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306" w:type="pct"/>
            <w:noWrap w:val="0"/>
            <w:vAlign w:val="center"/>
          </w:tcPr>
          <w:p w14:paraId="3E5F450B">
            <w:pPr>
              <w:spacing w:line="360" w:lineRule="auto"/>
              <w:jc w:val="center"/>
              <w:rPr>
                <w:rFonts w:hint="default" w:ascii="宋体" w:hAnsi="宋体" w:eastAsia="宋体" w:cs="宋体"/>
                <w:b/>
                <w:bCs w:val="0"/>
                <w:color w:val="auto"/>
                <w:kern w:val="0"/>
                <w:sz w:val="21"/>
                <w:szCs w:val="21"/>
                <w:highlight w:val="none"/>
                <w:lang w:val="en-US" w:eastAsia="zh-CN"/>
              </w:rPr>
            </w:pPr>
            <w:r>
              <w:rPr>
                <w:rFonts w:hint="eastAsia" w:ascii="宋体" w:hAnsi="宋体" w:cs="宋体"/>
                <w:b/>
                <w:bCs w:val="0"/>
                <w:color w:val="auto"/>
                <w:kern w:val="0"/>
                <w:sz w:val="21"/>
                <w:szCs w:val="21"/>
                <w:highlight w:val="none"/>
                <w:lang w:val="en-US" w:eastAsia="zh-CN"/>
              </w:rPr>
              <w:t>5</w:t>
            </w:r>
          </w:p>
        </w:tc>
        <w:tc>
          <w:tcPr>
            <w:tcW w:w="467" w:type="pct"/>
            <w:noWrap w:val="0"/>
            <w:vAlign w:val="center"/>
          </w:tcPr>
          <w:p w14:paraId="53F58F68">
            <w:pPr>
              <w:jc w:val="center"/>
              <w:rPr>
                <w:rFonts w:hint="eastAsia" w:ascii="宋体" w:hAnsi="宋体" w:eastAsia="宋体" w:cs="宋体"/>
                <w:b/>
                <w:bCs w:val="0"/>
                <w:color w:val="auto"/>
                <w:sz w:val="21"/>
                <w:szCs w:val="21"/>
                <w:highlight w:val="none"/>
              </w:rPr>
            </w:pPr>
            <w:r>
              <w:rPr>
                <w:rFonts w:hint="eastAsia" w:ascii="宋体" w:hAnsi="宋体" w:cs="宋体"/>
                <w:b/>
                <w:bCs w:val="0"/>
                <w:color w:val="auto"/>
                <w:sz w:val="21"/>
                <w:szCs w:val="21"/>
                <w:highlight w:val="none"/>
                <w:lang w:val="en-US" w:eastAsia="zh-CN"/>
              </w:rPr>
              <w:t>供货</w:t>
            </w:r>
            <w:r>
              <w:rPr>
                <w:rFonts w:hint="eastAsia" w:ascii="宋体" w:hAnsi="宋体" w:eastAsia="宋体" w:cs="宋体"/>
                <w:b/>
                <w:bCs w:val="0"/>
                <w:color w:val="auto"/>
                <w:sz w:val="21"/>
                <w:szCs w:val="21"/>
                <w:highlight w:val="none"/>
              </w:rPr>
              <w:t>方案</w:t>
            </w:r>
          </w:p>
        </w:tc>
        <w:tc>
          <w:tcPr>
            <w:tcW w:w="3834" w:type="pct"/>
            <w:noWrap w:val="0"/>
            <w:vAlign w:val="center"/>
          </w:tcPr>
          <w:p w14:paraId="19AB7427">
            <w:pP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根据供应商提供的</w:t>
            </w:r>
            <w:r>
              <w:rPr>
                <w:rFonts w:hint="eastAsia" w:ascii="宋体" w:hAnsi="宋体" w:cs="宋体"/>
                <w:b/>
                <w:bCs/>
                <w:color w:val="auto"/>
                <w:sz w:val="21"/>
                <w:szCs w:val="21"/>
                <w:highlight w:val="none"/>
                <w:lang w:val="en-US" w:eastAsia="zh-CN"/>
              </w:rPr>
              <w:t>供货</w:t>
            </w:r>
            <w:r>
              <w:rPr>
                <w:rFonts w:hint="eastAsia" w:ascii="宋体" w:hAnsi="宋体" w:eastAsia="宋体" w:cs="宋体"/>
                <w:b/>
                <w:bCs/>
                <w:color w:val="auto"/>
                <w:sz w:val="21"/>
                <w:szCs w:val="21"/>
                <w:highlight w:val="none"/>
                <w:lang w:val="en-US" w:eastAsia="zh-CN"/>
              </w:rPr>
              <w:t>方案（包括但不限于</w:t>
            </w:r>
            <w:r>
              <w:rPr>
                <w:rFonts w:hint="eastAsia" w:ascii="宋体" w:hAnsi="宋体" w:cs="宋体"/>
                <w:b/>
                <w:bCs/>
                <w:color w:val="auto"/>
                <w:sz w:val="21"/>
                <w:szCs w:val="21"/>
                <w:highlight w:val="none"/>
                <w:lang w:val="en-US" w:eastAsia="zh-CN"/>
              </w:rPr>
              <w:t>供货</w:t>
            </w:r>
            <w:r>
              <w:rPr>
                <w:rFonts w:hint="eastAsia" w:ascii="宋体" w:hAnsi="宋体" w:eastAsia="宋体" w:cs="宋体"/>
                <w:b/>
                <w:bCs/>
                <w:color w:val="auto"/>
                <w:sz w:val="21"/>
                <w:szCs w:val="21"/>
                <w:highlight w:val="none"/>
                <w:lang w:val="en-US" w:eastAsia="zh-CN"/>
              </w:rPr>
              <w:t>计划、</w:t>
            </w:r>
            <w:r>
              <w:rPr>
                <w:rFonts w:hint="eastAsia" w:ascii="宋体" w:hAnsi="宋体" w:cs="宋体"/>
                <w:b/>
                <w:bCs/>
                <w:color w:val="auto"/>
                <w:sz w:val="21"/>
                <w:szCs w:val="21"/>
                <w:highlight w:val="none"/>
                <w:lang w:val="en-US" w:eastAsia="zh-CN"/>
              </w:rPr>
              <w:t>供货流程</w:t>
            </w:r>
            <w:r>
              <w:rPr>
                <w:rFonts w:hint="eastAsia" w:ascii="宋体" w:hAnsi="宋体" w:eastAsia="宋体" w:cs="宋体"/>
                <w:b/>
                <w:bCs/>
                <w:color w:val="auto"/>
                <w:sz w:val="21"/>
                <w:szCs w:val="21"/>
                <w:highlight w:val="none"/>
                <w:lang w:val="en-US" w:eastAsia="zh-CN"/>
              </w:rPr>
              <w:t>、</w:t>
            </w:r>
            <w:r>
              <w:rPr>
                <w:rFonts w:hint="eastAsia" w:ascii="宋体" w:hAnsi="宋体" w:cs="宋体"/>
                <w:b/>
                <w:bCs/>
                <w:color w:val="auto"/>
                <w:sz w:val="21"/>
                <w:szCs w:val="21"/>
                <w:highlight w:val="none"/>
                <w:lang w:val="en-US" w:eastAsia="zh-CN"/>
              </w:rPr>
              <w:t>供货保证措施</w:t>
            </w:r>
            <w:r>
              <w:rPr>
                <w:rFonts w:hint="eastAsia" w:ascii="宋体" w:hAnsi="宋体" w:eastAsia="宋体" w:cs="宋体"/>
                <w:b/>
                <w:bCs/>
                <w:color w:val="auto"/>
                <w:sz w:val="21"/>
                <w:szCs w:val="21"/>
                <w:highlight w:val="none"/>
                <w:lang w:val="en-US" w:eastAsia="zh-CN"/>
              </w:rPr>
              <w:t>等）进行赋分：</w:t>
            </w:r>
          </w:p>
          <w:p w14:paraId="68B1D1F2">
            <w:pPr>
              <w:numPr>
                <w:ilvl w:val="0"/>
                <w:numId w:val="4"/>
              </w:numPr>
              <w:rPr>
                <w:rFonts w:hint="eastAsia" w:ascii="宋体" w:hAnsi="宋体" w:eastAsia="宋体" w:cs="宋体"/>
                <w:b/>
                <w:bCs/>
                <w:color w:val="auto"/>
                <w:sz w:val="21"/>
                <w:szCs w:val="21"/>
                <w:highlight w:val="none"/>
                <w:lang w:val="en-US" w:eastAsia="zh-CN"/>
              </w:rPr>
            </w:pPr>
            <w:r>
              <w:rPr>
                <w:rFonts w:hint="eastAsia" w:ascii="宋体" w:hAnsi="宋体" w:cs="宋体"/>
                <w:b/>
                <w:bCs/>
                <w:color w:val="auto"/>
                <w:sz w:val="21"/>
                <w:szCs w:val="21"/>
                <w:highlight w:val="none"/>
                <w:lang w:val="en-US" w:eastAsia="zh-CN"/>
              </w:rPr>
              <w:t>供货</w:t>
            </w:r>
            <w:r>
              <w:rPr>
                <w:rFonts w:hint="eastAsia" w:ascii="宋体" w:hAnsi="宋体" w:eastAsia="宋体" w:cs="宋体"/>
                <w:b/>
                <w:bCs/>
                <w:color w:val="auto"/>
                <w:sz w:val="21"/>
                <w:szCs w:val="21"/>
                <w:highlight w:val="none"/>
                <w:lang w:val="en-US" w:eastAsia="zh-CN"/>
              </w:rPr>
              <w:t>计划</w:t>
            </w:r>
          </w:p>
          <w:p w14:paraId="516D4D7D">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（1）方案全面具体性、措施完善性、科学合理性，完全满足实际工作需要的，得3分；</w:t>
            </w:r>
          </w:p>
          <w:p w14:paraId="05552414">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14:paraId="7BA66295">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p w14:paraId="081DCD17">
            <w:pPr>
              <w:rPr>
                <w:rFonts w:hint="eastAsia" w:ascii="宋体" w:hAnsi="宋体" w:cs="宋体"/>
                <w:b/>
                <w:bCs/>
                <w:color w:val="auto"/>
                <w:sz w:val="21"/>
                <w:szCs w:val="21"/>
                <w:highlight w:val="none"/>
                <w:lang w:val="en-US" w:eastAsia="zh-CN"/>
              </w:rPr>
            </w:pPr>
            <w:r>
              <w:rPr>
                <w:rFonts w:hint="eastAsia" w:ascii="宋体" w:hAnsi="宋体" w:cs="宋体"/>
                <w:b/>
                <w:bCs/>
                <w:color w:val="auto"/>
                <w:sz w:val="21"/>
                <w:szCs w:val="21"/>
                <w:highlight w:val="none"/>
                <w:lang w:val="en-US" w:eastAsia="zh-CN"/>
              </w:rPr>
              <w:t>2、供货流程</w:t>
            </w:r>
          </w:p>
          <w:p w14:paraId="514499E3">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（1）方案全面具体性、措施完善性、科学合理性，完全满足实际工作需要的，得3分；</w:t>
            </w:r>
          </w:p>
          <w:p w14:paraId="2391E81C">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14:paraId="406EB8E4">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p w14:paraId="23E61F85">
            <w:pPr>
              <w:rPr>
                <w:rFonts w:hint="eastAsia" w:ascii="宋体" w:hAnsi="宋体" w:cs="宋体"/>
                <w:b/>
                <w:bCs/>
                <w:color w:val="auto"/>
                <w:sz w:val="21"/>
                <w:szCs w:val="21"/>
                <w:highlight w:val="none"/>
                <w:lang w:val="en-US" w:eastAsia="zh-CN"/>
              </w:rPr>
            </w:pPr>
            <w:r>
              <w:rPr>
                <w:rFonts w:hint="eastAsia" w:ascii="宋体" w:hAnsi="宋体" w:cs="宋体"/>
                <w:b/>
                <w:bCs/>
                <w:color w:val="auto"/>
                <w:sz w:val="21"/>
                <w:szCs w:val="21"/>
                <w:highlight w:val="none"/>
                <w:lang w:val="en-US" w:eastAsia="zh-CN"/>
              </w:rPr>
              <w:t>3、供货保证措施</w:t>
            </w:r>
          </w:p>
          <w:p w14:paraId="5BB81B3D">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（1）方案全面具体性、措施完善性、科学合理性，完全满足实际工作需要的，得3分；</w:t>
            </w:r>
          </w:p>
          <w:p w14:paraId="4AA418C6">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14:paraId="03C3A3A9">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p w14:paraId="72A493C1">
            <w:pP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4、</w:t>
            </w:r>
            <w:r>
              <w:rPr>
                <w:rFonts w:hint="eastAsia" w:ascii="宋体" w:hAnsi="宋体" w:eastAsia="宋体" w:cs="宋体"/>
                <w:b/>
                <w:bCs/>
                <w:color w:val="auto"/>
                <w:sz w:val="21"/>
                <w:szCs w:val="21"/>
                <w:highlight w:val="none"/>
              </w:rPr>
              <w:t>方案内容除以上</w:t>
            </w:r>
            <w:r>
              <w:rPr>
                <w:rFonts w:hint="eastAsia" w:ascii="宋体" w:hAnsi="宋体" w:eastAsia="宋体" w:cs="宋体"/>
                <w:b/>
                <w:bCs/>
                <w:color w:val="auto"/>
                <w:sz w:val="21"/>
                <w:szCs w:val="21"/>
                <w:highlight w:val="none"/>
                <w:lang w:val="en-US" w:eastAsia="zh-CN"/>
              </w:rPr>
              <w:t>3</w:t>
            </w:r>
            <w:r>
              <w:rPr>
                <w:rFonts w:hint="eastAsia" w:ascii="宋体" w:hAnsi="宋体" w:eastAsia="宋体" w:cs="宋体"/>
                <w:b/>
                <w:bCs/>
                <w:color w:val="auto"/>
                <w:sz w:val="21"/>
                <w:szCs w:val="21"/>
                <w:highlight w:val="none"/>
              </w:rPr>
              <w:t>个方面外，供应商可根据采购需求、项目特点，提供其他有针对性的措施，对所提供的措施的科学性、合理性、适用性进行赋分：</w:t>
            </w:r>
          </w:p>
          <w:p w14:paraId="574F1865">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（1）方案全面具体性、措施完善性、科学合理性优于项目需求的，得</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分；</w:t>
            </w:r>
          </w:p>
          <w:p w14:paraId="37D63AA9">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（2）方案全面具体性、措施完善性、科学合理性，基本满足实际工作需要的，得2分；</w:t>
            </w:r>
          </w:p>
          <w:p w14:paraId="4100B15E">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tc>
        <w:tc>
          <w:tcPr>
            <w:tcW w:w="392" w:type="pct"/>
            <w:noWrap w:val="0"/>
            <w:vAlign w:val="center"/>
          </w:tcPr>
          <w:p w14:paraId="11CB0DDE">
            <w:pPr>
              <w:jc w:val="center"/>
              <w:rPr>
                <w:rFonts w:hint="eastAsia" w:ascii="宋体" w:hAnsi="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tc>
      </w:tr>
      <w:tr w14:paraId="59E42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306" w:type="pct"/>
            <w:noWrap w:val="0"/>
            <w:vAlign w:val="center"/>
          </w:tcPr>
          <w:p w14:paraId="18663534">
            <w:pPr>
              <w:spacing w:line="360" w:lineRule="auto"/>
              <w:jc w:val="center"/>
              <w:rPr>
                <w:rFonts w:hint="eastAsia" w:ascii="宋体" w:hAnsi="宋体" w:eastAsia="宋体" w:cs="宋体"/>
                <w:b/>
                <w:bCs w:val="0"/>
                <w:color w:val="auto"/>
                <w:kern w:val="0"/>
                <w:sz w:val="21"/>
                <w:szCs w:val="21"/>
                <w:highlight w:val="none"/>
                <w:lang w:eastAsia="zh-CN"/>
              </w:rPr>
            </w:pPr>
            <w:r>
              <w:rPr>
                <w:rFonts w:hint="eastAsia" w:ascii="宋体" w:hAnsi="宋体" w:cs="宋体"/>
                <w:b/>
                <w:bCs w:val="0"/>
                <w:color w:val="auto"/>
                <w:kern w:val="0"/>
                <w:sz w:val="21"/>
                <w:szCs w:val="21"/>
                <w:highlight w:val="none"/>
                <w:lang w:val="en-US" w:eastAsia="zh-CN"/>
              </w:rPr>
              <w:t>6</w:t>
            </w:r>
          </w:p>
        </w:tc>
        <w:tc>
          <w:tcPr>
            <w:tcW w:w="467" w:type="pct"/>
            <w:noWrap w:val="0"/>
            <w:vAlign w:val="center"/>
          </w:tcPr>
          <w:p w14:paraId="7D686D64">
            <w:pPr>
              <w:jc w:val="center"/>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质量保</w:t>
            </w:r>
          </w:p>
          <w:p w14:paraId="6AFE8A71">
            <w:pPr>
              <w:jc w:val="center"/>
              <w:rPr>
                <w:rFonts w:hint="eastAsia" w:ascii="宋体" w:hAnsi="宋体" w:eastAsia="宋体" w:cs="宋体"/>
                <w:b/>
                <w:bCs w:val="0"/>
                <w:color w:val="auto"/>
                <w:sz w:val="21"/>
                <w:szCs w:val="21"/>
                <w:highlight w:val="none"/>
                <w:lang w:eastAsia="zh-CN"/>
              </w:rPr>
            </w:pPr>
            <w:r>
              <w:rPr>
                <w:rFonts w:hint="eastAsia" w:ascii="宋体" w:hAnsi="宋体" w:eastAsia="宋体" w:cs="宋体"/>
                <w:b/>
                <w:bCs w:val="0"/>
                <w:color w:val="auto"/>
                <w:sz w:val="21"/>
                <w:szCs w:val="21"/>
                <w:highlight w:val="none"/>
              </w:rPr>
              <w:t>证方案</w:t>
            </w:r>
          </w:p>
        </w:tc>
        <w:tc>
          <w:tcPr>
            <w:tcW w:w="3834" w:type="pct"/>
            <w:noWrap w:val="0"/>
            <w:vAlign w:val="center"/>
          </w:tcPr>
          <w:p w14:paraId="4BC5C35A">
            <w:pP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根据供应商提供的质量保证方案（包括但不限于质量保证承诺、质量保证措施等）进行赋分：</w:t>
            </w:r>
          </w:p>
          <w:p w14:paraId="1F6086EA">
            <w:pPr>
              <w:numPr>
                <w:ilvl w:val="0"/>
                <w:numId w:val="5"/>
              </w:numP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质量保证承诺</w:t>
            </w:r>
          </w:p>
          <w:p w14:paraId="3C3A7C41">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（1）方案全面具体性、措施完善性、科学合理性，完全满足实际工作需要的，得3分；</w:t>
            </w:r>
          </w:p>
          <w:p w14:paraId="59B2885F">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14:paraId="55A1D859">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p w14:paraId="1E0E02A5">
            <w:pPr>
              <w:numPr>
                <w:ilvl w:val="0"/>
                <w:numId w:val="5"/>
              </w:numPr>
              <w:ind w:left="0" w:leftChars="0" w:firstLine="0" w:firstLineChars="0"/>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质量保证措施</w:t>
            </w:r>
          </w:p>
          <w:p w14:paraId="4A9A4E5C">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（1）方案全面具体性、措施完善性、科学合理性，完全满足实际工作需要的，得3分；</w:t>
            </w:r>
          </w:p>
          <w:p w14:paraId="52F93F11">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14:paraId="65B2F2DC">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p w14:paraId="58FEABAE">
            <w:pPr>
              <w:numPr>
                <w:ilvl w:val="0"/>
                <w:numId w:val="5"/>
              </w:numPr>
              <w:ind w:left="0" w:leftChars="0" w:firstLine="0" w:firstLineChars="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方案内容除以上</w:t>
            </w:r>
            <w:r>
              <w:rPr>
                <w:rFonts w:hint="eastAsia" w:ascii="宋体" w:hAnsi="宋体" w:cs="宋体"/>
                <w:b/>
                <w:bCs/>
                <w:color w:val="auto"/>
                <w:sz w:val="21"/>
                <w:szCs w:val="21"/>
                <w:highlight w:val="none"/>
                <w:lang w:val="en-US" w:eastAsia="zh-CN"/>
              </w:rPr>
              <w:t>2</w:t>
            </w:r>
            <w:r>
              <w:rPr>
                <w:rFonts w:hint="eastAsia" w:ascii="宋体" w:hAnsi="宋体" w:eastAsia="宋体" w:cs="宋体"/>
                <w:b/>
                <w:bCs/>
                <w:color w:val="auto"/>
                <w:sz w:val="21"/>
                <w:szCs w:val="21"/>
                <w:highlight w:val="none"/>
              </w:rPr>
              <w:t>个方面外，供应商可根据采购需求、项目特点，提供其他有针对性的措施，对所提供的措施的科学性、合理性、适用性进行赋分：</w:t>
            </w:r>
          </w:p>
          <w:p w14:paraId="4701D711">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（1）方案全面具体性、措施完善性、科学合理性优于项目需求的，得</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分；</w:t>
            </w:r>
          </w:p>
          <w:p w14:paraId="692BD686">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（2）方案全面具体性、措施完善性、科学合理性，基本满足实际工作需要的，得2分；</w:t>
            </w:r>
          </w:p>
          <w:p w14:paraId="5A0F0B5B">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tc>
        <w:tc>
          <w:tcPr>
            <w:tcW w:w="392" w:type="pct"/>
            <w:noWrap w:val="0"/>
            <w:vAlign w:val="center"/>
          </w:tcPr>
          <w:p w14:paraId="29CEDCCB">
            <w:pPr>
              <w:jc w:val="center"/>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val="en-US" w:eastAsia="zh-CN"/>
              </w:rPr>
              <w:t>9</w:t>
            </w:r>
            <w:r>
              <w:rPr>
                <w:rFonts w:hint="eastAsia" w:ascii="宋体" w:hAnsi="宋体" w:eastAsia="宋体" w:cs="宋体"/>
                <w:color w:val="auto"/>
                <w:sz w:val="21"/>
                <w:szCs w:val="21"/>
                <w:highlight w:val="none"/>
                <w:lang w:val="en-US" w:eastAsia="zh-CN"/>
              </w:rPr>
              <w:t>分</w:t>
            </w:r>
          </w:p>
        </w:tc>
      </w:tr>
      <w:tr w14:paraId="5F7B5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306" w:type="pct"/>
            <w:noWrap w:val="0"/>
            <w:vAlign w:val="center"/>
          </w:tcPr>
          <w:p w14:paraId="09A7E6CF">
            <w:pPr>
              <w:spacing w:line="360" w:lineRule="auto"/>
              <w:jc w:val="center"/>
              <w:rPr>
                <w:rFonts w:hint="default" w:ascii="宋体" w:hAnsi="宋体" w:eastAsia="宋体" w:cs="宋体"/>
                <w:b/>
                <w:bCs w:val="0"/>
                <w:color w:val="auto"/>
                <w:kern w:val="0"/>
                <w:sz w:val="21"/>
                <w:szCs w:val="21"/>
                <w:highlight w:val="none"/>
                <w:lang w:val="en-US" w:eastAsia="zh-CN"/>
              </w:rPr>
            </w:pPr>
            <w:r>
              <w:rPr>
                <w:rFonts w:hint="eastAsia" w:ascii="宋体" w:hAnsi="宋体" w:cs="宋体"/>
                <w:b/>
                <w:bCs w:val="0"/>
                <w:color w:val="auto"/>
                <w:kern w:val="0"/>
                <w:sz w:val="21"/>
                <w:szCs w:val="21"/>
                <w:highlight w:val="none"/>
                <w:lang w:val="en-US" w:eastAsia="zh-CN"/>
              </w:rPr>
              <w:t>7</w:t>
            </w:r>
          </w:p>
        </w:tc>
        <w:tc>
          <w:tcPr>
            <w:tcW w:w="467" w:type="pct"/>
            <w:noWrap w:val="0"/>
            <w:vAlign w:val="center"/>
          </w:tcPr>
          <w:p w14:paraId="742C81D4">
            <w:pPr>
              <w:jc w:val="center"/>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售后服务</w:t>
            </w:r>
            <w:r>
              <w:rPr>
                <w:rFonts w:hint="eastAsia" w:ascii="宋体" w:hAnsi="宋体" w:eastAsia="宋体" w:cs="宋体"/>
                <w:b/>
                <w:bCs w:val="0"/>
                <w:color w:val="auto"/>
                <w:sz w:val="21"/>
                <w:szCs w:val="21"/>
                <w:highlight w:val="none"/>
                <w:lang w:eastAsia="zh-CN"/>
              </w:rPr>
              <w:t>方案</w:t>
            </w:r>
          </w:p>
        </w:tc>
        <w:tc>
          <w:tcPr>
            <w:tcW w:w="3834" w:type="pct"/>
            <w:noWrap w:val="0"/>
            <w:vAlign w:val="center"/>
          </w:tcPr>
          <w:p w14:paraId="5BA82BBE">
            <w:pPr>
              <w:pStyle w:val="12"/>
              <w:ind w:right="-10" w:firstLine="0" w:firstLineChars="0"/>
              <w:rPr>
                <w:rFonts w:hint="eastAsia" w:ascii="宋体" w:hAnsi="宋体" w:eastAsia="宋体" w:cs="宋体"/>
                <w:b/>
                <w:bCs w:val="0"/>
                <w:color w:val="auto"/>
                <w:sz w:val="21"/>
                <w:szCs w:val="21"/>
                <w:highlight w:val="none"/>
                <w:lang w:val="en-US" w:eastAsia="zh-CN"/>
              </w:rPr>
            </w:pPr>
            <w:r>
              <w:rPr>
                <w:rFonts w:hint="eastAsia" w:ascii="宋体" w:hAnsi="宋体" w:eastAsia="宋体" w:cs="宋体"/>
                <w:b/>
                <w:bCs w:val="0"/>
                <w:color w:val="auto"/>
                <w:kern w:val="0"/>
                <w:sz w:val="21"/>
                <w:szCs w:val="21"/>
                <w:highlight w:val="none"/>
                <w:lang w:val="en-US" w:eastAsia="zh-CN"/>
              </w:rPr>
              <w:t>根据</w:t>
            </w:r>
            <w:r>
              <w:rPr>
                <w:rFonts w:hint="eastAsia" w:ascii="宋体" w:hAnsi="宋体" w:eastAsia="宋体" w:cs="宋体"/>
                <w:b/>
                <w:bCs w:val="0"/>
                <w:color w:val="auto"/>
                <w:sz w:val="21"/>
                <w:szCs w:val="21"/>
                <w:highlight w:val="none"/>
                <w:lang w:val="en-US" w:eastAsia="zh-CN"/>
              </w:rPr>
              <w:t>供应商</w:t>
            </w:r>
            <w:r>
              <w:rPr>
                <w:rFonts w:hint="eastAsia" w:ascii="宋体" w:hAnsi="宋体" w:eastAsia="宋体" w:cs="宋体"/>
                <w:b/>
                <w:bCs w:val="0"/>
                <w:color w:val="auto"/>
                <w:kern w:val="0"/>
                <w:sz w:val="21"/>
                <w:szCs w:val="21"/>
                <w:highlight w:val="none"/>
                <w:lang w:val="en-US" w:eastAsia="zh-CN"/>
              </w:rPr>
              <w:t>提供的售后服务方案（包括但不限于售后响应时间、</w:t>
            </w:r>
            <w:r>
              <w:rPr>
                <w:rFonts w:hint="eastAsia" w:hAnsi="宋体" w:cs="宋体"/>
                <w:b/>
                <w:bCs/>
                <w:color w:val="auto"/>
                <w:sz w:val="21"/>
                <w:szCs w:val="21"/>
                <w:highlight w:val="none"/>
              </w:rPr>
              <w:t>产品质量存在问题时的退换货方案</w:t>
            </w:r>
            <w:r>
              <w:rPr>
                <w:rFonts w:hint="eastAsia" w:hAnsi="宋体" w:cs="宋体"/>
                <w:b/>
                <w:bCs/>
                <w:color w:val="auto"/>
                <w:sz w:val="21"/>
                <w:szCs w:val="21"/>
                <w:highlight w:val="none"/>
                <w:lang w:eastAsia="zh-CN"/>
              </w:rPr>
              <w:t>、</w:t>
            </w:r>
            <w:r>
              <w:rPr>
                <w:rFonts w:hint="eastAsia" w:hAnsi="宋体" w:cs="宋体"/>
                <w:b/>
                <w:bCs/>
                <w:color w:val="auto"/>
                <w:sz w:val="21"/>
                <w:szCs w:val="21"/>
                <w:highlight w:val="none"/>
              </w:rPr>
              <w:t>应急保障处理措施等</w:t>
            </w:r>
            <w:r>
              <w:rPr>
                <w:rFonts w:hint="eastAsia" w:ascii="宋体" w:hAnsi="宋体" w:eastAsia="宋体" w:cs="宋体"/>
                <w:b/>
                <w:bCs w:val="0"/>
                <w:color w:val="auto"/>
                <w:kern w:val="0"/>
                <w:sz w:val="21"/>
                <w:szCs w:val="21"/>
                <w:highlight w:val="none"/>
                <w:lang w:val="en-US" w:eastAsia="zh-CN"/>
              </w:rPr>
              <w:t>）进行</w:t>
            </w:r>
            <w:r>
              <w:rPr>
                <w:rFonts w:hint="eastAsia" w:ascii="宋体" w:hAnsi="宋体" w:eastAsia="宋体" w:cs="宋体"/>
                <w:b/>
                <w:bCs w:val="0"/>
                <w:color w:val="auto"/>
                <w:sz w:val="21"/>
                <w:szCs w:val="21"/>
                <w:highlight w:val="none"/>
                <w:lang w:val="en-US" w:eastAsia="zh-CN"/>
              </w:rPr>
              <w:t>赋分：</w:t>
            </w:r>
          </w:p>
          <w:p w14:paraId="24BE868E">
            <w:pP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1、</w:t>
            </w:r>
            <w:r>
              <w:rPr>
                <w:rFonts w:hint="eastAsia" w:ascii="宋体" w:hAnsi="宋体" w:eastAsia="宋体" w:cs="宋体"/>
                <w:b/>
                <w:bCs w:val="0"/>
                <w:color w:val="auto"/>
                <w:kern w:val="0"/>
                <w:sz w:val="21"/>
                <w:szCs w:val="21"/>
                <w:highlight w:val="none"/>
                <w:lang w:val="en-US" w:eastAsia="zh-CN"/>
              </w:rPr>
              <w:t>售后响应时间</w:t>
            </w:r>
          </w:p>
          <w:p w14:paraId="27BDD74C">
            <w:pPr>
              <w:pStyle w:val="12"/>
              <w:ind w:right="-10" w:firstLine="0" w:firstLineChars="0"/>
              <w:rPr>
                <w:rFonts w:hAnsi="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hAnsi="宋体" w:cs="宋体"/>
                <w:color w:val="auto"/>
                <w:sz w:val="21"/>
                <w:szCs w:val="21"/>
                <w:highlight w:val="none"/>
              </w:rPr>
              <w:t>方案响应时间快且方案清晰、科学合理，实施规范、完全满足项目需求，得</w:t>
            </w:r>
            <w:r>
              <w:rPr>
                <w:rFonts w:hint="eastAsia" w:hAnsi="宋体" w:cs="宋体"/>
                <w:color w:val="auto"/>
                <w:sz w:val="21"/>
                <w:szCs w:val="21"/>
                <w:highlight w:val="none"/>
                <w:lang w:val="en-US" w:eastAsia="zh-CN"/>
              </w:rPr>
              <w:t>3</w:t>
            </w:r>
            <w:r>
              <w:rPr>
                <w:rFonts w:hint="eastAsia" w:hAnsi="宋体" w:cs="宋体"/>
                <w:color w:val="auto"/>
                <w:sz w:val="21"/>
                <w:szCs w:val="21"/>
                <w:highlight w:val="none"/>
              </w:rPr>
              <w:t>分；</w:t>
            </w:r>
          </w:p>
          <w:p w14:paraId="263C0064">
            <w:pPr>
              <w:pStyle w:val="12"/>
              <w:ind w:right="-10" w:firstLine="0" w:firstLineChars="0"/>
              <w:rPr>
                <w:rFonts w:hAnsi="宋体" w:cs="宋体"/>
                <w:color w:val="auto"/>
                <w:sz w:val="21"/>
                <w:szCs w:val="21"/>
                <w:highlight w:val="none"/>
              </w:rPr>
            </w:pPr>
            <w:r>
              <w:rPr>
                <w:rFonts w:hint="eastAsia" w:hAnsi="宋体" w:cs="宋体"/>
                <w:color w:val="auto"/>
                <w:sz w:val="21"/>
                <w:szCs w:val="21"/>
                <w:highlight w:val="none"/>
              </w:rPr>
              <w:t>（2）方案基本合理可行，有基本的针对性，基本能满足项目需求，得</w:t>
            </w:r>
            <w:r>
              <w:rPr>
                <w:rFonts w:hint="eastAsia" w:hAnsi="宋体" w:cs="宋体"/>
                <w:color w:val="auto"/>
                <w:sz w:val="21"/>
                <w:szCs w:val="21"/>
                <w:highlight w:val="none"/>
                <w:lang w:val="en-US" w:eastAsia="zh-CN"/>
              </w:rPr>
              <w:t>2</w:t>
            </w:r>
            <w:r>
              <w:rPr>
                <w:rFonts w:hint="eastAsia" w:hAnsi="宋体" w:cs="宋体"/>
                <w:color w:val="auto"/>
                <w:sz w:val="21"/>
                <w:szCs w:val="21"/>
                <w:highlight w:val="none"/>
              </w:rPr>
              <w:t>分；</w:t>
            </w:r>
          </w:p>
          <w:p w14:paraId="2D6D9F47">
            <w:pPr>
              <w:pStyle w:val="12"/>
              <w:ind w:right="-10" w:firstLine="0" w:firstLineChars="0"/>
              <w:rPr>
                <w:rFonts w:hint="eastAsia" w:ascii="宋体" w:hAnsi="宋体" w:eastAsia="宋体" w:cs="宋体"/>
                <w:color w:val="auto"/>
                <w:sz w:val="21"/>
                <w:szCs w:val="21"/>
                <w:highlight w:val="none"/>
                <w:lang w:val="en-US" w:eastAsia="zh-CN"/>
              </w:rPr>
            </w:pPr>
            <w:r>
              <w:rPr>
                <w:rFonts w:hint="eastAsia" w:hAnsi="宋体" w:cs="宋体"/>
                <w:color w:val="auto"/>
                <w:sz w:val="21"/>
                <w:szCs w:val="21"/>
                <w:highlight w:val="none"/>
              </w:rPr>
              <w:t>（3）方案不完整、不实用或不提供方案不得分。</w:t>
            </w:r>
          </w:p>
          <w:p w14:paraId="79FBAF5E">
            <w:pPr>
              <w:rPr>
                <w:rFonts w:hint="eastAsia" w:hAnsi="宋体" w:cs="宋体"/>
                <w:b/>
                <w:bCs/>
                <w:color w:val="auto"/>
                <w:sz w:val="21"/>
                <w:szCs w:val="21"/>
                <w:highlight w:val="none"/>
              </w:rPr>
            </w:pPr>
            <w:r>
              <w:rPr>
                <w:rFonts w:hint="eastAsia" w:ascii="宋体" w:hAnsi="宋体" w:cs="宋体"/>
                <w:b/>
                <w:bCs/>
                <w:color w:val="auto"/>
                <w:sz w:val="21"/>
                <w:szCs w:val="21"/>
                <w:highlight w:val="none"/>
                <w:lang w:val="en-US" w:eastAsia="zh-CN"/>
              </w:rPr>
              <w:t>2</w:t>
            </w:r>
            <w:r>
              <w:rPr>
                <w:rFonts w:hint="eastAsia" w:ascii="宋体" w:hAnsi="宋体" w:eastAsia="宋体" w:cs="宋体"/>
                <w:b/>
                <w:bCs/>
                <w:color w:val="auto"/>
                <w:sz w:val="21"/>
                <w:szCs w:val="21"/>
                <w:highlight w:val="none"/>
                <w:lang w:val="en-US" w:eastAsia="zh-CN"/>
              </w:rPr>
              <w:t>、</w:t>
            </w:r>
            <w:r>
              <w:rPr>
                <w:rFonts w:hint="eastAsia" w:hAnsi="宋体" w:cs="宋体"/>
                <w:b/>
                <w:bCs/>
                <w:color w:val="auto"/>
                <w:sz w:val="21"/>
                <w:szCs w:val="21"/>
                <w:highlight w:val="none"/>
              </w:rPr>
              <w:t>产品质量存在问题时的退换货方案</w:t>
            </w:r>
          </w:p>
          <w:p w14:paraId="7AB3F4E1">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（1）方案全面具体性、措施完善性、科学合理性，完全满足实际工作需要的，得3分；</w:t>
            </w:r>
          </w:p>
          <w:p w14:paraId="2AB089D5">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14:paraId="25D643A9">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p w14:paraId="0FF0B42B">
            <w:pPr>
              <w:rPr>
                <w:rFonts w:hint="eastAsia" w:hAnsi="宋体" w:cs="宋体"/>
                <w:b/>
                <w:bCs/>
                <w:color w:val="auto"/>
                <w:sz w:val="21"/>
                <w:szCs w:val="21"/>
                <w:highlight w:val="none"/>
              </w:rPr>
            </w:pPr>
            <w:r>
              <w:rPr>
                <w:rFonts w:hint="eastAsia" w:ascii="宋体" w:hAnsi="宋体" w:cs="宋体"/>
                <w:b/>
                <w:bCs/>
                <w:color w:val="auto"/>
                <w:sz w:val="21"/>
                <w:szCs w:val="21"/>
                <w:highlight w:val="none"/>
                <w:lang w:val="en-US" w:eastAsia="zh-CN"/>
              </w:rPr>
              <w:t>3</w:t>
            </w:r>
            <w:r>
              <w:rPr>
                <w:rFonts w:hint="eastAsia" w:ascii="宋体" w:hAnsi="宋体" w:eastAsia="宋体" w:cs="宋体"/>
                <w:b/>
                <w:bCs/>
                <w:color w:val="auto"/>
                <w:sz w:val="21"/>
                <w:szCs w:val="21"/>
                <w:highlight w:val="none"/>
                <w:lang w:val="en-US" w:eastAsia="zh-CN"/>
              </w:rPr>
              <w:t>、</w:t>
            </w:r>
            <w:r>
              <w:rPr>
                <w:rFonts w:hint="eastAsia" w:hAnsi="宋体" w:cs="宋体"/>
                <w:b/>
                <w:bCs/>
                <w:color w:val="auto"/>
                <w:sz w:val="21"/>
                <w:szCs w:val="21"/>
                <w:highlight w:val="none"/>
              </w:rPr>
              <w:t>应急保障处理措施</w:t>
            </w:r>
          </w:p>
          <w:p w14:paraId="12285117">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（1）方案全面具体性、措施完善性、科学合理性，完全满足实际工作需要的，得3分；</w:t>
            </w:r>
          </w:p>
          <w:p w14:paraId="57223C4D">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14:paraId="09782A1D">
            <w:pPr>
              <w:rPr>
                <w:rFonts w:hint="eastAsia"/>
                <w:color w:val="auto"/>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p w14:paraId="32BCB4AB">
            <w:pPr>
              <w:rPr>
                <w:rFonts w:hint="eastAsia" w:ascii="宋体" w:hAnsi="宋体" w:eastAsia="宋体" w:cs="宋体"/>
                <w:b/>
                <w:bCs/>
                <w:color w:val="auto"/>
                <w:sz w:val="21"/>
                <w:szCs w:val="21"/>
                <w:highlight w:val="none"/>
              </w:rPr>
            </w:pPr>
            <w:r>
              <w:rPr>
                <w:rFonts w:hint="eastAsia" w:hAnsi="宋体" w:cs="宋体"/>
                <w:b/>
                <w:bCs/>
                <w:color w:val="auto"/>
                <w:sz w:val="21"/>
                <w:szCs w:val="21"/>
                <w:highlight w:val="none"/>
                <w:lang w:val="en-US" w:eastAsia="zh-CN"/>
              </w:rPr>
              <w:t>4</w:t>
            </w:r>
            <w:r>
              <w:rPr>
                <w:rFonts w:hint="eastAsia" w:hAnsi="宋体" w:eastAsia="宋体" w:cs="宋体"/>
                <w:b/>
                <w:bCs/>
                <w:color w:val="auto"/>
                <w:sz w:val="21"/>
                <w:szCs w:val="21"/>
                <w:highlight w:val="none"/>
                <w:lang w:val="en-US" w:eastAsia="zh-CN"/>
              </w:rPr>
              <w:t>、</w:t>
            </w:r>
            <w:r>
              <w:rPr>
                <w:rFonts w:hint="eastAsia" w:ascii="宋体" w:hAnsi="宋体" w:eastAsia="宋体" w:cs="宋体"/>
                <w:b/>
                <w:bCs/>
                <w:color w:val="auto"/>
                <w:sz w:val="21"/>
                <w:szCs w:val="21"/>
                <w:highlight w:val="none"/>
              </w:rPr>
              <w:t>方案内容除以上</w:t>
            </w:r>
            <w:r>
              <w:rPr>
                <w:rFonts w:hint="eastAsia" w:ascii="宋体" w:hAnsi="宋体" w:cs="宋体"/>
                <w:b/>
                <w:bCs/>
                <w:color w:val="auto"/>
                <w:sz w:val="21"/>
                <w:szCs w:val="21"/>
                <w:highlight w:val="none"/>
                <w:lang w:val="en-US" w:eastAsia="zh-CN"/>
              </w:rPr>
              <w:t>3</w:t>
            </w:r>
            <w:r>
              <w:rPr>
                <w:rFonts w:hint="eastAsia" w:ascii="宋体" w:hAnsi="宋体" w:eastAsia="宋体" w:cs="宋体"/>
                <w:b/>
                <w:bCs/>
                <w:color w:val="auto"/>
                <w:sz w:val="21"/>
                <w:szCs w:val="21"/>
                <w:highlight w:val="none"/>
              </w:rPr>
              <w:t>个方面外，供应商可根据采购需求、项目特点，提供其他有针对性的措施，对所提供的措施的科学性、合理性、适用性进行赋分：</w:t>
            </w:r>
          </w:p>
          <w:p w14:paraId="4956C73E">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（1）方案全面具体性、措施完善性、科学合理性优于项目需求的，得</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分；</w:t>
            </w:r>
          </w:p>
          <w:p w14:paraId="507D8C5D">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（2）方案全面具体性、措施完善性、科学合理性，基本满足实际工作需要的，得2分；</w:t>
            </w:r>
          </w:p>
          <w:p w14:paraId="77BA3174">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tc>
        <w:tc>
          <w:tcPr>
            <w:tcW w:w="392" w:type="pct"/>
            <w:noWrap w:val="0"/>
            <w:vAlign w:val="center"/>
          </w:tcPr>
          <w:p w14:paraId="27BFBFB7">
            <w:pPr>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r>
              <w:rPr>
                <w:rFonts w:hint="eastAsia" w:ascii="宋体" w:hAnsi="宋体" w:eastAsia="宋体" w:cs="宋体"/>
                <w:color w:val="auto"/>
                <w:sz w:val="21"/>
                <w:szCs w:val="21"/>
                <w:highlight w:val="none"/>
                <w:lang w:val="en-US" w:eastAsia="zh-CN"/>
              </w:rPr>
              <w:t>分</w:t>
            </w:r>
          </w:p>
        </w:tc>
      </w:tr>
      <w:tr w14:paraId="04628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3" w:hRule="atLeast"/>
          <w:jc w:val="center"/>
        </w:trPr>
        <w:tc>
          <w:tcPr>
            <w:tcW w:w="306" w:type="pct"/>
            <w:noWrap w:val="0"/>
            <w:vAlign w:val="center"/>
          </w:tcPr>
          <w:p w14:paraId="3A7A01DA">
            <w:pPr>
              <w:spacing w:line="360" w:lineRule="auto"/>
              <w:jc w:val="center"/>
              <w:rPr>
                <w:rFonts w:hint="eastAsia" w:ascii="宋体" w:hAnsi="宋体" w:eastAsia="宋体" w:cs="宋体"/>
                <w:b/>
                <w:bCs w:val="0"/>
                <w:color w:val="auto"/>
                <w:kern w:val="0"/>
                <w:sz w:val="21"/>
                <w:szCs w:val="21"/>
                <w:highlight w:val="none"/>
                <w:lang w:val="en-US" w:eastAsia="zh-CN"/>
              </w:rPr>
            </w:pPr>
            <w:r>
              <w:rPr>
                <w:rFonts w:hint="eastAsia" w:ascii="宋体" w:hAnsi="宋体" w:cs="宋体"/>
                <w:b/>
                <w:bCs w:val="0"/>
                <w:color w:val="auto"/>
                <w:kern w:val="0"/>
                <w:sz w:val="21"/>
                <w:szCs w:val="21"/>
                <w:highlight w:val="none"/>
                <w:lang w:val="en-US" w:eastAsia="zh-CN"/>
              </w:rPr>
              <w:t>8</w:t>
            </w:r>
          </w:p>
        </w:tc>
        <w:tc>
          <w:tcPr>
            <w:tcW w:w="467" w:type="pct"/>
            <w:noWrap w:val="0"/>
            <w:vAlign w:val="center"/>
          </w:tcPr>
          <w:p w14:paraId="1FA73509">
            <w:pPr>
              <w:jc w:val="center"/>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投标</w:t>
            </w:r>
          </w:p>
          <w:p w14:paraId="2E943833">
            <w:pPr>
              <w:jc w:val="center"/>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价格</w:t>
            </w:r>
          </w:p>
        </w:tc>
        <w:tc>
          <w:tcPr>
            <w:tcW w:w="3834" w:type="pct"/>
            <w:noWrap w:val="0"/>
            <w:vAlign w:val="center"/>
          </w:tcPr>
          <w:p w14:paraId="57EF072C">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价格分采用低价优先法计算，即满足</w:t>
            </w:r>
            <w:r>
              <w:rPr>
                <w:rFonts w:hint="eastAsia" w:ascii="宋体" w:hAnsi="宋体" w:eastAsia="宋体" w:cs="宋体"/>
                <w:color w:val="auto"/>
                <w:sz w:val="21"/>
                <w:szCs w:val="21"/>
                <w:highlight w:val="none"/>
                <w:lang w:eastAsia="zh-CN"/>
              </w:rPr>
              <w:t>磋商</w:t>
            </w:r>
            <w:r>
              <w:rPr>
                <w:rFonts w:hint="eastAsia" w:ascii="宋体" w:hAnsi="宋体" w:eastAsia="宋体" w:cs="宋体"/>
                <w:color w:val="auto"/>
                <w:sz w:val="21"/>
                <w:szCs w:val="21"/>
                <w:highlight w:val="none"/>
              </w:rPr>
              <w:t>文件要求且最后报价最低的供应商报价为磋商基准价，其价格分为满分</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0分，其它供应商的价格分统一按照以下公式计算：磋商报价得分＝（磋商基准价/最后磋商报价）×价格权值×100。</w:t>
            </w:r>
          </w:p>
        </w:tc>
        <w:tc>
          <w:tcPr>
            <w:tcW w:w="392" w:type="pct"/>
            <w:noWrap w:val="0"/>
            <w:vAlign w:val="center"/>
          </w:tcPr>
          <w:p w14:paraId="3C7F1180">
            <w:pPr>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30分</w:t>
            </w:r>
          </w:p>
        </w:tc>
      </w:tr>
    </w:tbl>
    <w:p w14:paraId="473720D5">
      <w:pPr>
        <w:rPr>
          <w:rFonts w:hint="eastAsia" w:ascii="宋体" w:hAnsi="宋体" w:cs="宋体"/>
          <w:b/>
          <w:bCs/>
          <w:color w:val="auto"/>
          <w:sz w:val="36"/>
          <w:szCs w:val="36"/>
          <w:highlight w:val="none"/>
        </w:rPr>
      </w:pPr>
      <w:r>
        <w:rPr>
          <w:rFonts w:hint="eastAsia" w:ascii="宋体" w:hAnsi="宋体" w:cs="宋体"/>
          <w:b/>
          <w:bCs/>
          <w:color w:val="auto"/>
          <w:sz w:val="36"/>
          <w:szCs w:val="36"/>
          <w:highlight w:val="none"/>
        </w:rPr>
        <w:br w:type="page"/>
      </w:r>
    </w:p>
    <w:p w14:paraId="4DDF0CB8">
      <w:pPr>
        <w:spacing w:before="159" w:after="159" w:line="440" w:lineRule="exact"/>
        <w:jc w:val="center"/>
        <w:rPr>
          <w:rFonts w:hint="default" w:ascii="宋体" w:hAnsi="宋体" w:eastAsia="宋体" w:cs="宋体"/>
          <w:b/>
          <w:bCs/>
          <w:color w:val="auto"/>
          <w:sz w:val="36"/>
          <w:szCs w:val="36"/>
          <w:highlight w:val="none"/>
          <w:lang w:val="en-US" w:eastAsia="zh-CN"/>
        </w:rPr>
      </w:pPr>
      <w:r>
        <w:rPr>
          <w:rFonts w:hint="eastAsia" w:ascii="宋体" w:hAnsi="宋体" w:cs="宋体"/>
          <w:b/>
          <w:bCs/>
          <w:color w:val="auto"/>
          <w:sz w:val="36"/>
          <w:szCs w:val="36"/>
          <w:highlight w:val="none"/>
        </w:rPr>
        <w:t>详细评审标准</w:t>
      </w:r>
      <w:r>
        <w:rPr>
          <w:rFonts w:hint="eastAsia" w:ascii="宋体" w:hAnsi="宋体" w:cs="宋体"/>
          <w:b/>
          <w:bCs/>
          <w:color w:val="auto"/>
          <w:sz w:val="36"/>
          <w:szCs w:val="36"/>
          <w:highlight w:val="none"/>
          <w:lang w:val="en-US" w:eastAsia="zh-CN"/>
        </w:rPr>
        <w:t>-B包</w:t>
      </w:r>
    </w:p>
    <w:p w14:paraId="210DE4BC">
      <w:pPr>
        <w:pStyle w:val="11"/>
        <w:rPr>
          <w:rFonts w:hint="eastAsia"/>
          <w:color w:val="auto"/>
        </w:rPr>
      </w:pPr>
    </w:p>
    <w:tbl>
      <w:tblPr>
        <w:tblStyle w:val="23"/>
        <w:tblW w:w="570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3"/>
        <w:gridCol w:w="953"/>
        <w:gridCol w:w="7827"/>
        <w:gridCol w:w="800"/>
      </w:tblGrid>
      <w:tr w14:paraId="33DA1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5" w:type="pct"/>
            <w:noWrap w:val="0"/>
            <w:vAlign w:val="center"/>
          </w:tcPr>
          <w:p w14:paraId="63D531ED">
            <w:pPr>
              <w:spacing w:line="36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
                <w:bCs/>
                <w:color w:val="auto"/>
                <w:sz w:val="21"/>
                <w:szCs w:val="21"/>
                <w:highlight w:val="none"/>
                <w:lang w:bidi="ar-SA"/>
              </w:rPr>
              <w:t>序号</w:t>
            </w:r>
          </w:p>
        </w:tc>
        <w:tc>
          <w:tcPr>
            <w:tcW w:w="467" w:type="pct"/>
            <w:noWrap w:val="0"/>
            <w:vAlign w:val="center"/>
          </w:tcPr>
          <w:p w14:paraId="5ED0F73F">
            <w:pPr>
              <w:spacing w:line="360" w:lineRule="auto"/>
              <w:jc w:val="center"/>
              <w:rPr>
                <w:rFonts w:hint="eastAsia" w:ascii="宋体" w:hAnsi="宋体" w:eastAsia="宋体" w:cs="宋体"/>
                <w:b/>
                <w:bCs/>
                <w:color w:val="auto"/>
                <w:sz w:val="21"/>
                <w:szCs w:val="21"/>
                <w:highlight w:val="none"/>
                <w:lang w:bidi="ar-SA"/>
              </w:rPr>
            </w:pPr>
            <w:r>
              <w:rPr>
                <w:rFonts w:hint="eastAsia" w:ascii="宋体" w:hAnsi="宋体" w:eastAsia="宋体" w:cs="宋体"/>
                <w:b/>
                <w:bCs/>
                <w:color w:val="auto"/>
                <w:sz w:val="21"/>
                <w:szCs w:val="21"/>
                <w:highlight w:val="none"/>
                <w:lang w:bidi="ar-SA"/>
              </w:rPr>
              <w:t>评分</w:t>
            </w:r>
          </w:p>
          <w:p w14:paraId="2236A15D">
            <w:pPr>
              <w:spacing w:line="36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
                <w:bCs/>
                <w:color w:val="auto"/>
                <w:sz w:val="21"/>
                <w:szCs w:val="21"/>
                <w:highlight w:val="none"/>
                <w:lang w:bidi="ar-SA"/>
              </w:rPr>
              <w:t>项目</w:t>
            </w:r>
          </w:p>
        </w:tc>
        <w:tc>
          <w:tcPr>
            <w:tcW w:w="3835" w:type="pct"/>
            <w:noWrap w:val="0"/>
            <w:vAlign w:val="center"/>
          </w:tcPr>
          <w:p w14:paraId="587EFBBE">
            <w:pPr>
              <w:spacing w:line="36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
                <w:bCs/>
                <w:color w:val="auto"/>
                <w:sz w:val="21"/>
                <w:szCs w:val="21"/>
                <w:highlight w:val="none"/>
                <w:lang w:bidi="ar-SA"/>
              </w:rPr>
              <w:t>评分内容</w:t>
            </w:r>
          </w:p>
        </w:tc>
        <w:tc>
          <w:tcPr>
            <w:tcW w:w="392" w:type="pct"/>
            <w:noWrap w:val="0"/>
            <w:vAlign w:val="center"/>
          </w:tcPr>
          <w:p w14:paraId="185C1D23">
            <w:pPr>
              <w:spacing w:line="36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
                <w:bCs/>
                <w:color w:val="auto"/>
                <w:sz w:val="21"/>
                <w:szCs w:val="21"/>
                <w:highlight w:val="none"/>
                <w:lang w:bidi="ar-SA"/>
              </w:rPr>
              <w:t>分值</w:t>
            </w:r>
          </w:p>
        </w:tc>
      </w:tr>
      <w:tr w14:paraId="11799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5" w:type="pct"/>
            <w:noWrap w:val="0"/>
            <w:vAlign w:val="center"/>
          </w:tcPr>
          <w:p w14:paraId="63C238A4">
            <w:pPr>
              <w:spacing w:line="360" w:lineRule="auto"/>
              <w:jc w:val="center"/>
              <w:rPr>
                <w:rFonts w:hint="default" w:ascii="宋体" w:hAnsi="宋体" w:eastAsia="宋体" w:cs="宋体"/>
                <w:b/>
                <w:bCs w:val="0"/>
                <w:color w:val="auto"/>
                <w:kern w:val="0"/>
                <w:sz w:val="21"/>
                <w:szCs w:val="21"/>
                <w:highlight w:val="none"/>
                <w:lang w:val="en-US" w:eastAsia="zh-CN"/>
              </w:rPr>
            </w:pPr>
            <w:r>
              <w:rPr>
                <w:rFonts w:hint="eastAsia" w:ascii="宋体" w:hAnsi="宋体" w:cs="宋体"/>
                <w:b/>
                <w:bCs w:val="0"/>
                <w:color w:val="auto"/>
                <w:kern w:val="0"/>
                <w:sz w:val="21"/>
                <w:szCs w:val="21"/>
                <w:highlight w:val="none"/>
                <w:lang w:val="en-US" w:eastAsia="zh-CN"/>
              </w:rPr>
              <w:t>1</w:t>
            </w:r>
          </w:p>
        </w:tc>
        <w:tc>
          <w:tcPr>
            <w:tcW w:w="467" w:type="pct"/>
            <w:noWrap w:val="0"/>
            <w:vAlign w:val="center"/>
          </w:tcPr>
          <w:p w14:paraId="6804786F">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不带</w:t>
            </w:r>
            <w:r>
              <w:rPr>
                <w:rFonts w:hint="eastAsia" w:ascii="宋体" w:hAnsi="宋体" w:eastAsia="宋体" w:cs="宋体"/>
                <w:color w:val="auto"/>
                <w:sz w:val="21"/>
                <w:szCs w:val="21"/>
              </w:rPr>
              <w:t>★</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w:t>
            </w:r>
            <w:r>
              <w:rPr>
                <w:rFonts w:hint="eastAsia" w:ascii="宋体" w:hAnsi="宋体" w:eastAsia="宋体" w:cs="宋体"/>
                <w:color w:val="auto"/>
                <w:sz w:val="21"/>
                <w:szCs w:val="21"/>
                <w:lang w:eastAsia="zh-CN"/>
              </w:rPr>
              <w:t>的</w:t>
            </w:r>
            <w:r>
              <w:rPr>
                <w:rFonts w:hint="eastAsia" w:ascii="宋体" w:hAnsi="宋体" w:eastAsia="宋体" w:cs="宋体"/>
                <w:color w:val="auto"/>
                <w:sz w:val="21"/>
                <w:szCs w:val="21"/>
                <w:lang w:val="en-US" w:eastAsia="zh-CN"/>
              </w:rPr>
              <w:t>一般性技术参数及要求</w:t>
            </w:r>
          </w:p>
        </w:tc>
        <w:tc>
          <w:tcPr>
            <w:tcW w:w="3835" w:type="pct"/>
            <w:noWrap w:val="0"/>
            <w:vAlign w:val="center"/>
          </w:tcPr>
          <w:p w14:paraId="1580AA7C">
            <w:pPr>
              <w:pStyle w:val="10"/>
              <w:pageBreakBefore w:val="0"/>
              <w:kinsoku/>
              <w:overflowPunct/>
              <w:topLinePunct w:val="0"/>
              <w:autoSpaceDE/>
              <w:autoSpaceDN/>
              <w:bidi w:val="0"/>
              <w:spacing w:line="360" w:lineRule="auto"/>
              <w:rPr>
                <w:rFonts w:hint="eastAsia" w:ascii="宋体" w:hAnsi="宋体" w:eastAsia="宋体" w:cs="宋体"/>
                <w:color w:val="auto"/>
                <w:sz w:val="21"/>
                <w:szCs w:val="21"/>
                <w:lang w:val="en-US" w:eastAsia="zh-CN"/>
              </w:rPr>
            </w:pPr>
            <w:bookmarkStart w:id="26" w:name="_GoBack"/>
            <w:r>
              <w:rPr>
                <w:rFonts w:hint="eastAsia" w:ascii="宋体" w:hAnsi="宋体" w:eastAsia="宋体" w:cs="宋体"/>
                <w:color w:val="auto"/>
                <w:sz w:val="21"/>
                <w:szCs w:val="21"/>
                <w:lang w:val="en-US" w:eastAsia="zh-CN"/>
              </w:rPr>
              <w:t>根据采购文件“第三章《采购需求》 二、采购清单及技术参数”的全部产品（B包共68项），共有68项投标产品性能指标及技术参数完全满足不带</w:t>
            </w:r>
            <w:r>
              <w:rPr>
                <w:rFonts w:hint="eastAsia" w:ascii="宋体" w:hAnsi="宋体" w:eastAsia="宋体" w:cs="宋体"/>
                <w:color w:val="auto"/>
                <w:sz w:val="21"/>
                <w:szCs w:val="21"/>
              </w:rPr>
              <w:t>★</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▲的一般性技术参数及要求的得25分；</w:t>
            </w:r>
          </w:p>
          <w:p w14:paraId="65E87BFD">
            <w:pPr>
              <w:pStyle w:val="10"/>
              <w:pageBreakBefore w:val="0"/>
              <w:kinsoku/>
              <w:overflowPunct/>
              <w:topLinePunct w:val="0"/>
              <w:autoSpaceDE/>
              <w:autoSpaceDN/>
              <w:bidi w:val="0"/>
              <w:spacing w:line="360" w:lineRule="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共有67-64项投标产品性能指标及技术参数完全满足不带</w:t>
            </w:r>
            <w:r>
              <w:rPr>
                <w:rFonts w:hint="eastAsia" w:ascii="宋体" w:hAnsi="宋体" w:eastAsia="宋体" w:cs="宋体"/>
                <w:color w:val="auto"/>
                <w:sz w:val="21"/>
                <w:szCs w:val="21"/>
              </w:rPr>
              <w:t>★</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▲的一般性技术参数及要求的得21分；</w:t>
            </w:r>
          </w:p>
          <w:p w14:paraId="452F41AD">
            <w:pPr>
              <w:pStyle w:val="10"/>
              <w:pageBreakBefore w:val="0"/>
              <w:kinsoku/>
              <w:overflowPunct/>
              <w:topLinePunct w:val="0"/>
              <w:autoSpaceDE/>
              <w:autoSpaceDN/>
              <w:bidi w:val="0"/>
              <w:spacing w:line="360" w:lineRule="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共有63-61项投标产品性能指标及技术参数完全满足不带</w:t>
            </w:r>
            <w:r>
              <w:rPr>
                <w:rFonts w:hint="eastAsia" w:ascii="宋体" w:hAnsi="宋体" w:eastAsia="宋体" w:cs="宋体"/>
                <w:color w:val="auto"/>
                <w:sz w:val="21"/>
                <w:szCs w:val="21"/>
              </w:rPr>
              <w:t>★</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▲的一般性技术参数及要求的得17分；</w:t>
            </w:r>
          </w:p>
          <w:p w14:paraId="6B0EC06C">
            <w:pPr>
              <w:pStyle w:val="10"/>
              <w:pageBreakBefore w:val="0"/>
              <w:kinsoku/>
              <w:overflowPunct/>
              <w:topLinePunct w:val="0"/>
              <w:autoSpaceDE/>
              <w:autoSpaceDN/>
              <w:bidi w:val="0"/>
              <w:spacing w:line="360" w:lineRule="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共有60-57项投标产品性能指标及技术参数完全满足不带</w:t>
            </w:r>
            <w:r>
              <w:rPr>
                <w:rFonts w:hint="eastAsia" w:ascii="宋体" w:hAnsi="宋体" w:eastAsia="宋体" w:cs="宋体"/>
                <w:color w:val="auto"/>
                <w:sz w:val="21"/>
                <w:szCs w:val="21"/>
              </w:rPr>
              <w:t>★</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▲的一般性技术参数及要求的得13分；</w:t>
            </w:r>
          </w:p>
          <w:p w14:paraId="3C5DCD88">
            <w:pPr>
              <w:pStyle w:val="10"/>
              <w:pageBreakBefore w:val="0"/>
              <w:kinsoku/>
              <w:overflowPunct/>
              <w:topLinePunct w:val="0"/>
              <w:autoSpaceDE/>
              <w:autoSpaceDN/>
              <w:bidi w:val="0"/>
              <w:spacing w:line="360" w:lineRule="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共有56-54项投标产品性能指标及技术参数完全满足不带</w:t>
            </w:r>
            <w:r>
              <w:rPr>
                <w:rFonts w:hint="eastAsia" w:ascii="宋体" w:hAnsi="宋体" w:eastAsia="宋体" w:cs="宋体"/>
                <w:color w:val="auto"/>
                <w:sz w:val="21"/>
                <w:szCs w:val="21"/>
              </w:rPr>
              <w:t>★</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▲的一般性技术参数及要求的得9分；其余情况不得分。</w:t>
            </w:r>
          </w:p>
          <w:p w14:paraId="6CAA4E1D">
            <w:pP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注明：漏报技术参数视为不满足。</w:t>
            </w:r>
            <w:bookmarkEnd w:id="26"/>
          </w:p>
        </w:tc>
        <w:tc>
          <w:tcPr>
            <w:tcW w:w="392" w:type="pct"/>
            <w:noWrap w:val="0"/>
            <w:vAlign w:val="center"/>
          </w:tcPr>
          <w:p w14:paraId="46468EFA">
            <w:pPr>
              <w:spacing w:line="360" w:lineRule="auto"/>
              <w:jc w:val="center"/>
              <w:rPr>
                <w:rFonts w:hint="default" w:ascii="宋体" w:hAnsi="宋体" w:cs="宋体"/>
                <w:bCs/>
                <w:color w:val="auto"/>
                <w:kern w:val="0"/>
                <w:sz w:val="21"/>
                <w:szCs w:val="21"/>
                <w:highlight w:val="none"/>
                <w:lang w:val="en-US" w:eastAsia="zh-CN"/>
              </w:rPr>
            </w:pPr>
            <w:r>
              <w:rPr>
                <w:rFonts w:hint="eastAsia" w:ascii="宋体" w:hAnsi="宋体" w:cs="宋体"/>
                <w:bCs/>
                <w:color w:val="auto"/>
                <w:kern w:val="0"/>
                <w:sz w:val="21"/>
                <w:szCs w:val="21"/>
                <w:highlight w:val="none"/>
                <w:lang w:val="en-US" w:eastAsia="zh-CN"/>
              </w:rPr>
              <w:t>25分</w:t>
            </w:r>
          </w:p>
        </w:tc>
      </w:tr>
      <w:tr w14:paraId="21875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5" w:type="pct"/>
            <w:noWrap w:val="0"/>
            <w:vAlign w:val="center"/>
          </w:tcPr>
          <w:p w14:paraId="04D16422">
            <w:pPr>
              <w:spacing w:line="360" w:lineRule="auto"/>
              <w:jc w:val="center"/>
              <w:rPr>
                <w:rFonts w:hint="eastAsia" w:ascii="宋体" w:hAnsi="宋体" w:eastAsia="宋体" w:cs="宋体"/>
                <w:b/>
                <w:bCs w:val="0"/>
                <w:color w:val="auto"/>
                <w:sz w:val="21"/>
                <w:szCs w:val="21"/>
                <w:highlight w:val="none"/>
                <w:lang w:val="en-US" w:eastAsia="zh-CN"/>
              </w:rPr>
            </w:pPr>
            <w:r>
              <w:rPr>
                <w:rFonts w:hint="eastAsia" w:ascii="宋体" w:hAnsi="宋体" w:cs="宋体"/>
                <w:b/>
                <w:bCs w:val="0"/>
                <w:color w:val="auto"/>
                <w:sz w:val="21"/>
                <w:szCs w:val="21"/>
                <w:highlight w:val="none"/>
                <w:lang w:val="en-US" w:eastAsia="zh-CN"/>
              </w:rPr>
              <w:t>2</w:t>
            </w:r>
          </w:p>
        </w:tc>
        <w:tc>
          <w:tcPr>
            <w:tcW w:w="467" w:type="pct"/>
            <w:noWrap w:val="0"/>
            <w:vAlign w:val="center"/>
          </w:tcPr>
          <w:p w14:paraId="5DE77145">
            <w:pPr>
              <w:jc w:val="center"/>
              <w:rPr>
                <w:rFonts w:hint="eastAsia" w:ascii="宋体" w:hAnsi="宋体" w:eastAsia="宋体" w:cs="宋体"/>
                <w:b/>
                <w:bCs w:val="0"/>
                <w:color w:val="auto"/>
                <w:sz w:val="21"/>
                <w:szCs w:val="21"/>
                <w:highlight w:val="none"/>
                <w:lang w:val="en-US" w:eastAsia="zh-CN"/>
              </w:rPr>
            </w:pPr>
            <w:r>
              <w:rPr>
                <w:rFonts w:hint="eastAsia" w:ascii="宋体" w:hAnsi="宋体" w:eastAsia="宋体" w:cs="宋体"/>
                <w:b/>
                <w:bCs w:val="0"/>
                <w:color w:val="auto"/>
                <w:sz w:val="21"/>
                <w:szCs w:val="21"/>
                <w:highlight w:val="none"/>
                <w:lang w:val="en-US" w:eastAsia="zh-CN"/>
              </w:rPr>
              <w:t>类似</w:t>
            </w:r>
          </w:p>
          <w:p w14:paraId="035F436E">
            <w:pPr>
              <w:jc w:val="center"/>
              <w:rPr>
                <w:rFonts w:hint="eastAsia" w:ascii="宋体" w:hAnsi="宋体" w:eastAsia="宋体" w:cs="宋体"/>
                <w:b/>
                <w:bCs w:val="0"/>
                <w:color w:val="auto"/>
                <w:sz w:val="21"/>
                <w:szCs w:val="21"/>
                <w:highlight w:val="none"/>
                <w:lang w:val="en-US" w:eastAsia="zh-CN"/>
              </w:rPr>
            </w:pPr>
            <w:r>
              <w:rPr>
                <w:rFonts w:hint="eastAsia" w:ascii="宋体" w:hAnsi="宋体" w:eastAsia="宋体" w:cs="宋体"/>
                <w:b/>
                <w:bCs w:val="0"/>
                <w:color w:val="auto"/>
                <w:sz w:val="21"/>
                <w:szCs w:val="21"/>
                <w:highlight w:val="none"/>
                <w:lang w:val="en-US" w:eastAsia="zh-CN"/>
              </w:rPr>
              <w:t>业绩</w:t>
            </w:r>
          </w:p>
        </w:tc>
        <w:tc>
          <w:tcPr>
            <w:tcW w:w="3835" w:type="pct"/>
            <w:noWrap w:val="0"/>
            <w:vAlign w:val="center"/>
          </w:tcPr>
          <w:p w14:paraId="64AAA457">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供应商202</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年1月1日至今（以合同签订时间为准），具有类似项目业绩每提供一份项目合同，得</w:t>
            </w:r>
            <w:r>
              <w:rPr>
                <w:rFonts w:hint="eastAsia" w:ascii="宋体" w:hAnsi="宋体" w:cs="宋体"/>
                <w:color w:val="auto"/>
                <w:sz w:val="21"/>
                <w:szCs w:val="21"/>
                <w:highlight w:val="none"/>
                <w:lang w:val="en-US" w:eastAsia="zh-CN"/>
              </w:rPr>
              <w:t>1.5</w:t>
            </w:r>
            <w:r>
              <w:rPr>
                <w:rFonts w:hint="eastAsia" w:ascii="宋体" w:hAnsi="宋体" w:eastAsia="宋体" w:cs="宋体"/>
                <w:color w:val="auto"/>
                <w:sz w:val="21"/>
                <w:szCs w:val="21"/>
                <w:highlight w:val="none"/>
                <w:lang w:val="en-US" w:eastAsia="zh-CN"/>
              </w:rPr>
              <w:t>分，满分</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分。</w:t>
            </w:r>
          </w:p>
          <w:p w14:paraId="1212DDF7">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注：提供合同复印件加盖公章。</w:t>
            </w: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须对所</w:t>
            </w:r>
            <w:r>
              <w:rPr>
                <w:rFonts w:hint="eastAsia" w:ascii="宋体" w:hAnsi="宋体" w:cs="宋体"/>
                <w:color w:val="auto"/>
                <w:sz w:val="21"/>
                <w:szCs w:val="21"/>
                <w:highlight w:val="none"/>
                <w:lang w:val="en-US" w:eastAsia="zh-CN"/>
              </w:rPr>
              <w:t>提供业绩</w:t>
            </w:r>
            <w:r>
              <w:rPr>
                <w:rFonts w:hint="eastAsia" w:ascii="宋体" w:hAnsi="宋体" w:eastAsia="宋体" w:cs="宋体"/>
                <w:color w:val="auto"/>
                <w:sz w:val="21"/>
                <w:szCs w:val="21"/>
                <w:highlight w:val="none"/>
                <w:lang w:val="en-US" w:eastAsia="zh-CN"/>
              </w:rPr>
              <w:t>的真实性负责，提供虚假</w:t>
            </w:r>
            <w:r>
              <w:rPr>
                <w:rFonts w:hint="eastAsia" w:ascii="宋体" w:hAnsi="宋体" w:cs="宋体"/>
                <w:color w:val="auto"/>
                <w:sz w:val="21"/>
                <w:szCs w:val="21"/>
                <w:highlight w:val="none"/>
                <w:lang w:val="en-US" w:eastAsia="zh-CN"/>
              </w:rPr>
              <w:t>业绩</w:t>
            </w:r>
            <w:r>
              <w:rPr>
                <w:rFonts w:hint="eastAsia" w:ascii="宋体" w:hAnsi="宋体" w:eastAsia="宋体" w:cs="宋体"/>
                <w:color w:val="auto"/>
                <w:sz w:val="21"/>
                <w:szCs w:val="21"/>
                <w:highlight w:val="none"/>
                <w:lang w:val="en-US" w:eastAsia="zh-CN"/>
              </w:rPr>
              <w:t>，伪造</w:t>
            </w:r>
            <w:r>
              <w:rPr>
                <w:rFonts w:hint="eastAsia" w:ascii="宋体" w:hAnsi="宋体" w:cs="宋体"/>
                <w:color w:val="auto"/>
                <w:sz w:val="21"/>
                <w:szCs w:val="21"/>
                <w:highlight w:val="none"/>
                <w:lang w:val="en-US" w:eastAsia="zh-CN"/>
              </w:rPr>
              <w:t>业绩的，</w:t>
            </w:r>
            <w:r>
              <w:rPr>
                <w:rFonts w:hint="eastAsia" w:ascii="宋体" w:hAnsi="宋体" w:eastAsia="宋体" w:cs="宋体"/>
                <w:color w:val="auto"/>
                <w:sz w:val="21"/>
                <w:szCs w:val="21"/>
                <w:highlight w:val="none"/>
                <w:lang w:val="en-US" w:eastAsia="zh-CN"/>
              </w:rPr>
              <w:t>按</w:t>
            </w:r>
            <w:r>
              <w:rPr>
                <w:rFonts w:hint="eastAsia" w:ascii="宋体" w:hAnsi="宋体" w:cs="宋体"/>
                <w:color w:val="auto"/>
                <w:sz w:val="21"/>
                <w:szCs w:val="21"/>
                <w:highlight w:val="none"/>
                <w:lang w:val="en-US" w:eastAsia="zh-CN"/>
              </w:rPr>
              <w:t>无效投标</w:t>
            </w:r>
            <w:r>
              <w:rPr>
                <w:rFonts w:hint="eastAsia" w:ascii="宋体" w:hAnsi="宋体" w:eastAsia="宋体" w:cs="宋体"/>
                <w:color w:val="auto"/>
                <w:sz w:val="21"/>
                <w:szCs w:val="21"/>
                <w:highlight w:val="none"/>
                <w:lang w:val="en-US" w:eastAsia="zh-CN"/>
              </w:rPr>
              <w:t>处理，并上报</w:t>
            </w:r>
            <w:r>
              <w:rPr>
                <w:rFonts w:hint="eastAsia" w:ascii="宋体" w:hAnsi="宋体" w:cs="宋体"/>
                <w:color w:val="auto"/>
                <w:sz w:val="21"/>
                <w:szCs w:val="21"/>
                <w:highlight w:val="none"/>
                <w:lang w:val="en-US" w:eastAsia="zh-CN"/>
              </w:rPr>
              <w:t>相关</w:t>
            </w:r>
            <w:r>
              <w:rPr>
                <w:rFonts w:hint="eastAsia" w:ascii="宋体" w:hAnsi="宋体" w:eastAsia="宋体" w:cs="宋体"/>
                <w:color w:val="auto"/>
                <w:sz w:val="21"/>
                <w:szCs w:val="21"/>
                <w:highlight w:val="none"/>
                <w:lang w:val="en-US" w:eastAsia="zh-CN"/>
              </w:rPr>
              <w:t>主管部门进行严肃处理</w:t>
            </w:r>
            <w:r>
              <w:rPr>
                <w:rFonts w:hint="eastAsia" w:ascii="宋体" w:hAnsi="宋体" w:cs="宋体"/>
                <w:color w:val="auto"/>
                <w:sz w:val="21"/>
                <w:szCs w:val="21"/>
                <w:highlight w:val="none"/>
                <w:lang w:val="en-US" w:eastAsia="zh-CN"/>
              </w:rPr>
              <w:t>。</w:t>
            </w:r>
          </w:p>
        </w:tc>
        <w:tc>
          <w:tcPr>
            <w:tcW w:w="392" w:type="pct"/>
            <w:noWrap w:val="0"/>
            <w:vAlign w:val="center"/>
          </w:tcPr>
          <w:p w14:paraId="335F430A">
            <w:pPr>
              <w:spacing w:line="360" w:lineRule="auto"/>
              <w:jc w:val="center"/>
              <w:rPr>
                <w:rFonts w:hint="eastAsia" w:ascii="宋体" w:hAnsi="宋体" w:eastAsia="宋体" w:cs="宋体"/>
                <w:bCs/>
                <w:color w:val="auto"/>
                <w:kern w:val="0"/>
                <w:sz w:val="21"/>
                <w:szCs w:val="21"/>
                <w:highlight w:val="none"/>
              </w:rPr>
            </w:pPr>
            <w:r>
              <w:rPr>
                <w:rFonts w:hint="eastAsia" w:ascii="宋体" w:hAnsi="宋体" w:cs="宋体"/>
                <w:bCs/>
                <w:color w:val="auto"/>
                <w:kern w:val="0"/>
                <w:sz w:val="21"/>
                <w:szCs w:val="21"/>
                <w:highlight w:val="none"/>
                <w:lang w:val="en-US" w:eastAsia="zh-CN"/>
              </w:rPr>
              <w:t>3</w:t>
            </w:r>
            <w:r>
              <w:rPr>
                <w:rFonts w:hint="eastAsia" w:ascii="宋体" w:hAnsi="宋体" w:eastAsia="宋体" w:cs="宋体"/>
                <w:bCs/>
                <w:color w:val="auto"/>
                <w:kern w:val="0"/>
                <w:sz w:val="21"/>
                <w:szCs w:val="21"/>
                <w:highlight w:val="none"/>
                <w:lang w:val="en-US" w:eastAsia="zh-CN"/>
              </w:rPr>
              <w:t>分</w:t>
            </w:r>
          </w:p>
        </w:tc>
      </w:tr>
      <w:tr w14:paraId="2E051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305" w:type="pct"/>
            <w:noWrap w:val="0"/>
            <w:vAlign w:val="center"/>
          </w:tcPr>
          <w:p w14:paraId="54FA9995">
            <w:pPr>
              <w:spacing w:line="360" w:lineRule="auto"/>
              <w:jc w:val="center"/>
              <w:rPr>
                <w:rFonts w:hint="default" w:ascii="宋体" w:hAnsi="宋体" w:eastAsia="宋体" w:cs="宋体"/>
                <w:b/>
                <w:bCs w:val="0"/>
                <w:color w:val="auto"/>
                <w:kern w:val="0"/>
                <w:sz w:val="21"/>
                <w:szCs w:val="21"/>
                <w:highlight w:val="none"/>
                <w:lang w:val="en-US" w:eastAsia="zh-CN"/>
              </w:rPr>
            </w:pPr>
            <w:r>
              <w:rPr>
                <w:rFonts w:hint="eastAsia" w:ascii="宋体" w:hAnsi="宋体" w:cs="宋体"/>
                <w:b/>
                <w:bCs w:val="0"/>
                <w:color w:val="auto"/>
                <w:kern w:val="0"/>
                <w:sz w:val="21"/>
                <w:szCs w:val="21"/>
                <w:highlight w:val="none"/>
                <w:lang w:val="en-US" w:eastAsia="zh-CN"/>
              </w:rPr>
              <w:t>3</w:t>
            </w:r>
          </w:p>
        </w:tc>
        <w:tc>
          <w:tcPr>
            <w:tcW w:w="467" w:type="pct"/>
            <w:noWrap w:val="0"/>
            <w:vAlign w:val="center"/>
          </w:tcPr>
          <w:p w14:paraId="124A6DFF">
            <w:pPr>
              <w:jc w:val="center"/>
              <w:rPr>
                <w:rFonts w:hint="eastAsia" w:ascii="宋体" w:hAnsi="宋体" w:eastAsia="宋体" w:cs="宋体"/>
                <w:b/>
                <w:bCs w:val="0"/>
                <w:color w:val="auto"/>
                <w:sz w:val="21"/>
                <w:szCs w:val="21"/>
                <w:highlight w:val="none"/>
                <w:lang w:eastAsia="zh-CN"/>
              </w:rPr>
            </w:pPr>
            <w:r>
              <w:rPr>
                <w:rFonts w:hint="eastAsia" w:ascii="宋体" w:hAnsi="宋体" w:eastAsia="宋体" w:cs="宋体"/>
                <w:b/>
                <w:bCs w:val="0"/>
                <w:color w:val="auto"/>
                <w:sz w:val="21"/>
                <w:szCs w:val="21"/>
                <w:highlight w:val="none"/>
                <w:lang w:eastAsia="zh-CN"/>
              </w:rPr>
              <w:t>安装调试方案</w:t>
            </w:r>
          </w:p>
        </w:tc>
        <w:tc>
          <w:tcPr>
            <w:tcW w:w="3835" w:type="pct"/>
            <w:noWrap w:val="0"/>
            <w:vAlign w:val="center"/>
          </w:tcPr>
          <w:p w14:paraId="69923EE9">
            <w:pP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根据供应商提供安装调试方案（包括但不限于到货安装调试校验、安装调试进度安排等内容）进行赋分</w:t>
            </w:r>
            <w:r>
              <w:rPr>
                <w:rFonts w:hint="eastAsia" w:ascii="宋体" w:hAnsi="宋体" w:cs="宋体"/>
                <w:b/>
                <w:bCs/>
                <w:color w:val="auto"/>
                <w:sz w:val="21"/>
                <w:szCs w:val="21"/>
                <w:highlight w:val="none"/>
                <w:lang w:val="en-US" w:eastAsia="zh-CN"/>
              </w:rPr>
              <w:t>：</w:t>
            </w:r>
          </w:p>
          <w:p w14:paraId="7563315A">
            <w:pP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1、到货安装调试校验</w:t>
            </w:r>
          </w:p>
          <w:p w14:paraId="16066F3E">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（1）方案全面具体性、措施完善性、科学合理性，完全满足实际工作需要的，得3分；</w:t>
            </w:r>
          </w:p>
          <w:p w14:paraId="600E648B">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14:paraId="5A7A6D79">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p w14:paraId="64D9FCEE">
            <w:pPr>
              <w:rPr>
                <w:rFonts w:hint="eastAsia" w:hAnsi="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2、安装调试进度安排</w:t>
            </w:r>
          </w:p>
          <w:p w14:paraId="72134170">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（1）方案全面具体性、措施完善性、科学合理性，完全满足实际工作需要的，得3分；</w:t>
            </w:r>
          </w:p>
          <w:p w14:paraId="15F644BB">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14:paraId="6D0EFE73">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p w14:paraId="24C7BFD1">
            <w:pPr>
              <w:rPr>
                <w:rFonts w:hint="eastAsia" w:ascii="宋体" w:hAnsi="宋体" w:eastAsia="宋体" w:cs="宋体"/>
                <w:b/>
                <w:bCs/>
                <w:color w:val="auto"/>
                <w:sz w:val="21"/>
                <w:szCs w:val="21"/>
                <w:highlight w:val="none"/>
              </w:rPr>
            </w:pPr>
            <w:r>
              <w:rPr>
                <w:rFonts w:hint="eastAsia" w:ascii="宋体" w:hAnsi="宋体" w:cs="宋体"/>
                <w:b/>
                <w:bCs/>
                <w:color w:val="auto"/>
                <w:sz w:val="21"/>
                <w:szCs w:val="21"/>
                <w:highlight w:val="none"/>
                <w:lang w:val="en-US" w:eastAsia="zh-CN"/>
              </w:rPr>
              <w:t>3</w:t>
            </w:r>
            <w:r>
              <w:rPr>
                <w:rFonts w:hint="eastAsia" w:ascii="宋体" w:hAnsi="宋体" w:eastAsia="宋体" w:cs="宋体"/>
                <w:b/>
                <w:bCs/>
                <w:color w:val="auto"/>
                <w:sz w:val="21"/>
                <w:szCs w:val="21"/>
                <w:highlight w:val="none"/>
                <w:lang w:val="en-US" w:eastAsia="zh-CN"/>
              </w:rPr>
              <w:t>、</w:t>
            </w:r>
            <w:r>
              <w:rPr>
                <w:rFonts w:hint="eastAsia" w:ascii="宋体" w:hAnsi="宋体" w:eastAsia="宋体" w:cs="宋体"/>
                <w:b/>
                <w:bCs/>
                <w:color w:val="auto"/>
                <w:sz w:val="21"/>
                <w:szCs w:val="21"/>
                <w:highlight w:val="none"/>
              </w:rPr>
              <w:t>方案内容除以上</w:t>
            </w:r>
            <w:r>
              <w:rPr>
                <w:rFonts w:hint="eastAsia" w:ascii="宋体" w:hAnsi="宋体" w:cs="宋体"/>
                <w:b/>
                <w:bCs/>
                <w:color w:val="auto"/>
                <w:sz w:val="21"/>
                <w:szCs w:val="21"/>
                <w:highlight w:val="none"/>
                <w:lang w:val="en-US" w:eastAsia="zh-CN"/>
              </w:rPr>
              <w:t>2</w:t>
            </w:r>
            <w:r>
              <w:rPr>
                <w:rFonts w:hint="eastAsia" w:ascii="宋体" w:hAnsi="宋体" w:eastAsia="宋体" w:cs="宋体"/>
                <w:b/>
                <w:bCs/>
                <w:color w:val="auto"/>
                <w:sz w:val="21"/>
                <w:szCs w:val="21"/>
                <w:highlight w:val="none"/>
              </w:rPr>
              <w:t>个方面外，供应商可根据采购需求、项目特点，提供其他有针对性的措施，对所提供的措施的科学性、合理性、适用性进行赋分：</w:t>
            </w:r>
          </w:p>
          <w:p w14:paraId="44A23F5E">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（1）方案全面具体性、措施完善性、科学合理性优于项目需求的，得</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分；</w:t>
            </w:r>
          </w:p>
          <w:p w14:paraId="04F65906">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14:paraId="6866AAA5">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tc>
        <w:tc>
          <w:tcPr>
            <w:tcW w:w="392" w:type="pct"/>
            <w:noWrap w:val="0"/>
            <w:vAlign w:val="center"/>
          </w:tcPr>
          <w:p w14:paraId="11AABB91">
            <w:pPr>
              <w:spacing w:line="360" w:lineRule="auto"/>
              <w:jc w:val="center"/>
              <w:rPr>
                <w:rFonts w:hint="eastAsia" w:ascii="宋体" w:hAnsi="宋体" w:eastAsia="宋体" w:cs="宋体"/>
                <w:bCs/>
                <w:color w:val="auto"/>
                <w:kern w:val="0"/>
                <w:sz w:val="21"/>
                <w:szCs w:val="21"/>
                <w:highlight w:val="none"/>
                <w:lang w:val="en-US" w:eastAsia="zh-CN"/>
              </w:rPr>
            </w:pPr>
            <w:r>
              <w:rPr>
                <w:rFonts w:hint="eastAsia" w:ascii="宋体" w:hAnsi="宋体" w:cs="宋体"/>
                <w:bCs/>
                <w:color w:val="auto"/>
                <w:kern w:val="0"/>
                <w:sz w:val="21"/>
                <w:szCs w:val="21"/>
                <w:highlight w:val="none"/>
                <w:lang w:val="en-US" w:eastAsia="zh-CN"/>
              </w:rPr>
              <w:t>9</w:t>
            </w:r>
            <w:r>
              <w:rPr>
                <w:rFonts w:hint="eastAsia" w:ascii="宋体" w:hAnsi="宋体" w:eastAsia="宋体" w:cs="宋体"/>
                <w:bCs/>
                <w:color w:val="auto"/>
                <w:kern w:val="0"/>
                <w:sz w:val="21"/>
                <w:szCs w:val="21"/>
                <w:highlight w:val="none"/>
                <w:lang w:val="en-US" w:eastAsia="zh-CN"/>
              </w:rPr>
              <w:t>分</w:t>
            </w:r>
          </w:p>
        </w:tc>
      </w:tr>
      <w:tr w14:paraId="27947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305" w:type="pct"/>
            <w:noWrap w:val="0"/>
            <w:vAlign w:val="center"/>
          </w:tcPr>
          <w:p w14:paraId="19D374A4">
            <w:pPr>
              <w:spacing w:line="360" w:lineRule="auto"/>
              <w:jc w:val="center"/>
              <w:rPr>
                <w:rFonts w:hint="default" w:ascii="宋体" w:hAnsi="宋体" w:eastAsia="宋体" w:cs="宋体"/>
                <w:b/>
                <w:bCs w:val="0"/>
                <w:color w:val="auto"/>
                <w:kern w:val="0"/>
                <w:sz w:val="21"/>
                <w:szCs w:val="21"/>
                <w:highlight w:val="none"/>
                <w:lang w:val="en-US" w:eastAsia="zh-CN"/>
              </w:rPr>
            </w:pPr>
            <w:r>
              <w:rPr>
                <w:rFonts w:hint="eastAsia" w:ascii="宋体" w:hAnsi="宋体" w:cs="宋体"/>
                <w:b/>
                <w:bCs w:val="0"/>
                <w:color w:val="auto"/>
                <w:kern w:val="0"/>
                <w:sz w:val="21"/>
                <w:szCs w:val="21"/>
                <w:highlight w:val="none"/>
                <w:lang w:val="en-US" w:eastAsia="zh-CN"/>
              </w:rPr>
              <w:t>4</w:t>
            </w:r>
          </w:p>
        </w:tc>
        <w:tc>
          <w:tcPr>
            <w:tcW w:w="467" w:type="pct"/>
            <w:noWrap w:val="0"/>
            <w:vAlign w:val="center"/>
          </w:tcPr>
          <w:p w14:paraId="18F2F56B">
            <w:pPr>
              <w:jc w:val="center"/>
              <w:rPr>
                <w:rFonts w:hint="eastAsia" w:ascii="宋体" w:hAnsi="宋体" w:eastAsia="宋体" w:cs="宋体"/>
                <w:b/>
                <w:bCs w:val="0"/>
                <w:color w:val="auto"/>
                <w:sz w:val="21"/>
                <w:szCs w:val="21"/>
                <w:highlight w:val="none"/>
              </w:rPr>
            </w:pPr>
            <w:r>
              <w:rPr>
                <w:rFonts w:hint="eastAsia" w:ascii="宋体" w:hAnsi="宋体" w:cs="宋体"/>
                <w:b/>
                <w:bCs w:val="0"/>
                <w:color w:val="auto"/>
                <w:sz w:val="21"/>
                <w:szCs w:val="21"/>
                <w:highlight w:val="none"/>
                <w:lang w:val="en-US" w:eastAsia="zh-CN"/>
              </w:rPr>
              <w:t>供货</w:t>
            </w:r>
            <w:r>
              <w:rPr>
                <w:rFonts w:hint="eastAsia" w:ascii="宋体" w:hAnsi="宋体" w:eastAsia="宋体" w:cs="宋体"/>
                <w:b/>
                <w:bCs w:val="0"/>
                <w:color w:val="auto"/>
                <w:sz w:val="21"/>
                <w:szCs w:val="21"/>
                <w:highlight w:val="none"/>
              </w:rPr>
              <w:t>方案</w:t>
            </w:r>
          </w:p>
        </w:tc>
        <w:tc>
          <w:tcPr>
            <w:tcW w:w="3835" w:type="pct"/>
            <w:noWrap w:val="0"/>
            <w:vAlign w:val="center"/>
          </w:tcPr>
          <w:p w14:paraId="3942C203">
            <w:pP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根据供应商提供的</w:t>
            </w:r>
            <w:r>
              <w:rPr>
                <w:rFonts w:hint="eastAsia" w:ascii="宋体" w:hAnsi="宋体" w:cs="宋体"/>
                <w:b/>
                <w:bCs/>
                <w:color w:val="auto"/>
                <w:sz w:val="21"/>
                <w:szCs w:val="21"/>
                <w:highlight w:val="none"/>
                <w:lang w:val="en-US" w:eastAsia="zh-CN"/>
              </w:rPr>
              <w:t>供货</w:t>
            </w:r>
            <w:r>
              <w:rPr>
                <w:rFonts w:hint="eastAsia" w:ascii="宋体" w:hAnsi="宋体" w:eastAsia="宋体" w:cs="宋体"/>
                <w:b/>
                <w:bCs/>
                <w:color w:val="auto"/>
                <w:sz w:val="21"/>
                <w:szCs w:val="21"/>
                <w:highlight w:val="none"/>
                <w:lang w:val="en-US" w:eastAsia="zh-CN"/>
              </w:rPr>
              <w:t>方案（包括但不限于</w:t>
            </w:r>
            <w:r>
              <w:rPr>
                <w:rFonts w:hint="eastAsia" w:ascii="宋体" w:hAnsi="宋体" w:cs="宋体"/>
                <w:b/>
                <w:bCs/>
                <w:color w:val="auto"/>
                <w:sz w:val="21"/>
                <w:szCs w:val="21"/>
                <w:highlight w:val="none"/>
                <w:lang w:val="en-US" w:eastAsia="zh-CN"/>
              </w:rPr>
              <w:t>供货</w:t>
            </w:r>
            <w:r>
              <w:rPr>
                <w:rFonts w:hint="eastAsia" w:ascii="宋体" w:hAnsi="宋体" w:eastAsia="宋体" w:cs="宋体"/>
                <w:b/>
                <w:bCs/>
                <w:color w:val="auto"/>
                <w:sz w:val="21"/>
                <w:szCs w:val="21"/>
                <w:highlight w:val="none"/>
                <w:lang w:val="en-US" w:eastAsia="zh-CN"/>
              </w:rPr>
              <w:t>计划、</w:t>
            </w:r>
            <w:r>
              <w:rPr>
                <w:rFonts w:hint="eastAsia" w:ascii="宋体" w:hAnsi="宋体" w:cs="宋体"/>
                <w:b/>
                <w:bCs/>
                <w:color w:val="auto"/>
                <w:sz w:val="21"/>
                <w:szCs w:val="21"/>
                <w:highlight w:val="none"/>
                <w:lang w:val="en-US" w:eastAsia="zh-CN"/>
              </w:rPr>
              <w:t>供货流程</w:t>
            </w:r>
            <w:r>
              <w:rPr>
                <w:rFonts w:hint="eastAsia" w:ascii="宋体" w:hAnsi="宋体" w:eastAsia="宋体" w:cs="宋体"/>
                <w:b/>
                <w:bCs/>
                <w:color w:val="auto"/>
                <w:sz w:val="21"/>
                <w:szCs w:val="21"/>
                <w:highlight w:val="none"/>
                <w:lang w:val="en-US" w:eastAsia="zh-CN"/>
              </w:rPr>
              <w:t>、</w:t>
            </w:r>
            <w:r>
              <w:rPr>
                <w:rFonts w:hint="eastAsia" w:ascii="宋体" w:hAnsi="宋体" w:cs="宋体"/>
                <w:b/>
                <w:bCs/>
                <w:color w:val="auto"/>
                <w:sz w:val="21"/>
                <w:szCs w:val="21"/>
                <w:highlight w:val="none"/>
                <w:lang w:val="en-US" w:eastAsia="zh-CN"/>
              </w:rPr>
              <w:t>供货保证措施</w:t>
            </w:r>
            <w:r>
              <w:rPr>
                <w:rFonts w:hint="eastAsia" w:ascii="宋体" w:hAnsi="宋体" w:eastAsia="宋体" w:cs="宋体"/>
                <w:b/>
                <w:bCs/>
                <w:color w:val="auto"/>
                <w:sz w:val="21"/>
                <w:szCs w:val="21"/>
                <w:highlight w:val="none"/>
                <w:lang w:val="en-US" w:eastAsia="zh-CN"/>
              </w:rPr>
              <w:t>等）进行赋分：</w:t>
            </w:r>
          </w:p>
          <w:p w14:paraId="71CEA615">
            <w:pPr>
              <w:numPr>
                <w:ilvl w:val="0"/>
                <w:numId w:val="4"/>
              </w:numPr>
              <w:rPr>
                <w:rFonts w:hint="eastAsia" w:ascii="宋体" w:hAnsi="宋体" w:eastAsia="宋体" w:cs="宋体"/>
                <w:b/>
                <w:bCs/>
                <w:color w:val="auto"/>
                <w:sz w:val="21"/>
                <w:szCs w:val="21"/>
                <w:highlight w:val="none"/>
                <w:lang w:val="en-US" w:eastAsia="zh-CN"/>
              </w:rPr>
            </w:pPr>
            <w:r>
              <w:rPr>
                <w:rFonts w:hint="eastAsia" w:ascii="宋体" w:hAnsi="宋体" w:cs="宋体"/>
                <w:b/>
                <w:bCs/>
                <w:color w:val="auto"/>
                <w:sz w:val="21"/>
                <w:szCs w:val="21"/>
                <w:highlight w:val="none"/>
                <w:lang w:val="en-US" w:eastAsia="zh-CN"/>
              </w:rPr>
              <w:t>供货</w:t>
            </w:r>
            <w:r>
              <w:rPr>
                <w:rFonts w:hint="eastAsia" w:ascii="宋体" w:hAnsi="宋体" w:eastAsia="宋体" w:cs="宋体"/>
                <w:b/>
                <w:bCs/>
                <w:color w:val="auto"/>
                <w:sz w:val="21"/>
                <w:szCs w:val="21"/>
                <w:highlight w:val="none"/>
                <w:lang w:val="en-US" w:eastAsia="zh-CN"/>
              </w:rPr>
              <w:t>计划</w:t>
            </w:r>
          </w:p>
          <w:p w14:paraId="4B5C0B0D">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（1）方案全面具体性、措施完善性、科学合理性，完全满足实际工作需要的，得3分；</w:t>
            </w:r>
          </w:p>
          <w:p w14:paraId="331E7478">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14:paraId="689012E6">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p w14:paraId="239B29E4">
            <w:pPr>
              <w:rPr>
                <w:rFonts w:hint="eastAsia" w:ascii="宋体" w:hAnsi="宋体" w:cs="宋体"/>
                <w:b/>
                <w:bCs/>
                <w:color w:val="auto"/>
                <w:sz w:val="21"/>
                <w:szCs w:val="21"/>
                <w:highlight w:val="none"/>
                <w:lang w:val="en-US" w:eastAsia="zh-CN"/>
              </w:rPr>
            </w:pPr>
            <w:r>
              <w:rPr>
                <w:rFonts w:hint="eastAsia" w:ascii="宋体" w:hAnsi="宋体" w:cs="宋体"/>
                <w:b/>
                <w:bCs/>
                <w:color w:val="auto"/>
                <w:sz w:val="21"/>
                <w:szCs w:val="21"/>
                <w:highlight w:val="none"/>
                <w:lang w:val="en-US" w:eastAsia="zh-CN"/>
              </w:rPr>
              <w:t>2、供货流程</w:t>
            </w:r>
          </w:p>
          <w:p w14:paraId="28188C46">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（1）方案全面具体性、措施完善性、科学合理性，完全满足实际工作需要的，得3分；</w:t>
            </w:r>
          </w:p>
          <w:p w14:paraId="463DFF23">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14:paraId="04FAE93B">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p w14:paraId="0E57360D">
            <w:pPr>
              <w:rPr>
                <w:rFonts w:hint="eastAsia" w:ascii="宋体" w:hAnsi="宋体" w:cs="宋体"/>
                <w:b/>
                <w:bCs/>
                <w:color w:val="auto"/>
                <w:sz w:val="21"/>
                <w:szCs w:val="21"/>
                <w:highlight w:val="none"/>
                <w:lang w:val="en-US" w:eastAsia="zh-CN"/>
              </w:rPr>
            </w:pPr>
            <w:r>
              <w:rPr>
                <w:rFonts w:hint="eastAsia" w:ascii="宋体" w:hAnsi="宋体" w:cs="宋体"/>
                <w:b/>
                <w:bCs/>
                <w:color w:val="auto"/>
                <w:sz w:val="21"/>
                <w:szCs w:val="21"/>
                <w:highlight w:val="none"/>
                <w:lang w:val="en-US" w:eastAsia="zh-CN"/>
              </w:rPr>
              <w:t>3、供货保证措施</w:t>
            </w:r>
          </w:p>
          <w:p w14:paraId="22F90C19">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（1）方案全面具体性、措施完善性、科学合理性，完全满足实际工作需要的，得3分；</w:t>
            </w:r>
          </w:p>
          <w:p w14:paraId="6B7DC9CC">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14:paraId="3C5DF8F7">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p w14:paraId="085BA745">
            <w:pP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4、</w:t>
            </w:r>
            <w:r>
              <w:rPr>
                <w:rFonts w:hint="eastAsia" w:ascii="宋体" w:hAnsi="宋体" w:eastAsia="宋体" w:cs="宋体"/>
                <w:b/>
                <w:bCs/>
                <w:color w:val="auto"/>
                <w:sz w:val="21"/>
                <w:szCs w:val="21"/>
                <w:highlight w:val="none"/>
              </w:rPr>
              <w:t>方案内容除以上</w:t>
            </w:r>
            <w:r>
              <w:rPr>
                <w:rFonts w:hint="eastAsia" w:ascii="宋体" w:hAnsi="宋体" w:eastAsia="宋体" w:cs="宋体"/>
                <w:b/>
                <w:bCs/>
                <w:color w:val="auto"/>
                <w:sz w:val="21"/>
                <w:szCs w:val="21"/>
                <w:highlight w:val="none"/>
                <w:lang w:val="en-US" w:eastAsia="zh-CN"/>
              </w:rPr>
              <w:t>3</w:t>
            </w:r>
            <w:r>
              <w:rPr>
                <w:rFonts w:hint="eastAsia" w:ascii="宋体" w:hAnsi="宋体" w:eastAsia="宋体" w:cs="宋体"/>
                <w:b/>
                <w:bCs/>
                <w:color w:val="auto"/>
                <w:sz w:val="21"/>
                <w:szCs w:val="21"/>
                <w:highlight w:val="none"/>
              </w:rPr>
              <w:t>个方面外，供应商可根据采购需求、项目特点，提供其他有针对性的措施，对所提供的措施的科学性、合理性、适用性进行赋分：</w:t>
            </w:r>
          </w:p>
          <w:p w14:paraId="3BEEEC34">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（1）方案全面具体性、措施完善性、科学合理性优于项目需求的，得</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分；</w:t>
            </w:r>
          </w:p>
          <w:p w14:paraId="7D5D8A61">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（2）方案全面具体性、措施完善性、科学合理性，基本满足实际工作需要的，得2分；</w:t>
            </w:r>
          </w:p>
          <w:p w14:paraId="579F0D4E">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tc>
        <w:tc>
          <w:tcPr>
            <w:tcW w:w="392" w:type="pct"/>
            <w:noWrap w:val="0"/>
            <w:vAlign w:val="center"/>
          </w:tcPr>
          <w:p w14:paraId="5E998722">
            <w:pPr>
              <w:jc w:val="center"/>
              <w:rPr>
                <w:rFonts w:hint="eastAsia" w:ascii="宋体" w:hAnsi="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tc>
      </w:tr>
      <w:tr w14:paraId="4EB20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305" w:type="pct"/>
            <w:noWrap w:val="0"/>
            <w:vAlign w:val="center"/>
          </w:tcPr>
          <w:p w14:paraId="2F00116F">
            <w:pPr>
              <w:spacing w:line="360" w:lineRule="auto"/>
              <w:jc w:val="center"/>
              <w:rPr>
                <w:rFonts w:hint="eastAsia" w:ascii="宋体" w:hAnsi="宋体" w:eastAsia="宋体" w:cs="宋体"/>
                <w:b/>
                <w:bCs w:val="0"/>
                <w:color w:val="auto"/>
                <w:kern w:val="0"/>
                <w:sz w:val="21"/>
                <w:szCs w:val="21"/>
                <w:highlight w:val="none"/>
                <w:lang w:eastAsia="zh-CN"/>
              </w:rPr>
            </w:pPr>
            <w:r>
              <w:rPr>
                <w:rFonts w:hint="eastAsia" w:ascii="宋体" w:hAnsi="宋体" w:cs="宋体"/>
                <w:b/>
                <w:bCs w:val="0"/>
                <w:color w:val="auto"/>
                <w:kern w:val="0"/>
                <w:sz w:val="21"/>
                <w:szCs w:val="21"/>
                <w:highlight w:val="none"/>
                <w:lang w:val="en-US" w:eastAsia="zh-CN"/>
              </w:rPr>
              <w:t>5</w:t>
            </w:r>
          </w:p>
        </w:tc>
        <w:tc>
          <w:tcPr>
            <w:tcW w:w="467" w:type="pct"/>
            <w:noWrap w:val="0"/>
            <w:vAlign w:val="center"/>
          </w:tcPr>
          <w:p w14:paraId="462F2D9B">
            <w:pPr>
              <w:jc w:val="center"/>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质量保</w:t>
            </w:r>
          </w:p>
          <w:p w14:paraId="08029E23">
            <w:pPr>
              <w:jc w:val="center"/>
              <w:rPr>
                <w:rFonts w:hint="eastAsia" w:ascii="宋体" w:hAnsi="宋体" w:eastAsia="宋体" w:cs="宋体"/>
                <w:b/>
                <w:bCs w:val="0"/>
                <w:color w:val="auto"/>
                <w:sz w:val="21"/>
                <w:szCs w:val="21"/>
                <w:highlight w:val="none"/>
                <w:lang w:eastAsia="zh-CN"/>
              </w:rPr>
            </w:pPr>
            <w:r>
              <w:rPr>
                <w:rFonts w:hint="eastAsia" w:ascii="宋体" w:hAnsi="宋体" w:eastAsia="宋体" w:cs="宋体"/>
                <w:b/>
                <w:bCs w:val="0"/>
                <w:color w:val="auto"/>
                <w:sz w:val="21"/>
                <w:szCs w:val="21"/>
                <w:highlight w:val="none"/>
              </w:rPr>
              <w:t>证方案</w:t>
            </w:r>
          </w:p>
        </w:tc>
        <w:tc>
          <w:tcPr>
            <w:tcW w:w="3835" w:type="pct"/>
            <w:noWrap w:val="0"/>
            <w:vAlign w:val="center"/>
          </w:tcPr>
          <w:p w14:paraId="3C4F797A">
            <w:pP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根据供应商提供的质量保证方案（包括但不限于质量保证承诺、质量保证措施等）进行赋分：</w:t>
            </w:r>
          </w:p>
          <w:p w14:paraId="2E0F388F">
            <w:pPr>
              <w:numPr>
                <w:ilvl w:val="0"/>
                <w:numId w:val="5"/>
              </w:numP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质量保证承诺</w:t>
            </w:r>
          </w:p>
          <w:p w14:paraId="7B56FCD7">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（1）方案全面具体性、措施完善性、科学合理性，完全满足实际工作需要的，得3分；</w:t>
            </w:r>
          </w:p>
          <w:p w14:paraId="0A647982">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14:paraId="08E540F0">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p w14:paraId="0A0EF127">
            <w:pPr>
              <w:numPr>
                <w:ilvl w:val="0"/>
                <w:numId w:val="5"/>
              </w:numPr>
              <w:ind w:left="0" w:leftChars="0" w:firstLine="0" w:firstLineChars="0"/>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质量保证措施</w:t>
            </w:r>
          </w:p>
          <w:p w14:paraId="61D9F171">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（1）方案全面具体性、措施完善性、科学合理性，完全满足实际工作需要的，得3分；</w:t>
            </w:r>
          </w:p>
          <w:p w14:paraId="53D6A079">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14:paraId="5FFEBBBD">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p w14:paraId="5A520613">
            <w:pPr>
              <w:numPr>
                <w:ilvl w:val="0"/>
                <w:numId w:val="5"/>
              </w:numPr>
              <w:ind w:left="0" w:leftChars="0" w:firstLine="0" w:firstLineChars="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方案内容除以上</w:t>
            </w:r>
            <w:r>
              <w:rPr>
                <w:rFonts w:hint="eastAsia" w:ascii="宋体" w:hAnsi="宋体" w:cs="宋体"/>
                <w:b/>
                <w:bCs/>
                <w:color w:val="auto"/>
                <w:sz w:val="21"/>
                <w:szCs w:val="21"/>
                <w:highlight w:val="none"/>
                <w:lang w:val="en-US" w:eastAsia="zh-CN"/>
              </w:rPr>
              <w:t>2</w:t>
            </w:r>
            <w:r>
              <w:rPr>
                <w:rFonts w:hint="eastAsia" w:ascii="宋体" w:hAnsi="宋体" w:eastAsia="宋体" w:cs="宋体"/>
                <w:b/>
                <w:bCs/>
                <w:color w:val="auto"/>
                <w:sz w:val="21"/>
                <w:szCs w:val="21"/>
                <w:highlight w:val="none"/>
              </w:rPr>
              <w:t>个方面外，供应商可根据采购需求、项目特点，提供其他有针对性的措施，对所提供的措施的科学性、合理性、适用性进行赋分：</w:t>
            </w:r>
          </w:p>
          <w:p w14:paraId="0492B6D7">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（1）方案全面具体性、措施完善性、科学合理性优于项目需求的，得</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分；</w:t>
            </w:r>
          </w:p>
          <w:p w14:paraId="0FB224A4">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（2）方案全面具体性、措施完善性、科学合理性，基本满足实际工作需要的，得2分；</w:t>
            </w:r>
          </w:p>
          <w:p w14:paraId="7212673D">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tc>
        <w:tc>
          <w:tcPr>
            <w:tcW w:w="392" w:type="pct"/>
            <w:noWrap w:val="0"/>
            <w:vAlign w:val="center"/>
          </w:tcPr>
          <w:p w14:paraId="2B602741">
            <w:pPr>
              <w:jc w:val="center"/>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val="en-US" w:eastAsia="zh-CN"/>
              </w:rPr>
              <w:t>9</w:t>
            </w:r>
            <w:r>
              <w:rPr>
                <w:rFonts w:hint="eastAsia" w:ascii="宋体" w:hAnsi="宋体" w:eastAsia="宋体" w:cs="宋体"/>
                <w:color w:val="auto"/>
                <w:sz w:val="21"/>
                <w:szCs w:val="21"/>
                <w:highlight w:val="none"/>
                <w:lang w:val="en-US" w:eastAsia="zh-CN"/>
              </w:rPr>
              <w:t>分</w:t>
            </w:r>
          </w:p>
        </w:tc>
      </w:tr>
      <w:tr w14:paraId="07EBF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305" w:type="pct"/>
            <w:noWrap w:val="0"/>
            <w:vAlign w:val="center"/>
          </w:tcPr>
          <w:p w14:paraId="79E87CED">
            <w:pPr>
              <w:spacing w:line="360" w:lineRule="auto"/>
              <w:jc w:val="center"/>
              <w:rPr>
                <w:rFonts w:hint="default" w:ascii="宋体" w:hAnsi="宋体" w:eastAsia="宋体" w:cs="宋体"/>
                <w:b/>
                <w:bCs w:val="0"/>
                <w:color w:val="auto"/>
                <w:kern w:val="0"/>
                <w:sz w:val="21"/>
                <w:szCs w:val="21"/>
                <w:highlight w:val="none"/>
                <w:lang w:val="en-US" w:eastAsia="zh-CN"/>
              </w:rPr>
            </w:pPr>
            <w:r>
              <w:rPr>
                <w:rFonts w:hint="eastAsia" w:ascii="宋体" w:hAnsi="宋体" w:cs="宋体"/>
                <w:b/>
                <w:bCs w:val="0"/>
                <w:color w:val="auto"/>
                <w:kern w:val="0"/>
                <w:sz w:val="21"/>
                <w:szCs w:val="21"/>
                <w:highlight w:val="none"/>
                <w:lang w:val="en-US" w:eastAsia="zh-CN"/>
              </w:rPr>
              <w:t>6</w:t>
            </w:r>
          </w:p>
        </w:tc>
        <w:tc>
          <w:tcPr>
            <w:tcW w:w="467" w:type="pct"/>
            <w:noWrap w:val="0"/>
            <w:vAlign w:val="center"/>
          </w:tcPr>
          <w:p w14:paraId="13F1A5B8">
            <w:pPr>
              <w:jc w:val="center"/>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售后服务</w:t>
            </w:r>
            <w:r>
              <w:rPr>
                <w:rFonts w:hint="eastAsia" w:ascii="宋体" w:hAnsi="宋体" w:eastAsia="宋体" w:cs="宋体"/>
                <w:b/>
                <w:bCs w:val="0"/>
                <w:color w:val="auto"/>
                <w:sz w:val="21"/>
                <w:szCs w:val="21"/>
                <w:highlight w:val="none"/>
                <w:lang w:eastAsia="zh-CN"/>
              </w:rPr>
              <w:t>方案</w:t>
            </w:r>
          </w:p>
        </w:tc>
        <w:tc>
          <w:tcPr>
            <w:tcW w:w="3835" w:type="pct"/>
            <w:noWrap w:val="0"/>
            <w:vAlign w:val="center"/>
          </w:tcPr>
          <w:p w14:paraId="17ED4C93">
            <w:pPr>
              <w:pStyle w:val="12"/>
              <w:ind w:right="-10" w:firstLine="0" w:firstLineChars="0"/>
              <w:rPr>
                <w:rFonts w:hint="eastAsia" w:ascii="宋体" w:hAnsi="宋体" w:eastAsia="宋体" w:cs="宋体"/>
                <w:b/>
                <w:bCs w:val="0"/>
                <w:color w:val="auto"/>
                <w:sz w:val="21"/>
                <w:szCs w:val="21"/>
                <w:highlight w:val="none"/>
                <w:lang w:val="en-US" w:eastAsia="zh-CN"/>
              </w:rPr>
            </w:pPr>
            <w:r>
              <w:rPr>
                <w:rFonts w:hint="eastAsia" w:ascii="宋体" w:hAnsi="宋体" w:eastAsia="宋体" w:cs="宋体"/>
                <w:b/>
                <w:bCs w:val="0"/>
                <w:color w:val="auto"/>
                <w:kern w:val="0"/>
                <w:sz w:val="21"/>
                <w:szCs w:val="21"/>
                <w:highlight w:val="none"/>
                <w:lang w:val="en-US" w:eastAsia="zh-CN"/>
              </w:rPr>
              <w:t>根据</w:t>
            </w:r>
            <w:r>
              <w:rPr>
                <w:rFonts w:hint="eastAsia" w:ascii="宋体" w:hAnsi="宋体" w:eastAsia="宋体" w:cs="宋体"/>
                <w:b/>
                <w:bCs w:val="0"/>
                <w:color w:val="auto"/>
                <w:sz w:val="21"/>
                <w:szCs w:val="21"/>
                <w:highlight w:val="none"/>
                <w:lang w:val="en-US" w:eastAsia="zh-CN"/>
              </w:rPr>
              <w:t>供应商</w:t>
            </w:r>
            <w:r>
              <w:rPr>
                <w:rFonts w:hint="eastAsia" w:ascii="宋体" w:hAnsi="宋体" w:eastAsia="宋体" w:cs="宋体"/>
                <w:b/>
                <w:bCs w:val="0"/>
                <w:color w:val="auto"/>
                <w:kern w:val="0"/>
                <w:sz w:val="21"/>
                <w:szCs w:val="21"/>
                <w:highlight w:val="none"/>
                <w:lang w:val="en-US" w:eastAsia="zh-CN"/>
              </w:rPr>
              <w:t>提供的售后服务方案（包括但不限于售后响应时间、</w:t>
            </w:r>
            <w:r>
              <w:rPr>
                <w:rFonts w:hint="eastAsia" w:hAnsi="宋体" w:cs="宋体"/>
                <w:b/>
                <w:bCs/>
                <w:color w:val="auto"/>
                <w:sz w:val="21"/>
                <w:szCs w:val="21"/>
                <w:highlight w:val="none"/>
              </w:rPr>
              <w:t>产品质量存在问题时的退换货方案</w:t>
            </w:r>
            <w:r>
              <w:rPr>
                <w:rFonts w:hint="eastAsia" w:hAnsi="宋体" w:cs="宋体"/>
                <w:b/>
                <w:bCs/>
                <w:color w:val="auto"/>
                <w:sz w:val="21"/>
                <w:szCs w:val="21"/>
                <w:highlight w:val="none"/>
                <w:lang w:eastAsia="zh-CN"/>
              </w:rPr>
              <w:t>、</w:t>
            </w:r>
            <w:r>
              <w:rPr>
                <w:rFonts w:hint="eastAsia" w:hAnsi="宋体" w:cs="宋体"/>
                <w:b/>
                <w:bCs/>
                <w:color w:val="auto"/>
                <w:sz w:val="21"/>
                <w:szCs w:val="21"/>
                <w:highlight w:val="none"/>
              </w:rPr>
              <w:t>应急保障处理措施等</w:t>
            </w:r>
            <w:r>
              <w:rPr>
                <w:rFonts w:hint="eastAsia" w:ascii="宋体" w:hAnsi="宋体" w:eastAsia="宋体" w:cs="宋体"/>
                <w:b/>
                <w:bCs w:val="0"/>
                <w:color w:val="auto"/>
                <w:kern w:val="0"/>
                <w:sz w:val="21"/>
                <w:szCs w:val="21"/>
                <w:highlight w:val="none"/>
                <w:lang w:val="en-US" w:eastAsia="zh-CN"/>
              </w:rPr>
              <w:t>）进行</w:t>
            </w:r>
            <w:r>
              <w:rPr>
                <w:rFonts w:hint="eastAsia" w:ascii="宋体" w:hAnsi="宋体" w:eastAsia="宋体" w:cs="宋体"/>
                <w:b/>
                <w:bCs w:val="0"/>
                <w:color w:val="auto"/>
                <w:sz w:val="21"/>
                <w:szCs w:val="21"/>
                <w:highlight w:val="none"/>
                <w:lang w:val="en-US" w:eastAsia="zh-CN"/>
              </w:rPr>
              <w:t>赋分：</w:t>
            </w:r>
          </w:p>
          <w:p w14:paraId="757B3330">
            <w:pP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1、</w:t>
            </w:r>
            <w:r>
              <w:rPr>
                <w:rFonts w:hint="eastAsia" w:ascii="宋体" w:hAnsi="宋体" w:eastAsia="宋体" w:cs="宋体"/>
                <w:b/>
                <w:bCs w:val="0"/>
                <w:color w:val="auto"/>
                <w:kern w:val="0"/>
                <w:sz w:val="21"/>
                <w:szCs w:val="21"/>
                <w:highlight w:val="none"/>
                <w:lang w:val="en-US" w:eastAsia="zh-CN"/>
              </w:rPr>
              <w:t>售后响应时间</w:t>
            </w:r>
          </w:p>
          <w:p w14:paraId="70C41507">
            <w:pPr>
              <w:pStyle w:val="12"/>
              <w:ind w:right="-10" w:firstLine="0" w:firstLineChars="0"/>
              <w:rPr>
                <w:rFonts w:hAnsi="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hAnsi="宋体" w:cs="宋体"/>
                <w:color w:val="auto"/>
                <w:sz w:val="21"/>
                <w:szCs w:val="21"/>
                <w:highlight w:val="none"/>
              </w:rPr>
              <w:t>方案响应时间快且方案清晰、科学合理，实施规范、完全满足项目需求，得</w:t>
            </w:r>
            <w:r>
              <w:rPr>
                <w:rFonts w:hint="eastAsia" w:hAnsi="宋体" w:cs="宋体"/>
                <w:color w:val="auto"/>
                <w:sz w:val="21"/>
                <w:szCs w:val="21"/>
                <w:highlight w:val="none"/>
                <w:lang w:val="en-US" w:eastAsia="zh-CN"/>
              </w:rPr>
              <w:t>3</w:t>
            </w:r>
            <w:r>
              <w:rPr>
                <w:rFonts w:hint="eastAsia" w:hAnsi="宋体" w:cs="宋体"/>
                <w:color w:val="auto"/>
                <w:sz w:val="21"/>
                <w:szCs w:val="21"/>
                <w:highlight w:val="none"/>
              </w:rPr>
              <w:t>分；</w:t>
            </w:r>
          </w:p>
          <w:p w14:paraId="1C4399C7">
            <w:pPr>
              <w:pStyle w:val="12"/>
              <w:ind w:right="-10" w:firstLine="0" w:firstLineChars="0"/>
              <w:rPr>
                <w:rFonts w:hAnsi="宋体" w:cs="宋体"/>
                <w:color w:val="auto"/>
                <w:sz w:val="21"/>
                <w:szCs w:val="21"/>
                <w:highlight w:val="none"/>
              </w:rPr>
            </w:pPr>
            <w:r>
              <w:rPr>
                <w:rFonts w:hint="eastAsia" w:hAnsi="宋体" w:cs="宋体"/>
                <w:color w:val="auto"/>
                <w:sz w:val="21"/>
                <w:szCs w:val="21"/>
                <w:highlight w:val="none"/>
              </w:rPr>
              <w:t>（2）方案基本合理可行，有基本的针对性，基本能满足项目需求，得</w:t>
            </w:r>
            <w:r>
              <w:rPr>
                <w:rFonts w:hint="eastAsia" w:hAnsi="宋体" w:cs="宋体"/>
                <w:color w:val="auto"/>
                <w:sz w:val="21"/>
                <w:szCs w:val="21"/>
                <w:highlight w:val="none"/>
                <w:lang w:val="en-US" w:eastAsia="zh-CN"/>
              </w:rPr>
              <w:t>2</w:t>
            </w:r>
            <w:r>
              <w:rPr>
                <w:rFonts w:hint="eastAsia" w:hAnsi="宋体" w:cs="宋体"/>
                <w:color w:val="auto"/>
                <w:sz w:val="21"/>
                <w:szCs w:val="21"/>
                <w:highlight w:val="none"/>
              </w:rPr>
              <w:t>分；</w:t>
            </w:r>
          </w:p>
          <w:p w14:paraId="349266C8">
            <w:pPr>
              <w:pStyle w:val="12"/>
              <w:ind w:right="-10" w:firstLine="0" w:firstLineChars="0"/>
              <w:rPr>
                <w:rFonts w:hint="eastAsia" w:ascii="宋体" w:hAnsi="宋体" w:eastAsia="宋体" w:cs="宋体"/>
                <w:color w:val="auto"/>
                <w:sz w:val="21"/>
                <w:szCs w:val="21"/>
                <w:highlight w:val="none"/>
                <w:lang w:val="en-US" w:eastAsia="zh-CN"/>
              </w:rPr>
            </w:pPr>
            <w:r>
              <w:rPr>
                <w:rFonts w:hint="eastAsia" w:hAnsi="宋体" w:cs="宋体"/>
                <w:color w:val="auto"/>
                <w:sz w:val="21"/>
                <w:szCs w:val="21"/>
                <w:highlight w:val="none"/>
              </w:rPr>
              <w:t>（3）方案不完整、不实用或不提供方案不得分。</w:t>
            </w:r>
          </w:p>
          <w:p w14:paraId="14F7DB52">
            <w:pPr>
              <w:rPr>
                <w:rFonts w:hint="eastAsia" w:hAnsi="宋体" w:cs="宋体"/>
                <w:b/>
                <w:bCs/>
                <w:color w:val="auto"/>
                <w:sz w:val="21"/>
                <w:szCs w:val="21"/>
                <w:highlight w:val="none"/>
              </w:rPr>
            </w:pPr>
            <w:r>
              <w:rPr>
                <w:rFonts w:hint="eastAsia" w:ascii="宋体" w:hAnsi="宋体" w:cs="宋体"/>
                <w:b/>
                <w:bCs/>
                <w:color w:val="auto"/>
                <w:sz w:val="21"/>
                <w:szCs w:val="21"/>
                <w:highlight w:val="none"/>
                <w:lang w:val="en-US" w:eastAsia="zh-CN"/>
              </w:rPr>
              <w:t>2</w:t>
            </w:r>
            <w:r>
              <w:rPr>
                <w:rFonts w:hint="eastAsia" w:ascii="宋体" w:hAnsi="宋体" w:eastAsia="宋体" w:cs="宋体"/>
                <w:b/>
                <w:bCs/>
                <w:color w:val="auto"/>
                <w:sz w:val="21"/>
                <w:szCs w:val="21"/>
                <w:highlight w:val="none"/>
                <w:lang w:val="en-US" w:eastAsia="zh-CN"/>
              </w:rPr>
              <w:t>、</w:t>
            </w:r>
            <w:r>
              <w:rPr>
                <w:rFonts w:hint="eastAsia" w:hAnsi="宋体" w:cs="宋体"/>
                <w:b/>
                <w:bCs/>
                <w:color w:val="auto"/>
                <w:sz w:val="21"/>
                <w:szCs w:val="21"/>
                <w:highlight w:val="none"/>
              </w:rPr>
              <w:t>产品质量存在问题时的退换货方案</w:t>
            </w:r>
          </w:p>
          <w:p w14:paraId="0472C12A">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（1）方案全面具体性、措施完善性、科学合理性，完全满足实际工作需要的，得3分；</w:t>
            </w:r>
          </w:p>
          <w:p w14:paraId="6D5A0825">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14:paraId="3E088ED1">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p w14:paraId="2E9278B4">
            <w:pPr>
              <w:rPr>
                <w:rFonts w:hint="eastAsia" w:hAnsi="宋体" w:cs="宋体"/>
                <w:b/>
                <w:bCs/>
                <w:color w:val="auto"/>
                <w:sz w:val="21"/>
                <w:szCs w:val="21"/>
                <w:highlight w:val="none"/>
              </w:rPr>
            </w:pPr>
            <w:r>
              <w:rPr>
                <w:rFonts w:hint="eastAsia" w:ascii="宋体" w:hAnsi="宋体" w:cs="宋体"/>
                <w:b/>
                <w:bCs/>
                <w:color w:val="auto"/>
                <w:sz w:val="21"/>
                <w:szCs w:val="21"/>
                <w:highlight w:val="none"/>
                <w:lang w:val="en-US" w:eastAsia="zh-CN"/>
              </w:rPr>
              <w:t>3</w:t>
            </w:r>
            <w:r>
              <w:rPr>
                <w:rFonts w:hint="eastAsia" w:ascii="宋体" w:hAnsi="宋体" w:eastAsia="宋体" w:cs="宋体"/>
                <w:b/>
                <w:bCs/>
                <w:color w:val="auto"/>
                <w:sz w:val="21"/>
                <w:szCs w:val="21"/>
                <w:highlight w:val="none"/>
                <w:lang w:val="en-US" w:eastAsia="zh-CN"/>
              </w:rPr>
              <w:t>、</w:t>
            </w:r>
            <w:r>
              <w:rPr>
                <w:rFonts w:hint="eastAsia" w:hAnsi="宋体" w:cs="宋体"/>
                <w:b/>
                <w:bCs/>
                <w:color w:val="auto"/>
                <w:sz w:val="21"/>
                <w:szCs w:val="21"/>
                <w:highlight w:val="none"/>
              </w:rPr>
              <w:t>应急保障处理措施</w:t>
            </w:r>
          </w:p>
          <w:p w14:paraId="158005A0">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（1）方案全面具体性、措施完善性、科学合理性，完全满足实际工作需要的，得3分；</w:t>
            </w:r>
          </w:p>
          <w:p w14:paraId="56558057">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14:paraId="049B4F39">
            <w:pPr>
              <w:rPr>
                <w:rFonts w:hint="eastAsia"/>
                <w:color w:val="auto"/>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p w14:paraId="39D06A7B">
            <w:pPr>
              <w:rPr>
                <w:rFonts w:hint="eastAsia" w:ascii="宋体" w:hAnsi="宋体" w:eastAsia="宋体" w:cs="宋体"/>
                <w:b/>
                <w:bCs/>
                <w:color w:val="auto"/>
                <w:sz w:val="21"/>
                <w:szCs w:val="21"/>
                <w:highlight w:val="none"/>
              </w:rPr>
            </w:pPr>
            <w:r>
              <w:rPr>
                <w:rFonts w:hint="eastAsia" w:hAnsi="宋体" w:cs="宋体"/>
                <w:b/>
                <w:bCs/>
                <w:color w:val="auto"/>
                <w:sz w:val="21"/>
                <w:szCs w:val="21"/>
                <w:highlight w:val="none"/>
                <w:lang w:val="en-US" w:eastAsia="zh-CN"/>
              </w:rPr>
              <w:t>4</w:t>
            </w:r>
            <w:r>
              <w:rPr>
                <w:rFonts w:hint="eastAsia" w:hAnsi="宋体" w:eastAsia="宋体" w:cs="宋体"/>
                <w:b/>
                <w:bCs/>
                <w:color w:val="auto"/>
                <w:sz w:val="21"/>
                <w:szCs w:val="21"/>
                <w:highlight w:val="none"/>
                <w:lang w:val="en-US" w:eastAsia="zh-CN"/>
              </w:rPr>
              <w:t>、</w:t>
            </w:r>
            <w:r>
              <w:rPr>
                <w:rFonts w:hint="eastAsia" w:ascii="宋体" w:hAnsi="宋体" w:eastAsia="宋体" w:cs="宋体"/>
                <w:b/>
                <w:bCs/>
                <w:color w:val="auto"/>
                <w:sz w:val="21"/>
                <w:szCs w:val="21"/>
                <w:highlight w:val="none"/>
              </w:rPr>
              <w:t>方案内容除以上</w:t>
            </w:r>
            <w:r>
              <w:rPr>
                <w:rFonts w:hint="eastAsia" w:ascii="宋体" w:hAnsi="宋体" w:cs="宋体"/>
                <w:b/>
                <w:bCs/>
                <w:color w:val="auto"/>
                <w:sz w:val="21"/>
                <w:szCs w:val="21"/>
                <w:highlight w:val="none"/>
                <w:lang w:val="en-US" w:eastAsia="zh-CN"/>
              </w:rPr>
              <w:t>3</w:t>
            </w:r>
            <w:r>
              <w:rPr>
                <w:rFonts w:hint="eastAsia" w:ascii="宋体" w:hAnsi="宋体" w:eastAsia="宋体" w:cs="宋体"/>
                <w:b/>
                <w:bCs/>
                <w:color w:val="auto"/>
                <w:sz w:val="21"/>
                <w:szCs w:val="21"/>
                <w:highlight w:val="none"/>
              </w:rPr>
              <w:t>个方面外，供应商可根据采购需求、项目特点，提供其他有针对性的措施，对所提供的措施的科学性、合理性、适用性进行赋分：</w:t>
            </w:r>
          </w:p>
          <w:p w14:paraId="7F7FDE05">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（1）方案全面具体性、措施完善性、科学合理性优于项目需求的，得</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分；</w:t>
            </w:r>
          </w:p>
          <w:p w14:paraId="0993D873">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（2）方案全面具体性、措施完善性、科学合理性，基本满足实际工作需要的，得2分；</w:t>
            </w:r>
          </w:p>
          <w:p w14:paraId="4417AE87">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tc>
        <w:tc>
          <w:tcPr>
            <w:tcW w:w="392" w:type="pct"/>
            <w:noWrap w:val="0"/>
            <w:vAlign w:val="center"/>
          </w:tcPr>
          <w:p w14:paraId="59A04908">
            <w:pPr>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r>
              <w:rPr>
                <w:rFonts w:hint="eastAsia" w:ascii="宋体" w:hAnsi="宋体" w:eastAsia="宋体" w:cs="宋体"/>
                <w:color w:val="auto"/>
                <w:sz w:val="21"/>
                <w:szCs w:val="21"/>
                <w:highlight w:val="none"/>
                <w:lang w:val="en-US" w:eastAsia="zh-CN"/>
              </w:rPr>
              <w:t>分</w:t>
            </w:r>
          </w:p>
        </w:tc>
      </w:tr>
      <w:tr w14:paraId="6C081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3" w:hRule="atLeast"/>
          <w:jc w:val="center"/>
        </w:trPr>
        <w:tc>
          <w:tcPr>
            <w:tcW w:w="305" w:type="pct"/>
            <w:noWrap w:val="0"/>
            <w:vAlign w:val="center"/>
          </w:tcPr>
          <w:p w14:paraId="3E1CFC63">
            <w:pPr>
              <w:spacing w:line="360" w:lineRule="auto"/>
              <w:jc w:val="center"/>
              <w:rPr>
                <w:rFonts w:hint="eastAsia" w:ascii="宋体" w:hAnsi="宋体" w:eastAsia="宋体" w:cs="宋体"/>
                <w:b/>
                <w:bCs w:val="0"/>
                <w:color w:val="auto"/>
                <w:kern w:val="0"/>
                <w:sz w:val="21"/>
                <w:szCs w:val="21"/>
                <w:highlight w:val="none"/>
                <w:lang w:val="en-US" w:eastAsia="zh-CN"/>
              </w:rPr>
            </w:pPr>
            <w:r>
              <w:rPr>
                <w:rFonts w:hint="eastAsia" w:ascii="宋体" w:hAnsi="宋体" w:cs="宋体"/>
                <w:b/>
                <w:bCs w:val="0"/>
                <w:color w:val="auto"/>
                <w:kern w:val="0"/>
                <w:sz w:val="21"/>
                <w:szCs w:val="21"/>
                <w:highlight w:val="none"/>
                <w:lang w:val="en-US" w:eastAsia="zh-CN"/>
              </w:rPr>
              <w:t>7</w:t>
            </w:r>
          </w:p>
        </w:tc>
        <w:tc>
          <w:tcPr>
            <w:tcW w:w="467" w:type="pct"/>
            <w:noWrap w:val="0"/>
            <w:vAlign w:val="center"/>
          </w:tcPr>
          <w:p w14:paraId="19AA57DD">
            <w:pPr>
              <w:jc w:val="center"/>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投标</w:t>
            </w:r>
          </w:p>
          <w:p w14:paraId="5C173A6D">
            <w:pPr>
              <w:jc w:val="center"/>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价格</w:t>
            </w:r>
          </w:p>
        </w:tc>
        <w:tc>
          <w:tcPr>
            <w:tcW w:w="3835" w:type="pct"/>
            <w:noWrap w:val="0"/>
            <w:vAlign w:val="center"/>
          </w:tcPr>
          <w:p w14:paraId="017FCBF4">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价格分采用低价优先法计算，即满足</w:t>
            </w:r>
            <w:r>
              <w:rPr>
                <w:rFonts w:hint="eastAsia" w:ascii="宋体" w:hAnsi="宋体" w:eastAsia="宋体" w:cs="宋体"/>
                <w:color w:val="auto"/>
                <w:sz w:val="21"/>
                <w:szCs w:val="21"/>
                <w:highlight w:val="none"/>
                <w:lang w:eastAsia="zh-CN"/>
              </w:rPr>
              <w:t>磋商</w:t>
            </w:r>
            <w:r>
              <w:rPr>
                <w:rFonts w:hint="eastAsia" w:ascii="宋体" w:hAnsi="宋体" w:eastAsia="宋体" w:cs="宋体"/>
                <w:color w:val="auto"/>
                <w:sz w:val="21"/>
                <w:szCs w:val="21"/>
                <w:highlight w:val="none"/>
              </w:rPr>
              <w:t>文件要求且最后报价最低的供应商报价为磋商基准价，其价格分为满分</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0分，其它供应商的价格分统一按照以下公式计算：磋商报价得分＝（磋商基准价/最后磋商报价）×价格权值×100。</w:t>
            </w:r>
          </w:p>
        </w:tc>
        <w:tc>
          <w:tcPr>
            <w:tcW w:w="392" w:type="pct"/>
            <w:noWrap w:val="0"/>
            <w:vAlign w:val="center"/>
          </w:tcPr>
          <w:p w14:paraId="17F55777">
            <w:pPr>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30分</w:t>
            </w:r>
          </w:p>
        </w:tc>
      </w:tr>
    </w:tbl>
    <w:p w14:paraId="5DF93F1B">
      <w:pPr>
        <w:rPr>
          <w:color w:val="auto"/>
        </w:rPr>
      </w:pPr>
    </w:p>
    <w:p w14:paraId="2B9BF5F0">
      <w:pPr>
        <w:rPr>
          <w:color w:val="auto"/>
        </w:rPr>
      </w:pPr>
      <w:r>
        <w:rPr>
          <w:color w:val="auto"/>
        </w:rPr>
        <w:br w:type="page"/>
      </w:r>
    </w:p>
    <w:p w14:paraId="1F787848">
      <w:pPr>
        <w:spacing w:before="159" w:after="159" w:line="440" w:lineRule="exact"/>
        <w:jc w:val="center"/>
        <w:rPr>
          <w:rFonts w:hint="default" w:ascii="宋体" w:hAnsi="宋体" w:eastAsia="宋体" w:cs="宋体"/>
          <w:b/>
          <w:bCs/>
          <w:color w:val="auto"/>
          <w:sz w:val="36"/>
          <w:szCs w:val="36"/>
          <w:highlight w:val="none"/>
          <w:lang w:val="en-US" w:eastAsia="zh-CN"/>
        </w:rPr>
      </w:pPr>
      <w:r>
        <w:rPr>
          <w:rFonts w:hint="eastAsia" w:ascii="宋体" w:hAnsi="宋体" w:cs="宋体"/>
          <w:b/>
          <w:bCs/>
          <w:color w:val="auto"/>
          <w:sz w:val="36"/>
          <w:szCs w:val="36"/>
          <w:highlight w:val="none"/>
        </w:rPr>
        <w:t>详细评审标准</w:t>
      </w:r>
      <w:r>
        <w:rPr>
          <w:rFonts w:hint="eastAsia" w:ascii="宋体" w:hAnsi="宋体" w:cs="宋体"/>
          <w:b/>
          <w:bCs/>
          <w:color w:val="auto"/>
          <w:sz w:val="36"/>
          <w:szCs w:val="36"/>
          <w:highlight w:val="none"/>
          <w:lang w:val="en-US" w:eastAsia="zh-CN"/>
        </w:rPr>
        <w:t>-C包</w:t>
      </w:r>
    </w:p>
    <w:p w14:paraId="30F0C06F">
      <w:pPr>
        <w:pStyle w:val="11"/>
        <w:rPr>
          <w:rFonts w:hint="eastAsia"/>
          <w:color w:val="auto"/>
        </w:rPr>
      </w:pPr>
    </w:p>
    <w:tbl>
      <w:tblPr>
        <w:tblStyle w:val="23"/>
        <w:tblW w:w="570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5"/>
        <w:gridCol w:w="953"/>
        <w:gridCol w:w="7825"/>
        <w:gridCol w:w="800"/>
      </w:tblGrid>
      <w:tr w14:paraId="231B4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6" w:type="pct"/>
            <w:noWrap w:val="0"/>
            <w:vAlign w:val="center"/>
          </w:tcPr>
          <w:p w14:paraId="15A78A34">
            <w:pPr>
              <w:spacing w:line="36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
                <w:bCs/>
                <w:color w:val="auto"/>
                <w:sz w:val="21"/>
                <w:szCs w:val="21"/>
                <w:highlight w:val="none"/>
                <w:lang w:bidi="ar-SA"/>
              </w:rPr>
              <w:t>序号</w:t>
            </w:r>
          </w:p>
        </w:tc>
        <w:tc>
          <w:tcPr>
            <w:tcW w:w="467" w:type="pct"/>
            <w:noWrap w:val="0"/>
            <w:vAlign w:val="center"/>
          </w:tcPr>
          <w:p w14:paraId="57579E27">
            <w:pPr>
              <w:spacing w:line="360" w:lineRule="auto"/>
              <w:jc w:val="center"/>
              <w:rPr>
                <w:rFonts w:hint="eastAsia" w:ascii="宋体" w:hAnsi="宋体" w:eastAsia="宋体" w:cs="宋体"/>
                <w:b/>
                <w:bCs/>
                <w:color w:val="auto"/>
                <w:sz w:val="21"/>
                <w:szCs w:val="21"/>
                <w:highlight w:val="none"/>
                <w:lang w:bidi="ar-SA"/>
              </w:rPr>
            </w:pPr>
            <w:r>
              <w:rPr>
                <w:rFonts w:hint="eastAsia" w:ascii="宋体" w:hAnsi="宋体" w:eastAsia="宋体" w:cs="宋体"/>
                <w:b/>
                <w:bCs/>
                <w:color w:val="auto"/>
                <w:sz w:val="21"/>
                <w:szCs w:val="21"/>
                <w:highlight w:val="none"/>
                <w:lang w:bidi="ar-SA"/>
              </w:rPr>
              <w:t>评分</w:t>
            </w:r>
          </w:p>
          <w:p w14:paraId="18C9F3CA">
            <w:pPr>
              <w:spacing w:line="36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
                <w:bCs/>
                <w:color w:val="auto"/>
                <w:sz w:val="21"/>
                <w:szCs w:val="21"/>
                <w:highlight w:val="none"/>
                <w:lang w:bidi="ar-SA"/>
              </w:rPr>
              <w:t>项目</w:t>
            </w:r>
          </w:p>
        </w:tc>
        <w:tc>
          <w:tcPr>
            <w:tcW w:w="3834" w:type="pct"/>
            <w:noWrap w:val="0"/>
            <w:vAlign w:val="center"/>
          </w:tcPr>
          <w:p w14:paraId="51F8C18A">
            <w:pPr>
              <w:spacing w:line="36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
                <w:bCs/>
                <w:color w:val="auto"/>
                <w:sz w:val="21"/>
                <w:szCs w:val="21"/>
                <w:highlight w:val="none"/>
                <w:lang w:bidi="ar-SA"/>
              </w:rPr>
              <w:t>评分内容</w:t>
            </w:r>
          </w:p>
        </w:tc>
        <w:tc>
          <w:tcPr>
            <w:tcW w:w="392" w:type="pct"/>
            <w:noWrap w:val="0"/>
            <w:vAlign w:val="center"/>
          </w:tcPr>
          <w:p w14:paraId="4752761F">
            <w:pPr>
              <w:spacing w:line="36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
                <w:bCs/>
                <w:color w:val="auto"/>
                <w:sz w:val="21"/>
                <w:szCs w:val="21"/>
                <w:highlight w:val="none"/>
                <w:lang w:bidi="ar-SA"/>
              </w:rPr>
              <w:t>分值</w:t>
            </w:r>
          </w:p>
        </w:tc>
      </w:tr>
      <w:tr w14:paraId="6AAE8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6" w:type="pct"/>
            <w:noWrap w:val="0"/>
            <w:vAlign w:val="center"/>
          </w:tcPr>
          <w:p w14:paraId="467E5A43">
            <w:pPr>
              <w:spacing w:line="360" w:lineRule="auto"/>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lang w:val="en-US" w:eastAsia="zh-CN"/>
              </w:rPr>
              <w:t>1</w:t>
            </w:r>
          </w:p>
        </w:tc>
        <w:tc>
          <w:tcPr>
            <w:tcW w:w="467" w:type="pct"/>
            <w:noWrap w:val="0"/>
            <w:vAlign w:val="center"/>
          </w:tcPr>
          <w:p w14:paraId="6394F0DE">
            <w:pPr>
              <w:jc w:val="center"/>
              <w:rPr>
                <w:rFonts w:hint="eastAsia" w:ascii="宋体" w:hAnsi="宋体" w:eastAsia="宋体" w:cs="宋体"/>
                <w:b/>
                <w:bCs w:val="0"/>
                <w:color w:val="auto"/>
                <w:sz w:val="21"/>
                <w:szCs w:val="21"/>
                <w:highlight w:val="none"/>
              </w:rPr>
            </w:pPr>
            <w:r>
              <w:rPr>
                <w:rFonts w:hint="eastAsia" w:ascii="宋体" w:hAnsi="宋体" w:eastAsia="宋体" w:cs="宋体"/>
                <w:color w:val="auto"/>
                <w:sz w:val="21"/>
                <w:szCs w:val="21"/>
                <w:lang w:val="en-US" w:eastAsia="zh-CN"/>
              </w:rPr>
              <w:t>带▲的关键性技术参数及要求</w:t>
            </w:r>
          </w:p>
        </w:tc>
        <w:tc>
          <w:tcPr>
            <w:tcW w:w="3834" w:type="pct"/>
            <w:noWrap w:val="0"/>
            <w:vAlign w:val="center"/>
          </w:tcPr>
          <w:p w14:paraId="72FE6AAF">
            <w:pPr>
              <w:pStyle w:val="10"/>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根据采购文件“第三章《采购需求》 二、采购清单及技术参数”的全部产品（</w:t>
            </w:r>
            <w:r>
              <w:rPr>
                <w:rFonts w:hint="eastAsia" w:ascii="宋体" w:hAnsi="宋体" w:cs="宋体"/>
                <w:color w:val="auto"/>
                <w:sz w:val="21"/>
                <w:szCs w:val="21"/>
                <w:lang w:val="en-US" w:eastAsia="zh-CN"/>
              </w:rPr>
              <w:t>C</w:t>
            </w:r>
            <w:r>
              <w:rPr>
                <w:rFonts w:hint="eastAsia" w:ascii="宋体" w:hAnsi="宋体" w:eastAsia="宋体" w:cs="宋体"/>
                <w:color w:val="auto"/>
                <w:sz w:val="21"/>
                <w:szCs w:val="21"/>
                <w:lang w:val="en-US" w:eastAsia="zh-CN"/>
              </w:rPr>
              <w:t>包共84项），</w:t>
            </w:r>
            <w:r>
              <w:rPr>
                <w:rFonts w:hint="eastAsia" w:ascii="宋体" w:hAnsi="宋体" w:eastAsia="宋体" w:cs="宋体"/>
                <w:color w:val="auto"/>
                <w:sz w:val="21"/>
                <w:szCs w:val="21"/>
              </w:rPr>
              <w:t>其中</w:t>
            </w:r>
            <w:r>
              <w:rPr>
                <w:rFonts w:hint="eastAsia" w:ascii="宋体" w:hAnsi="宋体" w:eastAsia="宋体" w:cs="宋体"/>
                <w:color w:val="auto"/>
                <w:sz w:val="21"/>
                <w:szCs w:val="21"/>
                <w:lang w:val="en-US" w:eastAsia="zh-CN"/>
              </w:rPr>
              <w:t>带▲的关键性技术参数及要求</w:t>
            </w:r>
            <w:r>
              <w:rPr>
                <w:rFonts w:hint="eastAsia" w:ascii="宋体" w:hAnsi="宋体" w:eastAsia="宋体" w:cs="宋体"/>
                <w:color w:val="auto"/>
                <w:sz w:val="21"/>
                <w:szCs w:val="21"/>
              </w:rPr>
              <w:t>共</w:t>
            </w:r>
            <w:r>
              <w:rPr>
                <w:rFonts w:hint="eastAsia" w:ascii="宋体" w:hAnsi="宋体" w:eastAsia="宋体" w:cs="宋体"/>
                <w:color w:val="auto"/>
                <w:sz w:val="21"/>
                <w:szCs w:val="21"/>
                <w:lang w:val="en-US" w:eastAsia="zh-CN"/>
              </w:rPr>
              <w:t>9</w:t>
            </w:r>
            <w:r>
              <w:rPr>
                <w:rFonts w:hint="eastAsia" w:ascii="宋体" w:hAnsi="宋体" w:eastAsia="宋体" w:cs="宋体"/>
                <w:color w:val="auto"/>
                <w:sz w:val="21"/>
                <w:szCs w:val="21"/>
              </w:rPr>
              <w:t>条，每</w:t>
            </w:r>
            <w:r>
              <w:rPr>
                <w:rFonts w:hint="eastAsia" w:ascii="宋体" w:hAnsi="宋体" w:eastAsia="宋体" w:cs="宋体"/>
                <w:color w:val="auto"/>
                <w:sz w:val="21"/>
                <w:szCs w:val="21"/>
                <w:lang w:val="en-US" w:eastAsia="zh-CN"/>
              </w:rPr>
              <w:t>满足一条得0.5</w:t>
            </w:r>
            <w:r>
              <w:rPr>
                <w:rFonts w:hint="eastAsia" w:ascii="宋体" w:hAnsi="宋体" w:eastAsia="宋体" w:cs="宋体"/>
                <w:color w:val="auto"/>
                <w:sz w:val="21"/>
                <w:szCs w:val="21"/>
              </w:rPr>
              <w:t>分</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合计最高得4.5分</w:t>
            </w:r>
            <w:r>
              <w:rPr>
                <w:rFonts w:hint="eastAsia" w:ascii="宋体" w:hAnsi="宋体" w:eastAsia="宋体" w:cs="宋体"/>
                <w:color w:val="auto"/>
                <w:sz w:val="21"/>
                <w:szCs w:val="21"/>
                <w:lang w:eastAsia="zh-CN"/>
              </w:rPr>
              <w:t>。</w:t>
            </w:r>
          </w:p>
          <w:p w14:paraId="10B508B9">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lang w:val="en-US" w:eastAsia="zh-CN"/>
              </w:rPr>
              <w:t>注明：采购需求中有明确要求提供证明材料，需按照要求提供，不提供不得分；若采购需求中未明确要求提供证明材料，由评审委员会根据投标人的响应情况进行评定。</w:t>
            </w:r>
          </w:p>
        </w:tc>
        <w:tc>
          <w:tcPr>
            <w:tcW w:w="392" w:type="pct"/>
            <w:noWrap w:val="0"/>
            <w:vAlign w:val="center"/>
          </w:tcPr>
          <w:p w14:paraId="0A6803EB">
            <w:pPr>
              <w:spacing w:line="360" w:lineRule="auto"/>
              <w:jc w:val="center"/>
              <w:rPr>
                <w:rFonts w:hint="eastAsia" w:ascii="宋体" w:hAnsi="宋体" w:eastAsia="宋体" w:cs="宋体"/>
                <w:bCs/>
                <w:color w:val="auto"/>
                <w:kern w:val="0"/>
                <w:sz w:val="21"/>
                <w:szCs w:val="21"/>
                <w:highlight w:val="none"/>
                <w:lang w:val="en-US" w:eastAsia="zh-CN"/>
              </w:rPr>
            </w:pPr>
            <w:r>
              <w:rPr>
                <w:rFonts w:hint="eastAsia" w:ascii="宋体" w:hAnsi="宋体" w:cs="宋体"/>
                <w:bCs/>
                <w:color w:val="auto"/>
                <w:kern w:val="0"/>
                <w:sz w:val="21"/>
                <w:szCs w:val="21"/>
                <w:highlight w:val="none"/>
                <w:lang w:val="en-US" w:eastAsia="zh-CN"/>
              </w:rPr>
              <w:t>4.5</w:t>
            </w:r>
            <w:r>
              <w:rPr>
                <w:rFonts w:hint="eastAsia" w:ascii="宋体" w:hAnsi="宋体" w:eastAsia="宋体" w:cs="宋体"/>
                <w:bCs/>
                <w:color w:val="auto"/>
                <w:kern w:val="0"/>
                <w:sz w:val="21"/>
                <w:szCs w:val="21"/>
                <w:highlight w:val="none"/>
                <w:lang w:val="en-US" w:eastAsia="zh-CN"/>
              </w:rPr>
              <w:t>分</w:t>
            </w:r>
          </w:p>
        </w:tc>
      </w:tr>
      <w:tr w14:paraId="6E4BB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6" w:type="pct"/>
            <w:noWrap w:val="0"/>
            <w:vAlign w:val="center"/>
          </w:tcPr>
          <w:p w14:paraId="48E656D6">
            <w:pPr>
              <w:spacing w:line="360" w:lineRule="auto"/>
              <w:jc w:val="center"/>
              <w:rPr>
                <w:rFonts w:hint="default" w:ascii="宋体" w:hAnsi="宋体" w:eastAsia="宋体" w:cs="宋体"/>
                <w:b/>
                <w:bCs w:val="0"/>
                <w:color w:val="auto"/>
                <w:kern w:val="0"/>
                <w:sz w:val="21"/>
                <w:szCs w:val="21"/>
                <w:highlight w:val="none"/>
                <w:lang w:val="en-US" w:eastAsia="zh-CN"/>
              </w:rPr>
            </w:pPr>
            <w:r>
              <w:rPr>
                <w:rFonts w:hint="eastAsia" w:ascii="宋体" w:hAnsi="宋体" w:cs="宋体"/>
                <w:b/>
                <w:bCs w:val="0"/>
                <w:color w:val="auto"/>
                <w:kern w:val="0"/>
                <w:sz w:val="21"/>
                <w:szCs w:val="21"/>
                <w:highlight w:val="none"/>
                <w:lang w:val="en-US" w:eastAsia="zh-CN"/>
              </w:rPr>
              <w:t>2</w:t>
            </w:r>
          </w:p>
        </w:tc>
        <w:tc>
          <w:tcPr>
            <w:tcW w:w="467" w:type="pct"/>
            <w:noWrap w:val="0"/>
            <w:vAlign w:val="center"/>
          </w:tcPr>
          <w:p w14:paraId="511C6B5C">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不带</w:t>
            </w:r>
            <w:r>
              <w:rPr>
                <w:rFonts w:hint="eastAsia" w:ascii="宋体" w:hAnsi="宋体" w:eastAsia="宋体" w:cs="宋体"/>
                <w:color w:val="auto"/>
                <w:sz w:val="21"/>
                <w:szCs w:val="21"/>
              </w:rPr>
              <w:t>★</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w:t>
            </w:r>
            <w:r>
              <w:rPr>
                <w:rFonts w:hint="eastAsia" w:ascii="宋体" w:hAnsi="宋体" w:eastAsia="宋体" w:cs="宋体"/>
                <w:color w:val="auto"/>
                <w:sz w:val="21"/>
                <w:szCs w:val="21"/>
                <w:lang w:eastAsia="zh-CN"/>
              </w:rPr>
              <w:t>的</w:t>
            </w:r>
            <w:r>
              <w:rPr>
                <w:rFonts w:hint="eastAsia" w:ascii="宋体" w:hAnsi="宋体" w:eastAsia="宋体" w:cs="宋体"/>
                <w:color w:val="auto"/>
                <w:sz w:val="21"/>
                <w:szCs w:val="21"/>
                <w:lang w:val="en-US" w:eastAsia="zh-CN"/>
              </w:rPr>
              <w:t>一般性技术参数及要求</w:t>
            </w:r>
          </w:p>
        </w:tc>
        <w:tc>
          <w:tcPr>
            <w:tcW w:w="3834" w:type="pct"/>
            <w:noWrap w:val="0"/>
            <w:vAlign w:val="center"/>
          </w:tcPr>
          <w:p w14:paraId="27F3048F">
            <w:pPr>
              <w:pStyle w:val="10"/>
              <w:pageBreakBefore w:val="0"/>
              <w:kinsoku/>
              <w:overflowPunct/>
              <w:topLinePunct w:val="0"/>
              <w:autoSpaceDE/>
              <w:autoSpaceDN/>
              <w:bidi w:val="0"/>
              <w:spacing w:line="360" w:lineRule="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根据采购文件“第三章《采购需求》 二、采购清单及技术参数”的全部产品（</w:t>
            </w:r>
            <w:r>
              <w:rPr>
                <w:rFonts w:hint="eastAsia" w:ascii="宋体" w:hAnsi="宋体" w:cs="宋体"/>
                <w:color w:val="auto"/>
                <w:sz w:val="21"/>
                <w:szCs w:val="21"/>
                <w:lang w:val="en-US" w:eastAsia="zh-CN"/>
              </w:rPr>
              <w:t>C</w:t>
            </w:r>
            <w:r>
              <w:rPr>
                <w:rFonts w:hint="eastAsia" w:ascii="宋体" w:hAnsi="宋体" w:eastAsia="宋体" w:cs="宋体"/>
                <w:color w:val="auto"/>
                <w:sz w:val="21"/>
                <w:szCs w:val="21"/>
                <w:lang w:val="en-US" w:eastAsia="zh-CN"/>
              </w:rPr>
              <w:t>包共84项），共有84项投标产品性能指标及技术参数完全满足不带</w:t>
            </w:r>
            <w:r>
              <w:rPr>
                <w:rFonts w:hint="eastAsia" w:ascii="宋体" w:hAnsi="宋体" w:eastAsia="宋体" w:cs="宋体"/>
                <w:color w:val="auto"/>
                <w:sz w:val="21"/>
                <w:szCs w:val="21"/>
              </w:rPr>
              <w:t>★</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▲的一般性技术参数及要求的得20.5分；</w:t>
            </w:r>
          </w:p>
          <w:p w14:paraId="194281DF">
            <w:pPr>
              <w:pStyle w:val="10"/>
              <w:pageBreakBefore w:val="0"/>
              <w:kinsoku/>
              <w:overflowPunct/>
              <w:topLinePunct w:val="0"/>
              <w:autoSpaceDE/>
              <w:autoSpaceDN/>
              <w:bidi w:val="0"/>
              <w:spacing w:line="360" w:lineRule="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共有83-79项投标产品性能指标及技术参数完全满足不带</w:t>
            </w:r>
            <w:r>
              <w:rPr>
                <w:rFonts w:hint="eastAsia" w:ascii="宋体" w:hAnsi="宋体" w:eastAsia="宋体" w:cs="宋体"/>
                <w:color w:val="auto"/>
                <w:sz w:val="21"/>
                <w:szCs w:val="21"/>
              </w:rPr>
              <w:t>★</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▲的一般性技术参数及要求的得17分；</w:t>
            </w:r>
          </w:p>
          <w:p w14:paraId="49A481D9">
            <w:pPr>
              <w:pStyle w:val="10"/>
              <w:pageBreakBefore w:val="0"/>
              <w:kinsoku/>
              <w:overflowPunct/>
              <w:topLinePunct w:val="0"/>
              <w:autoSpaceDE/>
              <w:autoSpaceDN/>
              <w:bidi w:val="0"/>
              <w:spacing w:line="360" w:lineRule="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共有78-75项投标产品性能指标及技术参数完全满足不带</w:t>
            </w:r>
            <w:r>
              <w:rPr>
                <w:rFonts w:hint="eastAsia" w:ascii="宋体" w:hAnsi="宋体" w:eastAsia="宋体" w:cs="宋体"/>
                <w:color w:val="auto"/>
                <w:sz w:val="21"/>
                <w:szCs w:val="21"/>
              </w:rPr>
              <w:t>★</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▲的一般性技术参数及要求的得14分；</w:t>
            </w:r>
          </w:p>
          <w:p w14:paraId="1FCB3E0E">
            <w:pPr>
              <w:pStyle w:val="10"/>
              <w:pageBreakBefore w:val="0"/>
              <w:kinsoku/>
              <w:overflowPunct/>
              <w:topLinePunct w:val="0"/>
              <w:autoSpaceDE/>
              <w:autoSpaceDN/>
              <w:bidi w:val="0"/>
              <w:spacing w:line="360" w:lineRule="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共有74-71项投标产品性能指标及技术参数完全满足不带</w:t>
            </w:r>
            <w:r>
              <w:rPr>
                <w:rFonts w:hint="eastAsia" w:ascii="宋体" w:hAnsi="宋体" w:eastAsia="宋体" w:cs="宋体"/>
                <w:color w:val="auto"/>
                <w:sz w:val="21"/>
                <w:szCs w:val="21"/>
              </w:rPr>
              <w:t>★</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▲的一般性技术参数及要求的得11分；</w:t>
            </w:r>
          </w:p>
          <w:p w14:paraId="519051C6">
            <w:pPr>
              <w:pStyle w:val="10"/>
              <w:pageBreakBefore w:val="0"/>
              <w:kinsoku/>
              <w:overflowPunct/>
              <w:topLinePunct w:val="0"/>
              <w:autoSpaceDE/>
              <w:autoSpaceDN/>
              <w:bidi w:val="0"/>
              <w:spacing w:line="360" w:lineRule="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共有70-67项投标产品性能指标及技术参数完全满足不带</w:t>
            </w:r>
            <w:r>
              <w:rPr>
                <w:rFonts w:hint="eastAsia" w:ascii="宋体" w:hAnsi="宋体" w:eastAsia="宋体" w:cs="宋体"/>
                <w:color w:val="auto"/>
                <w:sz w:val="21"/>
                <w:szCs w:val="21"/>
              </w:rPr>
              <w:t>★</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▲的一般性技术参数及要求的得8分；其余情况不得分。</w:t>
            </w:r>
          </w:p>
          <w:p w14:paraId="1639A07C">
            <w:pP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注明：漏报技术参数视为不满足。</w:t>
            </w:r>
          </w:p>
        </w:tc>
        <w:tc>
          <w:tcPr>
            <w:tcW w:w="392" w:type="pct"/>
            <w:noWrap w:val="0"/>
            <w:vAlign w:val="center"/>
          </w:tcPr>
          <w:p w14:paraId="6279B08B">
            <w:pPr>
              <w:spacing w:line="360" w:lineRule="auto"/>
              <w:jc w:val="center"/>
              <w:rPr>
                <w:rFonts w:hint="default" w:ascii="宋体" w:hAnsi="宋体" w:cs="宋体"/>
                <w:bCs/>
                <w:color w:val="auto"/>
                <w:kern w:val="0"/>
                <w:sz w:val="21"/>
                <w:szCs w:val="21"/>
                <w:highlight w:val="none"/>
                <w:lang w:val="en-US" w:eastAsia="zh-CN"/>
              </w:rPr>
            </w:pPr>
            <w:r>
              <w:rPr>
                <w:rFonts w:hint="eastAsia" w:ascii="宋体" w:hAnsi="宋体" w:cs="宋体"/>
                <w:bCs/>
                <w:color w:val="auto"/>
                <w:kern w:val="0"/>
                <w:sz w:val="21"/>
                <w:szCs w:val="21"/>
                <w:highlight w:val="none"/>
                <w:lang w:val="en-US" w:eastAsia="zh-CN"/>
              </w:rPr>
              <w:t>20.5分</w:t>
            </w:r>
          </w:p>
        </w:tc>
      </w:tr>
      <w:tr w14:paraId="46DC4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6" w:type="pct"/>
            <w:noWrap w:val="0"/>
            <w:vAlign w:val="center"/>
          </w:tcPr>
          <w:p w14:paraId="420240B7">
            <w:pPr>
              <w:spacing w:line="360" w:lineRule="auto"/>
              <w:jc w:val="center"/>
              <w:rPr>
                <w:rFonts w:hint="eastAsia" w:ascii="宋体" w:hAnsi="宋体" w:eastAsia="宋体" w:cs="宋体"/>
                <w:b/>
                <w:bCs w:val="0"/>
                <w:color w:val="auto"/>
                <w:sz w:val="21"/>
                <w:szCs w:val="21"/>
                <w:highlight w:val="none"/>
                <w:lang w:val="en-US" w:eastAsia="zh-CN"/>
              </w:rPr>
            </w:pPr>
            <w:r>
              <w:rPr>
                <w:rFonts w:hint="eastAsia" w:ascii="宋体" w:hAnsi="宋体" w:cs="宋体"/>
                <w:b/>
                <w:bCs w:val="0"/>
                <w:color w:val="auto"/>
                <w:sz w:val="21"/>
                <w:szCs w:val="21"/>
                <w:highlight w:val="none"/>
                <w:lang w:val="en-US" w:eastAsia="zh-CN"/>
              </w:rPr>
              <w:t>3</w:t>
            </w:r>
          </w:p>
        </w:tc>
        <w:tc>
          <w:tcPr>
            <w:tcW w:w="467" w:type="pct"/>
            <w:noWrap w:val="0"/>
            <w:vAlign w:val="center"/>
          </w:tcPr>
          <w:p w14:paraId="37253B3F">
            <w:pPr>
              <w:jc w:val="center"/>
              <w:rPr>
                <w:rFonts w:hint="eastAsia" w:ascii="宋体" w:hAnsi="宋体" w:eastAsia="宋体" w:cs="宋体"/>
                <w:b/>
                <w:bCs w:val="0"/>
                <w:color w:val="auto"/>
                <w:sz w:val="21"/>
                <w:szCs w:val="21"/>
                <w:highlight w:val="none"/>
                <w:lang w:val="en-US" w:eastAsia="zh-CN"/>
              </w:rPr>
            </w:pPr>
            <w:r>
              <w:rPr>
                <w:rFonts w:hint="eastAsia" w:ascii="宋体" w:hAnsi="宋体" w:eastAsia="宋体" w:cs="宋体"/>
                <w:b/>
                <w:bCs w:val="0"/>
                <w:color w:val="auto"/>
                <w:sz w:val="21"/>
                <w:szCs w:val="21"/>
                <w:highlight w:val="none"/>
                <w:lang w:val="en-US" w:eastAsia="zh-CN"/>
              </w:rPr>
              <w:t>类似</w:t>
            </w:r>
          </w:p>
          <w:p w14:paraId="00E4D30A">
            <w:pPr>
              <w:jc w:val="center"/>
              <w:rPr>
                <w:rFonts w:hint="eastAsia" w:ascii="宋体" w:hAnsi="宋体" w:eastAsia="宋体" w:cs="宋体"/>
                <w:b/>
                <w:bCs w:val="0"/>
                <w:color w:val="auto"/>
                <w:sz w:val="21"/>
                <w:szCs w:val="21"/>
                <w:highlight w:val="none"/>
                <w:lang w:val="en-US" w:eastAsia="zh-CN"/>
              </w:rPr>
            </w:pPr>
            <w:r>
              <w:rPr>
                <w:rFonts w:hint="eastAsia" w:ascii="宋体" w:hAnsi="宋体" w:eastAsia="宋体" w:cs="宋体"/>
                <w:b/>
                <w:bCs w:val="0"/>
                <w:color w:val="auto"/>
                <w:sz w:val="21"/>
                <w:szCs w:val="21"/>
                <w:highlight w:val="none"/>
                <w:lang w:val="en-US" w:eastAsia="zh-CN"/>
              </w:rPr>
              <w:t>业绩</w:t>
            </w:r>
          </w:p>
        </w:tc>
        <w:tc>
          <w:tcPr>
            <w:tcW w:w="3834" w:type="pct"/>
            <w:noWrap w:val="0"/>
            <w:vAlign w:val="center"/>
          </w:tcPr>
          <w:p w14:paraId="1EC5E163">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供应商202</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年1月1日至今（以合同签订时间为准），具有类似项目业绩每提供一份项目合同，得</w:t>
            </w:r>
            <w:r>
              <w:rPr>
                <w:rFonts w:hint="eastAsia" w:ascii="宋体" w:hAnsi="宋体" w:cs="宋体"/>
                <w:color w:val="auto"/>
                <w:sz w:val="21"/>
                <w:szCs w:val="21"/>
                <w:highlight w:val="none"/>
                <w:lang w:val="en-US" w:eastAsia="zh-CN"/>
              </w:rPr>
              <w:t>1.5</w:t>
            </w:r>
            <w:r>
              <w:rPr>
                <w:rFonts w:hint="eastAsia" w:ascii="宋体" w:hAnsi="宋体" w:eastAsia="宋体" w:cs="宋体"/>
                <w:color w:val="auto"/>
                <w:sz w:val="21"/>
                <w:szCs w:val="21"/>
                <w:highlight w:val="none"/>
                <w:lang w:val="en-US" w:eastAsia="zh-CN"/>
              </w:rPr>
              <w:t>分，满分</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分。</w:t>
            </w:r>
          </w:p>
          <w:p w14:paraId="1BFD0CDA">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注：提供合同复印件加盖公章。</w:t>
            </w: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须对所</w:t>
            </w:r>
            <w:r>
              <w:rPr>
                <w:rFonts w:hint="eastAsia" w:ascii="宋体" w:hAnsi="宋体" w:cs="宋体"/>
                <w:color w:val="auto"/>
                <w:sz w:val="21"/>
                <w:szCs w:val="21"/>
                <w:highlight w:val="none"/>
                <w:lang w:val="en-US" w:eastAsia="zh-CN"/>
              </w:rPr>
              <w:t>提供业绩</w:t>
            </w:r>
            <w:r>
              <w:rPr>
                <w:rFonts w:hint="eastAsia" w:ascii="宋体" w:hAnsi="宋体" w:eastAsia="宋体" w:cs="宋体"/>
                <w:color w:val="auto"/>
                <w:sz w:val="21"/>
                <w:szCs w:val="21"/>
                <w:highlight w:val="none"/>
                <w:lang w:val="en-US" w:eastAsia="zh-CN"/>
              </w:rPr>
              <w:t>的真实性负责，提供虚假</w:t>
            </w:r>
            <w:r>
              <w:rPr>
                <w:rFonts w:hint="eastAsia" w:ascii="宋体" w:hAnsi="宋体" w:cs="宋体"/>
                <w:color w:val="auto"/>
                <w:sz w:val="21"/>
                <w:szCs w:val="21"/>
                <w:highlight w:val="none"/>
                <w:lang w:val="en-US" w:eastAsia="zh-CN"/>
              </w:rPr>
              <w:t>业绩</w:t>
            </w:r>
            <w:r>
              <w:rPr>
                <w:rFonts w:hint="eastAsia" w:ascii="宋体" w:hAnsi="宋体" w:eastAsia="宋体" w:cs="宋体"/>
                <w:color w:val="auto"/>
                <w:sz w:val="21"/>
                <w:szCs w:val="21"/>
                <w:highlight w:val="none"/>
                <w:lang w:val="en-US" w:eastAsia="zh-CN"/>
              </w:rPr>
              <w:t>，伪造</w:t>
            </w:r>
            <w:r>
              <w:rPr>
                <w:rFonts w:hint="eastAsia" w:ascii="宋体" w:hAnsi="宋体" w:cs="宋体"/>
                <w:color w:val="auto"/>
                <w:sz w:val="21"/>
                <w:szCs w:val="21"/>
                <w:highlight w:val="none"/>
                <w:lang w:val="en-US" w:eastAsia="zh-CN"/>
              </w:rPr>
              <w:t>业绩的，</w:t>
            </w:r>
            <w:r>
              <w:rPr>
                <w:rFonts w:hint="eastAsia" w:ascii="宋体" w:hAnsi="宋体" w:eastAsia="宋体" w:cs="宋体"/>
                <w:color w:val="auto"/>
                <w:sz w:val="21"/>
                <w:szCs w:val="21"/>
                <w:highlight w:val="none"/>
                <w:lang w:val="en-US" w:eastAsia="zh-CN"/>
              </w:rPr>
              <w:t>按</w:t>
            </w:r>
            <w:r>
              <w:rPr>
                <w:rFonts w:hint="eastAsia" w:ascii="宋体" w:hAnsi="宋体" w:cs="宋体"/>
                <w:color w:val="auto"/>
                <w:sz w:val="21"/>
                <w:szCs w:val="21"/>
                <w:highlight w:val="none"/>
                <w:lang w:val="en-US" w:eastAsia="zh-CN"/>
              </w:rPr>
              <w:t>无效投标</w:t>
            </w:r>
            <w:r>
              <w:rPr>
                <w:rFonts w:hint="eastAsia" w:ascii="宋体" w:hAnsi="宋体" w:eastAsia="宋体" w:cs="宋体"/>
                <w:color w:val="auto"/>
                <w:sz w:val="21"/>
                <w:szCs w:val="21"/>
                <w:highlight w:val="none"/>
                <w:lang w:val="en-US" w:eastAsia="zh-CN"/>
              </w:rPr>
              <w:t>处理，并上报</w:t>
            </w:r>
            <w:r>
              <w:rPr>
                <w:rFonts w:hint="eastAsia" w:ascii="宋体" w:hAnsi="宋体" w:cs="宋体"/>
                <w:color w:val="auto"/>
                <w:sz w:val="21"/>
                <w:szCs w:val="21"/>
                <w:highlight w:val="none"/>
                <w:lang w:val="en-US" w:eastAsia="zh-CN"/>
              </w:rPr>
              <w:t>相关</w:t>
            </w:r>
            <w:r>
              <w:rPr>
                <w:rFonts w:hint="eastAsia" w:ascii="宋体" w:hAnsi="宋体" w:eastAsia="宋体" w:cs="宋体"/>
                <w:color w:val="auto"/>
                <w:sz w:val="21"/>
                <w:szCs w:val="21"/>
                <w:highlight w:val="none"/>
                <w:lang w:val="en-US" w:eastAsia="zh-CN"/>
              </w:rPr>
              <w:t>主管部门进行严肃处理</w:t>
            </w:r>
            <w:r>
              <w:rPr>
                <w:rFonts w:hint="eastAsia" w:ascii="宋体" w:hAnsi="宋体" w:cs="宋体"/>
                <w:color w:val="auto"/>
                <w:sz w:val="21"/>
                <w:szCs w:val="21"/>
                <w:highlight w:val="none"/>
                <w:lang w:val="en-US" w:eastAsia="zh-CN"/>
              </w:rPr>
              <w:t>。</w:t>
            </w:r>
          </w:p>
        </w:tc>
        <w:tc>
          <w:tcPr>
            <w:tcW w:w="392" w:type="pct"/>
            <w:noWrap w:val="0"/>
            <w:vAlign w:val="center"/>
          </w:tcPr>
          <w:p w14:paraId="200E3ECF">
            <w:pPr>
              <w:spacing w:line="360" w:lineRule="auto"/>
              <w:jc w:val="center"/>
              <w:rPr>
                <w:rFonts w:hint="eastAsia" w:ascii="宋体" w:hAnsi="宋体" w:eastAsia="宋体" w:cs="宋体"/>
                <w:bCs/>
                <w:color w:val="auto"/>
                <w:kern w:val="0"/>
                <w:sz w:val="21"/>
                <w:szCs w:val="21"/>
                <w:highlight w:val="none"/>
              </w:rPr>
            </w:pPr>
            <w:r>
              <w:rPr>
                <w:rFonts w:hint="eastAsia" w:ascii="宋体" w:hAnsi="宋体" w:cs="宋体"/>
                <w:bCs/>
                <w:color w:val="auto"/>
                <w:kern w:val="0"/>
                <w:sz w:val="21"/>
                <w:szCs w:val="21"/>
                <w:highlight w:val="none"/>
                <w:lang w:val="en-US" w:eastAsia="zh-CN"/>
              </w:rPr>
              <w:t>3</w:t>
            </w:r>
            <w:r>
              <w:rPr>
                <w:rFonts w:hint="eastAsia" w:ascii="宋体" w:hAnsi="宋体" w:eastAsia="宋体" w:cs="宋体"/>
                <w:bCs/>
                <w:color w:val="auto"/>
                <w:kern w:val="0"/>
                <w:sz w:val="21"/>
                <w:szCs w:val="21"/>
                <w:highlight w:val="none"/>
                <w:lang w:val="en-US" w:eastAsia="zh-CN"/>
              </w:rPr>
              <w:t>分</w:t>
            </w:r>
          </w:p>
        </w:tc>
      </w:tr>
      <w:tr w14:paraId="71852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306" w:type="pct"/>
            <w:noWrap w:val="0"/>
            <w:vAlign w:val="center"/>
          </w:tcPr>
          <w:p w14:paraId="0F0153ED">
            <w:pPr>
              <w:spacing w:line="360" w:lineRule="auto"/>
              <w:jc w:val="center"/>
              <w:rPr>
                <w:rFonts w:hint="eastAsia" w:ascii="宋体" w:hAnsi="宋体" w:eastAsia="宋体" w:cs="宋体"/>
                <w:b/>
                <w:bCs w:val="0"/>
                <w:color w:val="auto"/>
                <w:kern w:val="0"/>
                <w:sz w:val="21"/>
                <w:szCs w:val="21"/>
                <w:highlight w:val="none"/>
                <w:lang w:val="en-US" w:eastAsia="zh-CN"/>
              </w:rPr>
            </w:pPr>
            <w:r>
              <w:rPr>
                <w:rFonts w:hint="eastAsia" w:ascii="宋体" w:hAnsi="宋体" w:cs="宋体"/>
                <w:b/>
                <w:bCs w:val="0"/>
                <w:color w:val="auto"/>
                <w:kern w:val="0"/>
                <w:sz w:val="21"/>
                <w:szCs w:val="21"/>
                <w:highlight w:val="none"/>
                <w:lang w:val="en-US" w:eastAsia="zh-CN"/>
              </w:rPr>
              <w:t>4</w:t>
            </w:r>
          </w:p>
        </w:tc>
        <w:tc>
          <w:tcPr>
            <w:tcW w:w="467" w:type="pct"/>
            <w:noWrap w:val="0"/>
            <w:vAlign w:val="center"/>
          </w:tcPr>
          <w:p w14:paraId="1A3EEB89">
            <w:pPr>
              <w:jc w:val="center"/>
              <w:rPr>
                <w:rFonts w:hint="eastAsia" w:ascii="宋体" w:hAnsi="宋体" w:eastAsia="宋体" w:cs="宋体"/>
                <w:b/>
                <w:bCs w:val="0"/>
                <w:color w:val="auto"/>
                <w:sz w:val="21"/>
                <w:szCs w:val="21"/>
                <w:highlight w:val="none"/>
                <w:lang w:eastAsia="zh-CN"/>
              </w:rPr>
            </w:pPr>
            <w:r>
              <w:rPr>
                <w:rFonts w:hint="eastAsia" w:ascii="宋体" w:hAnsi="宋体" w:eastAsia="宋体" w:cs="宋体"/>
                <w:b/>
                <w:bCs w:val="0"/>
                <w:color w:val="auto"/>
                <w:sz w:val="21"/>
                <w:szCs w:val="21"/>
                <w:highlight w:val="none"/>
                <w:lang w:eastAsia="zh-CN"/>
              </w:rPr>
              <w:t>安装调试方案</w:t>
            </w:r>
          </w:p>
        </w:tc>
        <w:tc>
          <w:tcPr>
            <w:tcW w:w="3834" w:type="pct"/>
            <w:noWrap w:val="0"/>
            <w:vAlign w:val="center"/>
          </w:tcPr>
          <w:p w14:paraId="66434843">
            <w:pP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根据供应商提供安装调试方案（包括但不限于到货安装调试校验、安装调试进度安排等内容）进行赋分</w:t>
            </w:r>
            <w:r>
              <w:rPr>
                <w:rFonts w:hint="eastAsia" w:ascii="宋体" w:hAnsi="宋体" w:cs="宋体"/>
                <w:b/>
                <w:bCs/>
                <w:color w:val="auto"/>
                <w:sz w:val="21"/>
                <w:szCs w:val="21"/>
                <w:highlight w:val="none"/>
                <w:lang w:val="en-US" w:eastAsia="zh-CN"/>
              </w:rPr>
              <w:t>：</w:t>
            </w:r>
          </w:p>
          <w:p w14:paraId="0D708A0D">
            <w:pP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1、到货安装调试校验</w:t>
            </w:r>
          </w:p>
          <w:p w14:paraId="40309B39">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（1）方案全面具体性、措施完善性、科学合理性，完全满足实际工作需要的，得3分；</w:t>
            </w:r>
          </w:p>
          <w:p w14:paraId="71B4ABD1">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14:paraId="36A31D06">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p w14:paraId="48660F46">
            <w:pPr>
              <w:rPr>
                <w:rFonts w:hint="eastAsia" w:hAnsi="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2、安装调试进度安排</w:t>
            </w:r>
          </w:p>
          <w:p w14:paraId="4FB2EBB6">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（1）方案全面具体性、措施完善性、科学合理性，完全满足实际工作需要的，得3分；</w:t>
            </w:r>
          </w:p>
          <w:p w14:paraId="7F1B8FFF">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14:paraId="7DC12C4B">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p w14:paraId="42DDE50B">
            <w:pPr>
              <w:rPr>
                <w:rFonts w:hint="eastAsia" w:ascii="宋体" w:hAnsi="宋体" w:eastAsia="宋体" w:cs="宋体"/>
                <w:b/>
                <w:bCs/>
                <w:color w:val="auto"/>
                <w:sz w:val="21"/>
                <w:szCs w:val="21"/>
                <w:highlight w:val="none"/>
              </w:rPr>
            </w:pPr>
            <w:r>
              <w:rPr>
                <w:rFonts w:hint="eastAsia" w:ascii="宋体" w:hAnsi="宋体" w:cs="宋体"/>
                <w:b/>
                <w:bCs/>
                <w:color w:val="auto"/>
                <w:sz w:val="21"/>
                <w:szCs w:val="21"/>
                <w:highlight w:val="none"/>
                <w:lang w:val="en-US" w:eastAsia="zh-CN"/>
              </w:rPr>
              <w:t>3</w:t>
            </w:r>
            <w:r>
              <w:rPr>
                <w:rFonts w:hint="eastAsia" w:ascii="宋体" w:hAnsi="宋体" w:eastAsia="宋体" w:cs="宋体"/>
                <w:b/>
                <w:bCs/>
                <w:color w:val="auto"/>
                <w:sz w:val="21"/>
                <w:szCs w:val="21"/>
                <w:highlight w:val="none"/>
                <w:lang w:val="en-US" w:eastAsia="zh-CN"/>
              </w:rPr>
              <w:t>、</w:t>
            </w:r>
            <w:r>
              <w:rPr>
                <w:rFonts w:hint="eastAsia" w:ascii="宋体" w:hAnsi="宋体" w:eastAsia="宋体" w:cs="宋体"/>
                <w:b/>
                <w:bCs/>
                <w:color w:val="auto"/>
                <w:sz w:val="21"/>
                <w:szCs w:val="21"/>
                <w:highlight w:val="none"/>
              </w:rPr>
              <w:t>方案内容除以上</w:t>
            </w:r>
            <w:r>
              <w:rPr>
                <w:rFonts w:hint="eastAsia" w:ascii="宋体" w:hAnsi="宋体" w:cs="宋体"/>
                <w:b/>
                <w:bCs/>
                <w:color w:val="auto"/>
                <w:sz w:val="21"/>
                <w:szCs w:val="21"/>
                <w:highlight w:val="none"/>
                <w:lang w:val="en-US" w:eastAsia="zh-CN"/>
              </w:rPr>
              <w:t>2</w:t>
            </w:r>
            <w:r>
              <w:rPr>
                <w:rFonts w:hint="eastAsia" w:ascii="宋体" w:hAnsi="宋体" w:eastAsia="宋体" w:cs="宋体"/>
                <w:b/>
                <w:bCs/>
                <w:color w:val="auto"/>
                <w:sz w:val="21"/>
                <w:szCs w:val="21"/>
                <w:highlight w:val="none"/>
              </w:rPr>
              <w:t>个方面外，供应商可根据采购需求、项目特点，提供其他有针对性的措施，对所提供的措施的科学性、合理性、适用性进行赋分：</w:t>
            </w:r>
          </w:p>
          <w:p w14:paraId="25BFAAAA">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（1）方案全面具体性、措施完善性、科学合理性优于项目需求的，得</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分；</w:t>
            </w:r>
          </w:p>
          <w:p w14:paraId="09BFFD2C">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14:paraId="76B69D57">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tc>
        <w:tc>
          <w:tcPr>
            <w:tcW w:w="392" w:type="pct"/>
            <w:noWrap w:val="0"/>
            <w:vAlign w:val="center"/>
          </w:tcPr>
          <w:p w14:paraId="2F393646">
            <w:pPr>
              <w:spacing w:line="360" w:lineRule="auto"/>
              <w:jc w:val="center"/>
              <w:rPr>
                <w:rFonts w:hint="eastAsia" w:ascii="宋体" w:hAnsi="宋体" w:eastAsia="宋体" w:cs="宋体"/>
                <w:bCs/>
                <w:color w:val="auto"/>
                <w:kern w:val="0"/>
                <w:sz w:val="21"/>
                <w:szCs w:val="21"/>
                <w:highlight w:val="none"/>
                <w:lang w:val="en-US" w:eastAsia="zh-CN"/>
              </w:rPr>
            </w:pPr>
            <w:r>
              <w:rPr>
                <w:rFonts w:hint="eastAsia" w:ascii="宋体" w:hAnsi="宋体" w:cs="宋体"/>
                <w:bCs/>
                <w:color w:val="auto"/>
                <w:kern w:val="0"/>
                <w:sz w:val="21"/>
                <w:szCs w:val="21"/>
                <w:highlight w:val="none"/>
                <w:lang w:val="en-US" w:eastAsia="zh-CN"/>
              </w:rPr>
              <w:t>9</w:t>
            </w:r>
            <w:r>
              <w:rPr>
                <w:rFonts w:hint="eastAsia" w:ascii="宋体" w:hAnsi="宋体" w:eastAsia="宋体" w:cs="宋体"/>
                <w:bCs/>
                <w:color w:val="auto"/>
                <w:kern w:val="0"/>
                <w:sz w:val="21"/>
                <w:szCs w:val="21"/>
                <w:highlight w:val="none"/>
                <w:lang w:val="en-US" w:eastAsia="zh-CN"/>
              </w:rPr>
              <w:t>分</w:t>
            </w:r>
          </w:p>
        </w:tc>
      </w:tr>
      <w:tr w14:paraId="3FA4E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306" w:type="pct"/>
            <w:noWrap w:val="0"/>
            <w:vAlign w:val="center"/>
          </w:tcPr>
          <w:p w14:paraId="5AFDFD9E">
            <w:pPr>
              <w:spacing w:line="360" w:lineRule="auto"/>
              <w:jc w:val="center"/>
              <w:rPr>
                <w:rFonts w:hint="default" w:ascii="宋体" w:hAnsi="宋体" w:eastAsia="宋体" w:cs="宋体"/>
                <w:b/>
                <w:bCs w:val="0"/>
                <w:color w:val="auto"/>
                <w:kern w:val="0"/>
                <w:sz w:val="21"/>
                <w:szCs w:val="21"/>
                <w:highlight w:val="none"/>
                <w:lang w:val="en-US" w:eastAsia="zh-CN"/>
              </w:rPr>
            </w:pPr>
            <w:r>
              <w:rPr>
                <w:rFonts w:hint="eastAsia" w:ascii="宋体" w:hAnsi="宋体" w:cs="宋体"/>
                <w:b/>
                <w:bCs w:val="0"/>
                <w:color w:val="auto"/>
                <w:kern w:val="0"/>
                <w:sz w:val="21"/>
                <w:szCs w:val="21"/>
                <w:highlight w:val="none"/>
                <w:lang w:val="en-US" w:eastAsia="zh-CN"/>
              </w:rPr>
              <w:t>5</w:t>
            </w:r>
          </w:p>
        </w:tc>
        <w:tc>
          <w:tcPr>
            <w:tcW w:w="467" w:type="pct"/>
            <w:noWrap w:val="0"/>
            <w:vAlign w:val="center"/>
          </w:tcPr>
          <w:p w14:paraId="785C1B86">
            <w:pPr>
              <w:jc w:val="center"/>
              <w:rPr>
                <w:rFonts w:hint="eastAsia" w:ascii="宋体" w:hAnsi="宋体" w:eastAsia="宋体" w:cs="宋体"/>
                <w:b/>
                <w:bCs w:val="0"/>
                <w:color w:val="auto"/>
                <w:sz w:val="21"/>
                <w:szCs w:val="21"/>
                <w:highlight w:val="none"/>
              </w:rPr>
            </w:pPr>
            <w:r>
              <w:rPr>
                <w:rFonts w:hint="eastAsia" w:ascii="宋体" w:hAnsi="宋体" w:cs="宋体"/>
                <w:b/>
                <w:bCs w:val="0"/>
                <w:color w:val="auto"/>
                <w:sz w:val="21"/>
                <w:szCs w:val="21"/>
                <w:highlight w:val="none"/>
                <w:lang w:val="en-US" w:eastAsia="zh-CN"/>
              </w:rPr>
              <w:t>供货</w:t>
            </w:r>
            <w:r>
              <w:rPr>
                <w:rFonts w:hint="eastAsia" w:ascii="宋体" w:hAnsi="宋体" w:eastAsia="宋体" w:cs="宋体"/>
                <w:b/>
                <w:bCs w:val="0"/>
                <w:color w:val="auto"/>
                <w:sz w:val="21"/>
                <w:szCs w:val="21"/>
                <w:highlight w:val="none"/>
              </w:rPr>
              <w:t>方案</w:t>
            </w:r>
          </w:p>
        </w:tc>
        <w:tc>
          <w:tcPr>
            <w:tcW w:w="3834" w:type="pct"/>
            <w:noWrap w:val="0"/>
            <w:vAlign w:val="center"/>
          </w:tcPr>
          <w:p w14:paraId="44E5850E">
            <w:pP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根据供应商提供的</w:t>
            </w:r>
            <w:r>
              <w:rPr>
                <w:rFonts w:hint="eastAsia" w:ascii="宋体" w:hAnsi="宋体" w:cs="宋体"/>
                <w:b/>
                <w:bCs/>
                <w:color w:val="auto"/>
                <w:sz w:val="21"/>
                <w:szCs w:val="21"/>
                <w:highlight w:val="none"/>
                <w:lang w:val="en-US" w:eastAsia="zh-CN"/>
              </w:rPr>
              <w:t>供货</w:t>
            </w:r>
            <w:r>
              <w:rPr>
                <w:rFonts w:hint="eastAsia" w:ascii="宋体" w:hAnsi="宋体" w:eastAsia="宋体" w:cs="宋体"/>
                <w:b/>
                <w:bCs/>
                <w:color w:val="auto"/>
                <w:sz w:val="21"/>
                <w:szCs w:val="21"/>
                <w:highlight w:val="none"/>
                <w:lang w:val="en-US" w:eastAsia="zh-CN"/>
              </w:rPr>
              <w:t>方案（包括但不限于</w:t>
            </w:r>
            <w:r>
              <w:rPr>
                <w:rFonts w:hint="eastAsia" w:ascii="宋体" w:hAnsi="宋体" w:cs="宋体"/>
                <w:b/>
                <w:bCs/>
                <w:color w:val="auto"/>
                <w:sz w:val="21"/>
                <w:szCs w:val="21"/>
                <w:highlight w:val="none"/>
                <w:lang w:val="en-US" w:eastAsia="zh-CN"/>
              </w:rPr>
              <w:t>供货</w:t>
            </w:r>
            <w:r>
              <w:rPr>
                <w:rFonts w:hint="eastAsia" w:ascii="宋体" w:hAnsi="宋体" w:eastAsia="宋体" w:cs="宋体"/>
                <w:b/>
                <w:bCs/>
                <w:color w:val="auto"/>
                <w:sz w:val="21"/>
                <w:szCs w:val="21"/>
                <w:highlight w:val="none"/>
                <w:lang w:val="en-US" w:eastAsia="zh-CN"/>
              </w:rPr>
              <w:t>计划、</w:t>
            </w:r>
            <w:r>
              <w:rPr>
                <w:rFonts w:hint="eastAsia" w:ascii="宋体" w:hAnsi="宋体" w:cs="宋体"/>
                <w:b/>
                <w:bCs/>
                <w:color w:val="auto"/>
                <w:sz w:val="21"/>
                <w:szCs w:val="21"/>
                <w:highlight w:val="none"/>
                <w:lang w:val="en-US" w:eastAsia="zh-CN"/>
              </w:rPr>
              <w:t>供货流程</w:t>
            </w:r>
            <w:r>
              <w:rPr>
                <w:rFonts w:hint="eastAsia" w:ascii="宋体" w:hAnsi="宋体" w:eastAsia="宋体" w:cs="宋体"/>
                <w:b/>
                <w:bCs/>
                <w:color w:val="auto"/>
                <w:sz w:val="21"/>
                <w:szCs w:val="21"/>
                <w:highlight w:val="none"/>
                <w:lang w:val="en-US" w:eastAsia="zh-CN"/>
              </w:rPr>
              <w:t>、</w:t>
            </w:r>
            <w:r>
              <w:rPr>
                <w:rFonts w:hint="eastAsia" w:ascii="宋体" w:hAnsi="宋体" w:cs="宋体"/>
                <w:b/>
                <w:bCs/>
                <w:color w:val="auto"/>
                <w:sz w:val="21"/>
                <w:szCs w:val="21"/>
                <w:highlight w:val="none"/>
                <w:lang w:val="en-US" w:eastAsia="zh-CN"/>
              </w:rPr>
              <w:t>供货保证措施</w:t>
            </w:r>
            <w:r>
              <w:rPr>
                <w:rFonts w:hint="eastAsia" w:ascii="宋体" w:hAnsi="宋体" w:eastAsia="宋体" w:cs="宋体"/>
                <w:b/>
                <w:bCs/>
                <w:color w:val="auto"/>
                <w:sz w:val="21"/>
                <w:szCs w:val="21"/>
                <w:highlight w:val="none"/>
                <w:lang w:val="en-US" w:eastAsia="zh-CN"/>
              </w:rPr>
              <w:t>等）进行赋分：</w:t>
            </w:r>
          </w:p>
          <w:p w14:paraId="701FAFC5">
            <w:pPr>
              <w:numPr>
                <w:ilvl w:val="0"/>
                <w:numId w:val="4"/>
              </w:numPr>
              <w:rPr>
                <w:rFonts w:hint="eastAsia" w:ascii="宋体" w:hAnsi="宋体" w:eastAsia="宋体" w:cs="宋体"/>
                <w:b/>
                <w:bCs/>
                <w:color w:val="auto"/>
                <w:sz w:val="21"/>
                <w:szCs w:val="21"/>
                <w:highlight w:val="none"/>
                <w:lang w:val="en-US" w:eastAsia="zh-CN"/>
              </w:rPr>
            </w:pPr>
            <w:r>
              <w:rPr>
                <w:rFonts w:hint="eastAsia" w:ascii="宋体" w:hAnsi="宋体" w:cs="宋体"/>
                <w:b/>
                <w:bCs/>
                <w:color w:val="auto"/>
                <w:sz w:val="21"/>
                <w:szCs w:val="21"/>
                <w:highlight w:val="none"/>
                <w:lang w:val="en-US" w:eastAsia="zh-CN"/>
              </w:rPr>
              <w:t>供货</w:t>
            </w:r>
            <w:r>
              <w:rPr>
                <w:rFonts w:hint="eastAsia" w:ascii="宋体" w:hAnsi="宋体" w:eastAsia="宋体" w:cs="宋体"/>
                <w:b/>
                <w:bCs/>
                <w:color w:val="auto"/>
                <w:sz w:val="21"/>
                <w:szCs w:val="21"/>
                <w:highlight w:val="none"/>
                <w:lang w:val="en-US" w:eastAsia="zh-CN"/>
              </w:rPr>
              <w:t>计划</w:t>
            </w:r>
          </w:p>
          <w:p w14:paraId="2054B6F2">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（1）方案全面具体性、措施完善性、科学合理性，完全满足实际工作需要的，得3分；</w:t>
            </w:r>
          </w:p>
          <w:p w14:paraId="40B4BD75">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14:paraId="3B7EF109">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p w14:paraId="063DA49A">
            <w:pPr>
              <w:rPr>
                <w:rFonts w:hint="eastAsia" w:ascii="宋体" w:hAnsi="宋体" w:cs="宋体"/>
                <w:b/>
                <w:bCs/>
                <w:color w:val="auto"/>
                <w:sz w:val="21"/>
                <w:szCs w:val="21"/>
                <w:highlight w:val="none"/>
                <w:lang w:val="en-US" w:eastAsia="zh-CN"/>
              </w:rPr>
            </w:pPr>
            <w:r>
              <w:rPr>
                <w:rFonts w:hint="eastAsia" w:ascii="宋体" w:hAnsi="宋体" w:cs="宋体"/>
                <w:b/>
                <w:bCs/>
                <w:color w:val="auto"/>
                <w:sz w:val="21"/>
                <w:szCs w:val="21"/>
                <w:highlight w:val="none"/>
                <w:lang w:val="en-US" w:eastAsia="zh-CN"/>
              </w:rPr>
              <w:t>2、供货流程</w:t>
            </w:r>
          </w:p>
          <w:p w14:paraId="13F91045">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（1）方案全面具体性、措施完善性、科学合理性，完全满足实际工作需要的，得3分；</w:t>
            </w:r>
          </w:p>
          <w:p w14:paraId="3A3C641A">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14:paraId="0712FFF0">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p w14:paraId="53CD6DC9">
            <w:pPr>
              <w:rPr>
                <w:rFonts w:hint="eastAsia" w:ascii="宋体" w:hAnsi="宋体" w:cs="宋体"/>
                <w:b/>
                <w:bCs/>
                <w:color w:val="auto"/>
                <w:sz w:val="21"/>
                <w:szCs w:val="21"/>
                <w:highlight w:val="none"/>
                <w:lang w:val="en-US" w:eastAsia="zh-CN"/>
              </w:rPr>
            </w:pPr>
            <w:r>
              <w:rPr>
                <w:rFonts w:hint="eastAsia" w:ascii="宋体" w:hAnsi="宋体" w:cs="宋体"/>
                <w:b/>
                <w:bCs/>
                <w:color w:val="auto"/>
                <w:sz w:val="21"/>
                <w:szCs w:val="21"/>
                <w:highlight w:val="none"/>
                <w:lang w:val="en-US" w:eastAsia="zh-CN"/>
              </w:rPr>
              <w:t>3、供货保证措施</w:t>
            </w:r>
          </w:p>
          <w:p w14:paraId="3E876C3B">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（1）方案全面具体性、措施完善性、科学合理性，完全满足实际工作需要的，得3分；</w:t>
            </w:r>
          </w:p>
          <w:p w14:paraId="420816D5">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14:paraId="557F9AD2">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p w14:paraId="7034B5D2">
            <w:pP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4、</w:t>
            </w:r>
            <w:r>
              <w:rPr>
                <w:rFonts w:hint="eastAsia" w:ascii="宋体" w:hAnsi="宋体" w:eastAsia="宋体" w:cs="宋体"/>
                <w:b/>
                <w:bCs/>
                <w:color w:val="auto"/>
                <w:sz w:val="21"/>
                <w:szCs w:val="21"/>
                <w:highlight w:val="none"/>
              </w:rPr>
              <w:t>方案内容除以上</w:t>
            </w:r>
            <w:r>
              <w:rPr>
                <w:rFonts w:hint="eastAsia" w:ascii="宋体" w:hAnsi="宋体" w:eastAsia="宋体" w:cs="宋体"/>
                <w:b/>
                <w:bCs/>
                <w:color w:val="auto"/>
                <w:sz w:val="21"/>
                <w:szCs w:val="21"/>
                <w:highlight w:val="none"/>
                <w:lang w:val="en-US" w:eastAsia="zh-CN"/>
              </w:rPr>
              <w:t>3</w:t>
            </w:r>
            <w:r>
              <w:rPr>
                <w:rFonts w:hint="eastAsia" w:ascii="宋体" w:hAnsi="宋体" w:eastAsia="宋体" w:cs="宋体"/>
                <w:b/>
                <w:bCs/>
                <w:color w:val="auto"/>
                <w:sz w:val="21"/>
                <w:szCs w:val="21"/>
                <w:highlight w:val="none"/>
              </w:rPr>
              <w:t>个方面外，供应商可根据采购需求、项目特点，提供其他有针对性的措施，对所提供的措施的科学性、合理性、适用性进行赋分：</w:t>
            </w:r>
          </w:p>
          <w:p w14:paraId="2B45DD79">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（1）方案全面具体性、措施完善性、科学合理性优于项目需求的，得</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分；</w:t>
            </w:r>
          </w:p>
          <w:p w14:paraId="2F5A5EED">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（2）方案全面具体性、措施完善性、科学合理性，基本满足实际工作需要的，得2分；</w:t>
            </w:r>
          </w:p>
          <w:p w14:paraId="766D0E32">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tc>
        <w:tc>
          <w:tcPr>
            <w:tcW w:w="392" w:type="pct"/>
            <w:noWrap w:val="0"/>
            <w:vAlign w:val="center"/>
          </w:tcPr>
          <w:p w14:paraId="2D02581B">
            <w:pPr>
              <w:jc w:val="center"/>
              <w:rPr>
                <w:rFonts w:hint="eastAsia" w:ascii="宋体" w:hAnsi="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tc>
      </w:tr>
      <w:tr w14:paraId="18A06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306" w:type="pct"/>
            <w:noWrap w:val="0"/>
            <w:vAlign w:val="center"/>
          </w:tcPr>
          <w:p w14:paraId="0CA9AD1F">
            <w:pPr>
              <w:spacing w:line="360" w:lineRule="auto"/>
              <w:jc w:val="center"/>
              <w:rPr>
                <w:rFonts w:hint="eastAsia" w:ascii="宋体" w:hAnsi="宋体" w:eastAsia="宋体" w:cs="宋体"/>
                <w:b/>
                <w:bCs w:val="0"/>
                <w:color w:val="auto"/>
                <w:kern w:val="0"/>
                <w:sz w:val="21"/>
                <w:szCs w:val="21"/>
                <w:highlight w:val="none"/>
                <w:lang w:eastAsia="zh-CN"/>
              </w:rPr>
            </w:pPr>
            <w:r>
              <w:rPr>
                <w:rFonts w:hint="eastAsia" w:ascii="宋体" w:hAnsi="宋体" w:cs="宋体"/>
                <w:b/>
                <w:bCs w:val="0"/>
                <w:color w:val="auto"/>
                <w:kern w:val="0"/>
                <w:sz w:val="21"/>
                <w:szCs w:val="21"/>
                <w:highlight w:val="none"/>
                <w:lang w:val="en-US" w:eastAsia="zh-CN"/>
              </w:rPr>
              <w:t>6</w:t>
            </w:r>
          </w:p>
        </w:tc>
        <w:tc>
          <w:tcPr>
            <w:tcW w:w="467" w:type="pct"/>
            <w:noWrap w:val="0"/>
            <w:vAlign w:val="center"/>
          </w:tcPr>
          <w:p w14:paraId="14B6F3ED">
            <w:pPr>
              <w:jc w:val="center"/>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质量保</w:t>
            </w:r>
          </w:p>
          <w:p w14:paraId="0D4A2FBE">
            <w:pPr>
              <w:jc w:val="center"/>
              <w:rPr>
                <w:rFonts w:hint="eastAsia" w:ascii="宋体" w:hAnsi="宋体" w:eastAsia="宋体" w:cs="宋体"/>
                <w:b/>
                <w:bCs w:val="0"/>
                <w:color w:val="auto"/>
                <w:sz w:val="21"/>
                <w:szCs w:val="21"/>
                <w:highlight w:val="none"/>
                <w:lang w:eastAsia="zh-CN"/>
              </w:rPr>
            </w:pPr>
            <w:r>
              <w:rPr>
                <w:rFonts w:hint="eastAsia" w:ascii="宋体" w:hAnsi="宋体" w:eastAsia="宋体" w:cs="宋体"/>
                <w:b/>
                <w:bCs w:val="0"/>
                <w:color w:val="auto"/>
                <w:sz w:val="21"/>
                <w:szCs w:val="21"/>
                <w:highlight w:val="none"/>
              </w:rPr>
              <w:t>证方案</w:t>
            </w:r>
          </w:p>
        </w:tc>
        <w:tc>
          <w:tcPr>
            <w:tcW w:w="3834" w:type="pct"/>
            <w:noWrap w:val="0"/>
            <w:vAlign w:val="center"/>
          </w:tcPr>
          <w:p w14:paraId="4BC2E1FD">
            <w:pP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根据供应商提供的质量保证方案（包括但不限于质量保证承诺、质量保证措施等）进行赋分：</w:t>
            </w:r>
          </w:p>
          <w:p w14:paraId="652BDB33">
            <w:pPr>
              <w:numPr>
                <w:ilvl w:val="0"/>
                <w:numId w:val="5"/>
              </w:numP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质量保证承诺</w:t>
            </w:r>
          </w:p>
          <w:p w14:paraId="42E5D8BC">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（1）方案全面具体性、措施完善性、科学合理性，完全满足实际工作需要的，得3分；</w:t>
            </w:r>
          </w:p>
          <w:p w14:paraId="4C49EBDF">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14:paraId="72A72AEB">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p w14:paraId="1F31B410">
            <w:pPr>
              <w:numPr>
                <w:ilvl w:val="0"/>
                <w:numId w:val="5"/>
              </w:numPr>
              <w:ind w:left="0" w:leftChars="0" w:firstLine="0" w:firstLineChars="0"/>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质量保证措施</w:t>
            </w:r>
          </w:p>
          <w:p w14:paraId="58F70316">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（1）方案全面具体性、措施完善性、科学合理性，完全满足实际工作需要的，得3分；</w:t>
            </w:r>
          </w:p>
          <w:p w14:paraId="3C797634">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14:paraId="0A9D09E5">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p w14:paraId="1074644A">
            <w:pPr>
              <w:numPr>
                <w:ilvl w:val="0"/>
                <w:numId w:val="5"/>
              </w:numPr>
              <w:ind w:left="0" w:leftChars="0" w:firstLine="0" w:firstLineChars="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方案内容除以上</w:t>
            </w:r>
            <w:r>
              <w:rPr>
                <w:rFonts w:hint="eastAsia" w:ascii="宋体" w:hAnsi="宋体" w:cs="宋体"/>
                <w:b/>
                <w:bCs/>
                <w:color w:val="auto"/>
                <w:sz w:val="21"/>
                <w:szCs w:val="21"/>
                <w:highlight w:val="none"/>
                <w:lang w:val="en-US" w:eastAsia="zh-CN"/>
              </w:rPr>
              <w:t>2</w:t>
            </w:r>
            <w:r>
              <w:rPr>
                <w:rFonts w:hint="eastAsia" w:ascii="宋体" w:hAnsi="宋体" w:eastAsia="宋体" w:cs="宋体"/>
                <w:b/>
                <w:bCs/>
                <w:color w:val="auto"/>
                <w:sz w:val="21"/>
                <w:szCs w:val="21"/>
                <w:highlight w:val="none"/>
              </w:rPr>
              <w:t>个方面外，供应商可根据采购需求、项目特点，提供其他有针对性的措施，对所提供的措施的科学性、合理性、适用性进行赋分：</w:t>
            </w:r>
          </w:p>
          <w:p w14:paraId="41E40CC2">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（1）方案全面具体性、措施完善性、科学合理性优于项目需求的，得</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分；</w:t>
            </w:r>
          </w:p>
          <w:p w14:paraId="223D2365">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（2）方案全面具体性、措施完善性、科学合理性，基本满足实际工作需要的，得2分；</w:t>
            </w:r>
          </w:p>
          <w:p w14:paraId="558CA406">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tc>
        <w:tc>
          <w:tcPr>
            <w:tcW w:w="392" w:type="pct"/>
            <w:noWrap w:val="0"/>
            <w:vAlign w:val="center"/>
          </w:tcPr>
          <w:p w14:paraId="101E0310">
            <w:pPr>
              <w:jc w:val="center"/>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val="en-US" w:eastAsia="zh-CN"/>
              </w:rPr>
              <w:t>9</w:t>
            </w:r>
            <w:r>
              <w:rPr>
                <w:rFonts w:hint="eastAsia" w:ascii="宋体" w:hAnsi="宋体" w:eastAsia="宋体" w:cs="宋体"/>
                <w:color w:val="auto"/>
                <w:sz w:val="21"/>
                <w:szCs w:val="21"/>
                <w:highlight w:val="none"/>
                <w:lang w:val="en-US" w:eastAsia="zh-CN"/>
              </w:rPr>
              <w:t>分</w:t>
            </w:r>
          </w:p>
        </w:tc>
      </w:tr>
      <w:tr w14:paraId="77905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306" w:type="pct"/>
            <w:noWrap w:val="0"/>
            <w:vAlign w:val="center"/>
          </w:tcPr>
          <w:p w14:paraId="548F5572">
            <w:pPr>
              <w:spacing w:line="360" w:lineRule="auto"/>
              <w:jc w:val="center"/>
              <w:rPr>
                <w:rFonts w:hint="default" w:ascii="宋体" w:hAnsi="宋体" w:eastAsia="宋体" w:cs="宋体"/>
                <w:b/>
                <w:bCs w:val="0"/>
                <w:color w:val="auto"/>
                <w:kern w:val="0"/>
                <w:sz w:val="21"/>
                <w:szCs w:val="21"/>
                <w:highlight w:val="none"/>
                <w:lang w:val="en-US" w:eastAsia="zh-CN"/>
              </w:rPr>
            </w:pPr>
            <w:r>
              <w:rPr>
                <w:rFonts w:hint="eastAsia" w:ascii="宋体" w:hAnsi="宋体" w:cs="宋体"/>
                <w:b/>
                <w:bCs w:val="0"/>
                <w:color w:val="auto"/>
                <w:kern w:val="0"/>
                <w:sz w:val="21"/>
                <w:szCs w:val="21"/>
                <w:highlight w:val="none"/>
                <w:lang w:val="en-US" w:eastAsia="zh-CN"/>
              </w:rPr>
              <w:t>7</w:t>
            </w:r>
          </w:p>
        </w:tc>
        <w:tc>
          <w:tcPr>
            <w:tcW w:w="467" w:type="pct"/>
            <w:noWrap w:val="0"/>
            <w:vAlign w:val="center"/>
          </w:tcPr>
          <w:p w14:paraId="02B093E8">
            <w:pPr>
              <w:jc w:val="center"/>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售后服务</w:t>
            </w:r>
            <w:r>
              <w:rPr>
                <w:rFonts w:hint="eastAsia" w:ascii="宋体" w:hAnsi="宋体" w:eastAsia="宋体" w:cs="宋体"/>
                <w:b/>
                <w:bCs w:val="0"/>
                <w:color w:val="auto"/>
                <w:sz w:val="21"/>
                <w:szCs w:val="21"/>
                <w:highlight w:val="none"/>
                <w:lang w:eastAsia="zh-CN"/>
              </w:rPr>
              <w:t>方案</w:t>
            </w:r>
          </w:p>
        </w:tc>
        <w:tc>
          <w:tcPr>
            <w:tcW w:w="3834" w:type="pct"/>
            <w:noWrap w:val="0"/>
            <w:vAlign w:val="center"/>
          </w:tcPr>
          <w:p w14:paraId="6B38FD52">
            <w:pPr>
              <w:pStyle w:val="12"/>
              <w:ind w:right="-10" w:firstLine="0" w:firstLineChars="0"/>
              <w:rPr>
                <w:rFonts w:hint="eastAsia" w:ascii="宋体" w:hAnsi="宋体" w:eastAsia="宋体" w:cs="宋体"/>
                <w:b/>
                <w:bCs w:val="0"/>
                <w:color w:val="auto"/>
                <w:sz w:val="21"/>
                <w:szCs w:val="21"/>
                <w:highlight w:val="none"/>
                <w:lang w:val="en-US" w:eastAsia="zh-CN"/>
              </w:rPr>
            </w:pPr>
            <w:r>
              <w:rPr>
                <w:rFonts w:hint="eastAsia" w:ascii="宋体" w:hAnsi="宋体" w:eastAsia="宋体" w:cs="宋体"/>
                <w:b/>
                <w:bCs w:val="0"/>
                <w:color w:val="auto"/>
                <w:kern w:val="0"/>
                <w:sz w:val="21"/>
                <w:szCs w:val="21"/>
                <w:highlight w:val="none"/>
                <w:lang w:val="en-US" w:eastAsia="zh-CN"/>
              </w:rPr>
              <w:t>根据</w:t>
            </w:r>
            <w:r>
              <w:rPr>
                <w:rFonts w:hint="eastAsia" w:ascii="宋体" w:hAnsi="宋体" w:eastAsia="宋体" w:cs="宋体"/>
                <w:b/>
                <w:bCs w:val="0"/>
                <w:color w:val="auto"/>
                <w:sz w:val="21"/>
                <w:szCs w:val="21"/>
                <w:highlight w:val="none"/>
                <w:lang w:val="en-US" w:eastAsia="zh-CN"/>
              </w:rPr>
              <w:t>供应商</w:t>
            </w:r>
            <w:r>
              <w:rPr>
                <w:rFonts w:hint="eastAsia" w:ascii="宋体" w:hAnsi="宋体" w:eastAsia="宋体" w:cs="宋体"/>
                <w:b/>
                <w:bCs w:val="0"/>
                <w:color w:val="auto"/>
                <w:kern w:val="0"/>
                <w:sz w:val="21"/>
                <w:szCs w:val="21"/>
                <w:highlight w:val="none"/>
                <w:lang w:val="en-US" w:eastAsia="zh-CN"/>
              </w:rPr>
              <w:t>提供的售后服务方案（包括但不限于售后响应时间、</w:t>
            </w:r>
            <w:r>
              <w:rPr>
                <w:rFonts w:hint="eastAsia" w:hAnsi="宋体" w:cs="宋体"/>
                <w:b/>
                <w:bCs/>
                <w:color w:val="auto"/>
                <w:sz w:val="21"/>
                <w:szCs w:val="21"/>
                <w:highlight w:val="none"/>
              </w:rPr>
              <w:t>产品质量存在问题时的退换货方案</w:t>
            </w:r>
            <w:r>
              <w:rPr>
                <w:rFonts w:hint="eastAsia" w:hAnsi="宋体" w:cs="宋体"/>
                <w:b/>
                <w:bCs/>
                <w:color w:val="auto"/>
                <w:sz w:val="21"/>
                <w:szCs w:val="21"/>
                <w:highlight w:val="none"/>
                <w:lang w:eastAsia="zh-CN"/>
              </w:rPr>
              <w:t>、</w:t>
            </w:r>
            <w:r>
              <w:rPr>
                <w:rFonts w:hint="eastAsia" w:hAnsi="宋体" w:cs="宋体"/>
                <w:b/>
                <w:bCs/>
                <w:color w:val="auto"/>
                <w:sz w:val="21"/>
                <w:szCs w:val="21"/>
                <w:highlight w:val="none"/>
              </w:rPr>
              <w:t>应急保障处理措施等</w:t>
            </w:r>
            <w:r>
              <w:rPr>
                <w:rFonts w:hint="eastAsia" w:ascii="宋体" w:hAnsi="宋体" w:eastAsia="宋体" w:cs="宋体"/>
                <w:b/>
                <w:bCs w:val="0"/>
                <w:color w:val="auto"/>
                <w:kern w:val="0"/>
                <w:sz w:val="21"/>
                <w:szCs w:val="21"/>
                <w:highlight w:val="none"/>
                <w:lang w:val="en-US" w:eastAsia="zh-CN"/>
              </w:rPr>
              <w:t>）进行</w:t>
            </w:r>
            <w:r>
              <w:rPr>
                <w:rFonts w:hint="eastAsia" w:ascii="宋体" w:hAnsi="宋体" w:eastAsia="宋体" w:cs="宋体"/>
                <w:b/>
                <w:bCs w:val="0"/>
                <w:color w:val="auto"/>
                <w:sz w:val="21"/>
                <w:szCs w:val="21"/>
                <w:highlight w:val="none"/>
                <w:lang w:val="en-US" w:eastAsia="zh-CN"/>
              </w:rPr>
              <w:t>赋分：</w:t>
            </w:r>
          </w:p>
          <w:p w14:paraId="26153B14">
            <w:pP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1、</w:t>
            </w:r>
            <w:r>
              <w:rPr>
                <w:rFonts w:hint="eastAsia" w:ascii="宋体" w:hAnsi="宋体" w:eastAsia="宋体" w:cs="宋体"/>
                <w:b/>
                <w:bCs w:val="0"/>
                <w:color w:val="auto"/>
                <w:kern w:val="0"/>
                <w:sz w:val="21"/>
                <w:szCs w:val="21"/>
                <w:highlight w:val="none"/>
                <w:lang w:val="en-US" w:eastAsia="zh-CN"/>
              </w:rPr>
              <w:t>售后响应时间</w:t>
            </w:r>
          </w:p>
          <w:p w14:paraId="46CEA02B">
            <w:pPr>
              <w:pStyle w:val="12"/>
              <w:ind w:right="-10" w:firstLine="0" w:firstLineChars="0"/>
              <w:rPr>
                <w:rFonts w:hAnsi="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hAnsi="宋体" w:cs="宋体"/>
                <w:color w:val="auto"/>
                <w:sz w:val="21"/>
                <w:szCs w:val="21"/>
                <w:highlight w:val="none"/>
              </w:rPr>
              <w:t>方案响应时间快且方案清晰、科学合理，实施规范、完全满足项目需求，得</w:t>
            </w:r>
            <w:r>
              <w:rPr>
                <w:rFonts w:hint="eastAsia" w:hAnsi="宋体" w:cs="宋体"/>
                <w:color w:val="auto"/>
                <w:sz w:val="21"/>
                <w:szCs w:val="21"/>
                <w:highlight w:val="none"/>
                <w:lang w:val="en-US" w:eastAsia="zh-CN"/>
              </w:rPr>
              <w:t>3</w:t>
            </w:r>
            <w:r>
              <w:rPr>
                <w:rFonts w:hint="eastAsia" w:hAnsi="宋体" w:cs="宋体"/>
                <w:color w:val="auto"/>
                <w:sz w:val="21"/>
                <w:szCs w:val="21"/>
                <w:highlight w:val="none"/>
              </w:rPr>
              <w:t>分；</w:t>
            </w:r>
          </w:p>
          <w:p w14:paraId="51F01EA8">
            <w:pPr>
              <w:pStyle w:val="12"/>
              <w:ind w:right="-10" w:firstLine="0" w:firstLineChars="0"/>
              <w:rPr>
                <w:rFonts w:hAnsi="宋体" w:cs="宋体"/>
                <w:color w:val="auto"/>
                <w:sz w:val="21"/>
                <w:szCs w:val="21"/>
                <w:highlight w:val="none"/>
              </w:rPr>
            </w:pPr>
            <w:r>
              <w:rPr>
                <w:rFonts w:hint="eastAsia" w:hAnsi="宋体" w:cs="宋体"/>
                <w:color w:val="auto"/>
                <w:sz w:val="21"/>
                <w:szCs w:val="21"/>
                <w:highlight w:val="none"/>
              </w:rPr>
              <w:t>（2）方案基本合理可行，有基本的针对性，基本能满足项目需求，得</w:t>
            </w:r>
            <w:r>
              <w:rPr>
                <w:rFonts w:hint="eastAsia" w:hAnsi="宋体" w:cs="宋体"/>
                <w:color w:val="auto"/>
                <w:sz w:val="21"/>
                <w:szCs w:val="21"/>
                <w:highlight w:val="none"/>
                <w:lang w:val="en-US" w:eastAsia="zh-CN"/>
              </w:rPr>
              <w:t>2</w:t>
            </w:r>
            <w:r>
              <w:rPr>
                <w:rFonts w:hint="eastAsia" w:hAnsi="宋体" w:cs="宋体"/>
                <w:color w:val="auto"/>
                <w:sz w:val="21"/>
                <w:szCs w:val="21"/>
                <w:highlight w:val="none"/>
              </w:rPr>
              <w:t>分；</w:t>
            </w:r>
          </w:p>
          <w:p w14:paraId="3EEFECFA">
            <w:pPr>
              <w:pStyle w:val="12"/>
              <w:ind w:right="-10" w:firstLine="0" w:firstLineChars="0"/>
              <w:rPr>
                <w:rFonts w:hint="eastAsia" w:ascii="宋体" w:hAnsi="宋体" w:eastAsia="宋体" w:cs="宋体"/>
                <w:color w:val="auto"/>
                <w:sz w:val="21"/>
                <w:szCs w:val="21"/>
                <w:highlight w:val="none"/>
                <w:lang w:val="en-US" w:eastAsia="zh-CN"/>
              </w:rPr>
            </w:pPr>
            <w:r>
              <w:rPr>
                <w:rFonts w:hint="eastAsia" w:hAnsi="宋体" w:cs="宋体"/>
                <w:color w:val="auto"/>
                <w:sz w:val="21"/>
                <w:szCs w:val="21"/>
                <w:highlight w:val="none"/>
              </w:rPr>
              <w:t>（3）方案不完整、不实用或不提供方案不得分。</w:t>
            </w:r>
          </w:p>
          <w:p w14:paraId="711A2559">
            <w:pPr>
              <w:rPr>
                <w:rFonts w:hint="eastAsia" w:hAnsi="宋体" w:cs="宋体"/>
                <w:b/>
                <w:bCs/>
                <w:color w:val="auto"/>
                <w:sz w:val="21"/>
                <w:szCs w:val="21"/>
                <w:highlight w:val="none"/>
              </w:rPr>
            </w:pPr>
            <w:r>
              <w:rPr>
                <w:rFonts w:hint="eastAsia" w:ascii="宋体" w:hAnsi="宋体" w:cs="宋体"/>
                <w:b/>
                <w:bCs/>
                <w:color w:val="auto"/>
                <w:sz w:val="21"/>
                <w:szCs w:val="21"/>
                <w:highlight w:val="none"/>
                <w:lang w:val="en-US" w:eastAsia="zh-CN"/>
              </w:rPr>
              <w:t>2</w:t>
            </w:r>
            <w:r>
              <w:rPr>
                <w:rFonts w:hint="eastAsia" w:ascii="宋体" w:hAnsi="宋体" w:eastAsia="宋体" w:cs="宋体"/>
                <w:b/>
                <w:bCs/>
                <w:color w:val="auto"/>
                <w:sz w:val="21"/>
                <w:szCs w:val="21"/>
                <w:highlight w:val="none"/>
                <w:lang w:val="en-US" w:eastAsia="zh-CN"/>
              </w:rPr>
              <w:t>、</w:t>
            </w:r>
            <w:r>
              <w:rPr>
                <w:rFonts w:hint="eastAsia" w:hAnsi="宋体" w:cs="宋体"/>
                <w:b/>
                <w:bCs/>
                <w:color w:val="auto"/>
                <w:sz w:val="21"/>
                <w:szCs w:val="21"/>
                <w:highlight w:val="none"/>
              </w:rPr>
              <w:t>产品质量存在问题时的退换货方案</w:t>
            </w:r>
          </w:p>
          <w:p w14:paraId="69BAA1C4">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（1）方案全面具体性、措施完善性、科学合理性，完全满足实际工作需要的，得3分；</w:t>
            </w:r>
          </w:p>
          <w:p w14:paraId="5577837A">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14:paraId="0E2EB91E">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p w14:paraId="3BADE1FE">
            <w:pPr>
              <w:rPr>
                <w:rFonts w:hint="eastAsia" w:hAnsi="宋体" w:cs="宋体"/>
                <w:b/>
                <w:bCs/>
                <w:color w:val="auto"/>
                <w:sz w:val="21"/>
                <w:szCs w:val="21"/>
                <w:highlight w:val="none"/>
              </w:rPr>
            </w:pPr>
            <w:r>
              <w:rPr>
                <w:rFonts w:hint="eastAsia" w:ascii="宋体" w:hAnsi="宋体" w:cs="宋体"/>
                <w:b/>
                <w:bCs/>
                <w:color w:val="auto"/>
                <w:sz w:val="21"/>
                <w:szCs w:val="21"/>
                <w:highlight w:val="none"/>
                <w:lang w:val="en-US" w:eastAsia="zh-CN"/>
              </w:rPr>
              <w:t>3</w:t>
            </w:r>
            <w:r>
              <w:rPr>
                <w:rFonts w:hint="eastAsia" w:ascii="宋体" w:hAnsi="宋体" w:eastAsia="宋体" w:cs="宋体"/>
                <w:b/>
                <w:bCs/>
                <w:color w:val="auto"/>
                <w:sz w:val="21"/>
                <w:szCs w:val="21"/>
                <w:highlight w:val="none"/>
                <w:lang w:val="en-US" w:eastAsia="zh-CN"/>
              </w:rPr>
              <w:t>、</w:t>
            </w:r>
            <w:r>
              <w:rPr>
                <w:rFonts w:hint="eastAsia" w:hAnsi="宋体" w:cs="宋体"/>
                <w:b/>
                <w:bCs/>
                <w:color w:val="auto"/>
                <w:sz w:val="21"/>
                <w:szCs w:val="21"/>
                <w:highlight w:val="none"/>
              </w:rPr>
              <w:t>应急保障处理措施</w:t>
            </w:r>
          </w:p>
          <w:p w14:paraId="70A2B176">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（1）方案全面具体性、措施完善性、科学合理性，完全满足实际工作需要的，得3分；</w:t>
            </w:r>
          </w:p>
          <w:p w14:paraId="44B51846">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14:paraId="49582264">
            <w:pPr>
              <w:rPr>
                <w:rFonts w:hint="eastAsia"/>
                <w:color w:val="auto"/>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p w14:paraId="4AB50C85">
            <w:pPr>
              <w:rPr>
                <w:rFonts w:hint="eastAsia" w:ascii="宋体" w:hAnsi="宋体" w:eastAsia="宋体" w:cs="宋体"/>
                <w:b/>
                <w:bCs/>
                <w:color w:val="auto"/>
                <w:sz w:val="21"/>
                <w:szCs w:val="21"/>
                <w:highlight w:val="none"/>
              </w:rPr>
            </w:pPr>
            <w:r>
              <w:rPr>
                <w:rFonts w:hint="eastAsia" w:hAnsi="宋体" w:cs="宋体"/>
                <w:b/>
                <w:bCs/>
                <w:color w:val="auto"/>
                <w:sz w:val="21"/>
                <w:szCs w:val="21"/>
                <w:highlight w:val="none"/>
                <w:lang w:val="en-US" w:eastAsia="zh-CN"/>
              </w:rPr>
              <w:t>4</w:t>
            </w:r>
            <w:r>
              <w:rPr>
                <w:rFonts w:hint="eastAsia" w:hAnsi="宋体" w:eastAsia="宋体" w:cs="宋体"/>
                <w:b/>
                <w:bCs/>
                <w:color w:val="auto"/>
                <w:sz w:val="21"/>
                <w:szCs w:val="21"/>
                <w:highlight w:val="none"/>
                <w:lang w:val="en-US" w:eastAsia="zh-CN"/>
              </w:rPr>
              <w:t>、</w:t>
            </w:r>
            <w:r>
              <w:rPr>
                <w:rFonts w:hint="eastAsia" w:ascii="宋体" w:hAnsi="宋体" w:eastAsia="宋体" w:cs="宋体"/>
                <w:b/>
                <w:bCs/>
                <w:color w:val="auto"/>
                <w:sz w:val="21"/>
                <w:szCs w:val="21"/>
                <w:highlight w:val="none"/>
              </w:rPr>
              <w:t>方案内容除以上</w:t>
            </w:r>
            <w:r>
              <w:rPr>
                <w:rFonts w:hint="eastAsia" w:ascii="宋体" w:hAnsi="宋体" w:cs="宋体"/>
                <w:b/>
                <w:bCs/>
                <w:color w:val="auto"/>
                <w:sz w:val="21"/>
                <w:szCs w:val="21"/>
                <w:highlight w:val="none"/>
                <w:lang w:val="en-US" w:eastAsia="zh-CN"/>
              </w:rPr>
              <w:t>3</w:t>
            </w:r>
            <w:r>
              <w:rPr>
                <w:rFonts w:hint="eastAsia" w:ascii="宋体" w:hAnsi="宋体" w:eastAsia="宋体" w:cs="宋体"/>
                <w:b/>
                <w:bCs/>
                <w:color w:val="auto"/>
                <w:sz w:val="21"/>
                <w:szCs w:val="21"/>
                <w:highlight w:val="none"/>
              </w:rPr>
              <w:t>个方面外，供应商可根据采购需求、项目特点，提供其他有针对性的措施，对所提供的措施的科学性、合理性、适用性进行赋分：</w:t>
            </w:r>
          </w:p>
          <w:p w14:paraId="49340FC4">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（1）方案全面具体性、措施完善性、科学合理性优于项目需求的，得</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分；</w:t>
            </w:r>
          </w:p>
          <w:p w14:paraId="1C0716B1">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（2）方案全面具体性、措施完善性、科学合理性，基本满足实际工作需要的，得2分；</w:t>
            </w:r>
          </w:p>
          <w:p w14:paraId="731DFFA1">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方案不完整、不实用或不提供方案不得分。</w:t>
            </w:r>
          </w:p>
        </w:tc>
        <w:tc>
          <w:tcPr>
            <w:tcW w:w="392" w:type="pct"/>
            <w:noWrap w:val="0"/>
            <w:vAlign w:val="center"/>
          </w:tcPr>
          <w:p w14:paraId="3D9BAAB5">
            <w:pPr>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r>
              <w:rPr>
                <w:rFonts w:hint="eastAsia" w:ascii="宋体" w:hAnsi="宋体" w:eastAsia="宋体" w:cs="宋体"/>
                <w:color w:val="auto"/>
                <w:sz w:val="21"/>
                <w:szCs w:val="21"/>
                <w:highlight w:val="none"/>
                <w:lang w:val="en-US" w:eastAsia="zh-CN"/>
              </w:rPr>
              <w:t>分</w:t>
            </w:r>
          </w:p>
        </w:tc>
      </w:tr>
      <w:tr w14:paraId="1597C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3" w:hRule="atLeast"/>
          <w:jc w:val="center"/>
        </w:trPr>
        <w:tc>
          <w:tcPr>
            <w:tcW w:w="306" w:type="pct"/>
            <w:noWrap w:val="0"/>
            <w:vAlign w:val="center"/>
          </w:tcPr>
          <w:p w14:paraId="026BC1D1">
            <w:pPr>
              <w:spacing w:line="360" w:lineRule="auto"/>
              <w:jc w:val="center"/>
              <w:rPr>
                <w:rFonts w:hint="eastAsia" w:ascii="宋体" w:hAnsi="宋体" w:eastAsia="宋体" w:cs="宋体"/>
                <w:b/>
                <w:bCs w:val="0"/>
                <w:color w:val="auto"/>
                <w:kern w:val="0"/>
                <w:sz w:val="21"/>
                <w:szCs w:val="21"/>
                <w:highlight w:val="none"/>
                <w:lang w:val="en-US" w:eastAsia="zh-CN"/>
              </w:rPr>
            </w:pPr>
            <w:r>
              <w:rPr>
                <w:rFonts w:hint="eastAsia" w:ascii="宋体" w:hAnsi="宋体" w:cs="宋体"/>
                <w:b/>
                <w:bCs w:val="0"/>
                <w:color w:val="auto"/>
                <w:kern w:val="0"/>
                <w:sz w:val="21"/>
                <w:szCs w:val="21"/>
                <w:highlight w:val="none"/>
                <w:lang w:val="en-US" w:eastAsia="zh-CN"/>
              </w:rPr>
              <w:t>8</w:t>
            </w:r>
          </w:p>
        </w:tc>
        <w:tc>
          <w:tcPr>
            <w:tcW w:w="467" w:type="pct"/>
            <w:noWrap w:val="0"/>
            <w:vAlign w:val="center"/>
          </w:tcPr>
          <w:p w14:paraId="1EE2FA51">
            <w:pPr>
              <w:jc w:val="center"/>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投标</w:t>
            </w:r>
          </w:p>
          <w:p w14:paraId="0C21014B">
            <w:pPr>
              <w:jc w:val="center"/>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价格</w:t>
            </w:r>
          </w:p>
        </w:tc>
        <w:tc>
          <w:tcPr>
            <w:tcW w:w="3834" w:type="pct"/>
            <w:noWrap w:val="0"/>
            <w:vAlign w:val="center"/>
          </w:tcPr>
          <w:p w14:paraId="0B1E947F">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价格分采用低价优先法计算，即满足</w:t>
            </w:r>
            <w:r>
              <w:rPr>
                <w:rFonts w:hint="eastAsia" w:ascii="宋体" w:hAnsi="宋体" w:eastAsia="宋体" w:cs="宋体"/>
                <w:color w:val="auto"/>
                <w:sz w:val="21"/>
                <w:szCs w:val="21"/>
                <w:highlight w:val="none"/>
                <w:lang w:eastAsia="zh-CN"/>
              </w:rPr>
              <w:t>磋商</w:t>
            </w:r>
            <w:r>
              <w:rPr>
                <w:rFonts w:hint="eastAsia" w:ascii="宋体" w:hAnsi="宋体" w:eastAsia="宋体" w:cs="宋体"/>
                <w:color w:val="auto"/>
                <w:sz w:val="21"/>
                <w:szCs w:val="21"/>
                <w:highlight w:val="none"/>
              </w:rPr>
              <w:t>文件要求且最后报价最低的供应商报价为磋商基准价，其价格分为满分</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0分，其它供应商的价格分统一按照以下公式计算：磋商报价得分＝（磋商基准价/最后磋商报价）×价格权值×100。</w:t>
            </w:r>
          </w:p>
        </w:tc>
        <w:tc>
          <w:tcPr>
            <w:tcW w:w="392" w:type="pct"/>
            <w:noWrap w:val="0"/>
            <w:vAlign w:val="center"/>
          </w:tcPr>
          <w:p w14:paraId="66D4A69D">
            <w:pPr>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30分</w:t>
            </w:r>
          </w:p>
        </w:tc>
      </w:tr>
    </w:tbl>
    <w:p w14:paraId="5ECC39F0">
      <w:pPr>
        <w:pStyle w:val="11"/>
        <w:rPr>
          <w:color w:val="auto"/>
        </w:rPr>
      </w:pPr>
    </w:p>
    <w:p w14:paraId="42FACBA3">
      <w:pPr>
        <w:rPr>
          <w:color w:val="auto"/>
          <w:highlight w:val="none"/>
        </w:rPr>
      </w:pPr>
      <w:r>
        <w:rPr>
          <w:color w:val="auto"/>
          <w:highlight w:val="none"/>
        </w:rPr>
        <w:br w:type="page"/>
      </w:r>
    </w:p>
    <w:p w14:paraId="30D5AECF">
      <w:pPr>
        <w:keepNext w:val="0"/>
        <w:keepLines w:val="0"/>
        <w:pageBreakBefore w:val="0"/>
        <w:widowControl w:val="0"/>
        <w:kinsoku/>
        <w:wordWrap/>
        <w:overflowPunct/>
        <w:topLinePunct w:val="0"/>
        <w:bidi w:val="0"/>
        <w:spacing w:line="360" w:lineRule="auto"/>
        <w:textAlignment w:val="auto"/>
        <w:rPr>
          <w:rFonts w:ascii="宋体" w:hAnsi="宋体" w:cs="宋体"/>
          <w:b/>
          <w:color w:val="auto"/>
          <w:sz w:val="28"/>
          <w:szCs w:val="28"/>
          <w:highlight w:val="none"/>
        </w:rPr>
      </w:pPr>
      <w:r>
        <w:rPr>
          <w:rFonts w:hint="eastAsia" w:ascii="宋体" w:hAnsi="宋体" w:cs="宋体"/>
          <w:b/>
          <w:color w:val="auto"/>
          <w:sz w:val="28"/>
          <w:szCs w:val="28"/>
          <w:highlight w:val="none"/>
        </w:rPr>
        <w:t>（七）定标</w:t>
      </w:r>
    </w:p>
    <w:p w14:paraId="35F02CC9">
      <w:pPr>
        <w:keepNext w:val="0"/>
        <w:keepLines w:val="0"/>
        <w:pageBreakBefore w:val="0"/>
        <w:widowControl w:val="0"/>
        <w:tabs>
          <w:tab w:val="left" w:pos="0"/>
        </w:tabs>
        <w:kinsoku/>
        <w:wordWrap/>
        <w:overflowPunct/>
        <w:topLinePunct w:val="0"/>
        <w:bidi w:val="0"/>
        <w:adjustRightInd w:val="0"/>
        <w:snapToGrid w:val="0"/>
        <w:spacing w:line="360" w:lineRule="auto"/>
        <w:ind w:firstLine="482" w:firstLineChars="200"/>
        <w:textAlignment w:val="auto"/>
        <w:outlineLvl w:val="2"/>
        <w:rPr>
          <w:rFonts w:ascii="宋体" w:hAnsi="宋体" w:cs="宋体"/>
          <w:b/>
          <w:color w:val="auto"/>
          <w:sz w:val="24"/>
          <w:highlight w:val="none"/>
        </w:rPr>
      </w:pPr>
      <w:r>
        <w:rPr>
          <w:rFonts w:hint="eastAsia" w:ascii="宋体" w:hAnsi="宋体" w:cs="宋体"/>
          <w:b/>
          <w:color w:val="auto"/>
          <w:sz w:val="24"/>
          <w:highlight w:val="none"/>
        </w:rPr>
        <w:t>23、确定成交供应商的标准</w:t>
      </w:r>
    </w:p>
    <w:p w14:paraId="674C2C5A">
      <w:pPr>
        <w:pStyle w:val="8"/>
        <w:keepNext w:val="0"/>
        <w:keepLines w:val="0"/>
        <w:pageBreakBefore w:val="0"/>
        <w:widowControl w:val="0"/>
        <w:tabs>
          <w:tab w:val="left" w:pos="0"/>
        </w:tabs>
        <w:kinsoku/>
        <w:wordWrap/>
        <w:overflowPunct/>
        <w:topLinePunct w:val="0"/>
        <w:bidi w:val="0"/>
        <w:adjustRightInd w:val="0"/>
        <w:snapToGrid w:val="0"/>
        <w:spacing w:line="360" w:lineRule="auto"/>
        <w:ind w:firstLine="480"/>
        <w:textAlignment w:val="auto"/>
        <w:rPr>
          <w:color w:val="auto"/>
          <w:sz w:val="24"/>
          <w:szCs w:val="24"/>
          <w:highlight w:val="none"/>
        </w:rPr>
      </w:pPr>
      <w:r>
        <w:rPr>
          <w:rFonts w:hint="eastAsia" w:ascii="宋体" w:hAnsi="宋体" w:cs="宋体"/>
          <w:color w:val="auto"/>
          <w:kern w:val="0"/>
          <w:sz w:val="24"/>
          <w:highlight w:val="none"/>
        </w:rPr>
        <w:t xml:space="preserve">23.1 </w:t>
      </w:r>
      <w:r>
        <w:rPr>
          <w:color w:val="auto"/>
          <w:sz w:val="24"/>
          <w:szCs w:val="24"/>
          <w:highlight w:val="none"/>
        </w:rPr>
        <w:t>磋商小组按照竞争性磋商文件的要求和条件进行评审,根据评审办法推荐成交候选人，并标明排列顺序。采购人将排名第一的供应商确定为成交供应商并向其授予合同。成交供应商拒绝与采购人签订合同的，采购人可以按照评审报告推荐的成交候选人名单排序，确定下一候选人为成交供应商，也可以重新开展政府采购活动。</w:t>
      </w:r>
    </w:p>
    <w:p w14:paraId="7C41517A">
      <w:pPr>
        <w:keepNext w:val="0"/>
        <w:keepLines w:val="0"/>
        <w:pageBreakBefore w:val="0"/>
        <w:widowControl w:val="0"/>
        <w:kinsoku/>
        <w:wordWrap/>
        <w:overflowPunct/>
        <w:topLinePunct w:val="0"/>
        <w:bidi w:val="0"/>
        <w:adjustRightInd w:val="0"/>
        <w:snapToGrid w:val="0"/>
        <w:spacing w:line="360" w:lineRule="auto"/>
        <w:ind w:firstLine="480" w:firstLineChars="200"/>
        <w:textAlignment w:val="auto"/>
        <w:rPr>
          <w:rFonts w:ascii="宋体" w:hAnsi="宋体" w:cs="宋体"/>
          <w:color w:val="auto"/>
          <w:kern w:val="0"/>
          <w:sz w:val="24"/>
          <w:highlight w:val="none"/>
        </w:rPr>
      </w:pPr>
      <w:r>
        <w:rPr>
          <w:rFonts w:hint="eastAsia" w:ascii="宋体" w:hAnsi="宋体" w:cs="宋体"/>
          <w:color w:val="auto"/>
          <w:kern w:val="0"/>
          <w:sz w:val="24"/>
          <w:highlight w:val="none"/>
        </w:rPr>
        <w:t>23.2 成交供应商确定后，采购代理机构将在指定媒体上公示成交结果。</w:t>
      </w:r>
    </w:p>
    <w:p w14:paraId="3EFAF140">
      <w:pPr>
        <w:pStyle w:val="13"/>
        <w:keepNext w:val="0"/>
        <w:keepLines w:val="0"/>
        <w:pageBreakBefore w:val="0"/>
        <w:widowControl w:val="0"/>
        <w:kinsoku/>
        <w:wordWrap/>
        <w:overflowPunct/>
        <w:topLinePunct w:val="0"/>
        <w:bidi w:val="0"/>
        <w:adjustRightInd w:val="0"/>
        <w:snapToGrid w:val="0"/>
        <w:spacing w:line="360" w:lineRule="auto"/>
        <w:ind w:firstLine="480" w:firstLineChars="200"/>
        <w:textAlignment w:val="auto"/>
        <w:rPr>
          <w:rFonts w:hAnsi="宋体" w:cs="宋体"/>
          <w:color w:val="auto"/>
          <w:kern w:val="0"/>
          <w:sz w:val="24"/>
          <w:highlight w:val="none"/>
        </w:rPr>
      </w:pPr>
      <w:r>
        <w:rPr>
          <w:rFonts w:hint="eastAsia" w:hAnsi="宋体" w:cs="宋体"/>
          <w:color w:val="auto"/>
          <w:kern w:val="0"/>
          <w:sz w:val="24"/>
          <w:highlight w:val="none"/>
        </w:rPr>
        <w:t>23.3 凡是属于审查、澄清、评价和比较报价的有关资料以及成交意向等，磋商小组及有关工作人员自始至终均不得向供应商或其它无关的人员透露。</w:t>
      </w:r>
    </w:p>
    <w:p w14:paraId="689AD612">
      <w:pPr>
        <w:keepNext w:val="0"/>
        <w:keepLines w:val="0"/>
        <w:pageBreakBefore w:val="0"/>
        <w:widowControl w:val="0"/>
        <w:tabs>
          <w:tab w:val="left" w:pos="360"/>
          <w:tab w:val="left" w:pos="960"/>
        </w:tabs>
        <w:kinsoku/>
        <w:wordWrap/>
        <w:overflowPunct/>
        <w:topLinePunct w:val="0"/>
        <w:bidi w:val="0"/>
        <w:adjustRightInd w:val="0"/>
        <w:snapToGrid w:val="0"/>
        <w:spacing w:line="360" w:lineRule="auto"/>
        <w:ind w:firstLine="480" w:firstLineChars="200"/>
        <w:textAlignment w:val="auto"/>
        <w:rPr>
          <w:rFonts w:ascii="宋体" w:hAnsi="宋体" w:cs="宋体"/>
          <w:color w:val="auto"/>
          <w:kern w:val="0"/>
          <w:sz w:val="24"/>
          <w:highlight w:val="none"/>
        </w:rPr>
      </w:pPr>
      <w:r>
        <w:rPr>
          <w:rFonts w:hint="eastAsia" w:ascii="宋体" w:hAnsi="宋体" w:cs="宋体"/>
          <w:color w:val="auto"/>
          <w:kern w:val="0"/>
          <w:sz w:val="24"/>
          <w:highlight w:val="none"/>
        </w:rPr>
        <w:t>23.4 在评审期间，供应商企图影响采购人、采购代理机构和磋商小组而获得评审信息的任何活动，都将导致其响应文件被拒绝，并承担相应的法律责任。</w:t>
      </w:r>
    </w:p>
    <w:p w14:paraId="048CB4A3">
      <w:pPr>
        <w:keepNext w:val="0"/>
        <w:keepLines w:val="0"/>
        <w:pageBreakBefore w:val="0"/>
        <w:widowControl w:val="0"/>
        <w:tabs>
          <w:tab w:val="left" w:pos="0"/>
        </w:tabs>
        <w:kinsoku/>
        <w:wordWrap/>
        <w:overflowPunct/>
        <w:topLinePunct w:val="0"/>
        <w:bidi w:val="0"/>
        <w:adjustRightInd w:val="0"/>
        <w:snapToGrid w:val="0"/>
        <w:spacing w:line="360" w:lineRule="auto"/>
        <w:ind w:firstLine="482" w:firstLineChars="200"/>
        <w:textAlignment w:val="auto"/>
        <w:outlineLvl w:val="2"/>
        <w:rPr>
          <w:rFonts w:ascii="宋体" w:hAnsi="宋体" w:cs="宋体"/>
          <w:b/>
          <w:bCs/>
          <w:color w:val="auto"/>
          <w:kern w:val="0"/>
          <w:sz w:val="24"/>
          <w:highlight w:val="none"/>
        </w:rPr>
      </w:pPr>
      <w:r>
        <w:rPr>
          <w:rFonts w:hint="eastAsia" w:ascii="宋体" w:hAnsi="宋体" w:cs="宋体"/>
          <w:b/>
          <w:bCs/>
          <w:color w:val="auto"/>
          <w:kern w:val="0"/>
          <w:sz w:val="24"/>
          <w:highlight w:val="none"/>
        </w:rPr>
        <w:t>24、公告</w:t>
      </w:r>
    </w:p>
    <w:p w14:paraId="2E196127">
      <w:pPr>
        <w:keepNext w:val="0"/>
        <w:keepLines w:val="0"/>
        <w:pageBreakBefore w:val="0"/>
        <w:widowControl w:val="0"/>
        <w:tabs>
          <w:tab w:val="left" w:pos="360"/>
          <w:tab w:val="left" w:pos="960"/>
        </w:tabs>
        <w:kinsoku/>
        <w:wordWrap/>
        <w:overflowPunct/>
        <w:topLinePunct w:val="0"/>
        <w:bidi w:val="0"/>
        <w:adjustRightInd w:val="0"/>
        <w:snapToGrid w:val="0"/>
        <w:spacing w:line="360" w:lineRule="auto"/>
        <w:ind w:firstLine="480" w:firstLineChars="200"/>
        <w:textAlignment w:val="auto"/>
        <w:rPr>
          <w:rFonts w:ascii="宋体" w:hAnsi="宋体" w:cs="宋体"/>
          <w:color w:val="auto"/>
          <w:kern w:val="0"/>
          <w:sz w:val="24"/>
          <w:highlight w:val="none"/>
        </w:rPr>
      </w:pPr>
      <w:r>
        <w:rPr>
          <w:rFonts w:hint="eastAsia" w:ascii="宋体" w:hAnsi="宋体" w:cs="宋体"/>
          <w:color w:val="auto"/>
          <w:kern w:val="0"/>
          <w:sz w:val="24"/>
          <w:highlight w:val="none"/>
        </w:rPr>
        <w:t>采购代理机构将在指定的网站</w:t>
      </w:r>
      <w:r>
        <w:rPr>
          <w:rFonts w:hint="eastAsia" w:ascii="宋体" w:hAnsi="宋体" w:cs="宋体"/>
          <w:b/>
          <w:bCs/>
          <w:color w:val="auto"/>
          <w:sz w:val="24"/>
          <w:highlight w:val="none"/>
          <w:u w:val="single"/>
          <w:shd w:val="clear" w:color="auto" w:fill="FFFFFF"/>
          <w:lang w:val="en-US" w:eastAsia="zh-CN"/>
        </w:rPr>
        <w:t xml:space="preserve"> </w:t>
      </w:r>
      <w:r>
        <w:rPr>
          <w:rFonts w:hint="eastAsia" w:ascii="宋体" w:hAnsi="宋体" w:cs="宋体"/>
          <w:b/>
          <w:bCs/>
          <w:color w:val="auto"/>
          <w:sz w:val="24"/>
          <w:highlight w:val="none"/>
          <w:u w:val="single"/>
          <w:shd w:val="clear" w:color="auto" w:fill="FFFFFF"/>
          <w:lang w:eastAsia="zh-CN"/>
        </w:rPr>
        <w:t>海南省政府采购行业协会</w:t>
      </w:r>
      <w:r>
        <w:rPr>
          <w:rFonts w:hint="eastAsia" w:ascii="宋体" w:hAnsi="宋体" w:cs="宋体"/>
          <w:color w:val="auto"/>
          <w:kern w:val="0"/>
          <w:sz w:val="24"/>
          <w:highlight w:val="none"/>
        </w:rPr>
        <w:t>发布竞争性磋商公告、更正公告、成交公告等竞争性磋商采购过程中的所有信息，请务必关注网上公告。成交结果公示期为</w:t>
      </w:r>
      <w:r>
        <w:rPr>
          <w:rFonts w:hint="eastAsia" w:ascii="宋体" w:hAnsi="宋体" w:cs="宋体"/>
          <w:b/>
          <w:bCs/>
          <w:color w:val="auto"/>
          <w:kern w:val="0"/>
          <w:sz w:val="24"/>
          <w:highlight w:val="none"/>
          <w:u w:val="single"/>
        </w:rPr>
        <w:t>1个工作日</w:t>
      </w:r>
      <w:r>
        <w:rPr>
          <w:rFonts w:hint="eastAsia" w:ascii="宋体" w:hAnsi="宋体" w:cs="宋体"/>
          <w:color w:val="auto"/>
          <w:kern w:val="0"/>
          <w:sz w:val="24"/>
          <w:highlight w:val="none"/>
        </w:rPr>
        <w:t>。</w:t>
      </w:r>
    </w:p>
    <w:p w14:paraId="2FC90080">
      <w:pPr>
        <w:keepNext w:val="0"/>
        <w:keepLines w:val="0"/>
        <w:pageBreakBefore w:val="0"/>
        <w:widowControl w:val="0"/>
        <w:tabs>
          <w:tab w:val="left" w:pos="0"/>
        </w:tabs>
        <w:kinsoku/>
        <w:wordWrap/>
        <w:overflowPunct/>
        <w:topLinePunct w:val="0"/>
        <w:bidi w:val="0"/>
        <w:adjustRightInd w:val="0"/>
        <w:snapToGrid w:val="0"/>
        <w:spacing w:line="360" w:lineRule="auto"/>
        <w:textAlignment w:val="auto"/>
        <w:outlineLvl w:val="1"/>
        <w:rPr>
          <w:rFonts w:ascii="宋体" w:hAnsi="宋体" w:cs="宋体"/>
          <w:b/>
          <w:color w:val="auto"/>
          <w:sz w:val="28"/>
          <w:szCs w:val="28"/>
          <w:highlight w:val="none"/>
        </w:rPr>
      </w:pPr>
      <w:r>
        <w:rPr>
          <w:rFonts w:hint="eastAsia" w:ascii="宋体" w:hAnsi="宋体" w:cs="宋体"/>
          <w:b/>
          <w:color w:val="auto"/>
          <w:sz w:val="28"/>
          <w:szCs w:val="28"/>
          <w:highlight w:val="none"/>
        </w:rPr>
        <w:t>（八）合同</w:t>
      </w:r>
    </w:p>
    <w:p w14:paraId="3172B480">
      <w:pPr>
        <w:keepNext w:val="0"/>
        <w:keepLines w:val="0"/>
        <w:pageBreakBefore w:val="0"/>
        <w:widowControl w:val="0"/>
        <w:kinsoku/>
        <w:wordWrap/>
        <w:overflowPunct/>
        <w:topLinePunct w:val="0"/>
        <w:autoSpaceDE w:val="0"/>
        <w:autoSpaceDN w:val="0"/>
        <w:bidi w:val="0"/>
        <w:adjustRightInd w:val="0"/>
        <w:snapToGrid w:val="0"/>
        <w:spacing w:line="360" w:lineRule="auto"/>
        <w:ind w:firstLine="482" w:firstLineChars="200"/>
        <w:textAlignment w:val="auto"/>
        <w:outlineLvl w:val="2"/>
        <w:rPr>
          <w:rFonts w:ascii="宋体" w:hAnsi="宋体" w:cs="宋体"/>
          <w:b/>
          <w:bCs/>
          <w:color w:val="auto"/>
          <w:kern w:val="0"/>
          <w:sz w:val="24"/>
          <w:highlight w:val="none"/>
        </w:rPr>
      </w:pPr>
      <w:r>
        <w:rPr>
          <w:rFonts w:hint="eastAsia" w:ascii="宋体" w:hAnsi="宋体" w:cs="宋体"/>
          <w:b/>
          <w:bCs/>
          <w:color w:val="auto"/>
          <w:kern w:val="0"/>
          <w:sz w:val="24"/>
          <w:highlight w:val="none"/>
        </w:rPr>
        <w:t>25、合同授予标准</w:t>
      </w:r>
    </w:p>
    <w:p w14:paraId="3A4705D3">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ascii="宋体" w:hAnsi="宋体" w:cs="宋体"/>
          <w:color w:val="auto"/>
          <w:kern w:val="0"/>
          <w:sz w:val="24"/>
          <w:highlight w:val="none"/>
        </w:rPr>
      </w:pPr>
      <w:r>
        <w:rPr>
          <w:rFonts w:hint="eastAsia" w:ascii="宋体" w:hAnsi="宋体" w:cs="宋体"/>
          <w:color w:val="auto"/>
          <w:kern w:val="0"/>
          <w:sz w:val="24"/>
          <w:highlight w:val="none"/>
        </w:rPr>
        <w:t>除本须知第14.4条的规定之外，采购人将与成交供应商签订采购合同。</w:t>
      </w:r>
    </w:p>
    <w:p w14:paraId="59F039F2">
      <w:pPr>
        <w:keepNext w:val="0"/>
        <w:keepLines w:val="0"/>
        <w:pageBreakBefore w:val="0"/>
        <w:widowControl w:val="0"/>
        <w:kinsoku/>
        <w:wordWrap/>
        <w:overflowPunct/>
        <w:topLinePunct w:val="0"/>
        <w:autoSpaceDE w:val="0"/>
        <w:autoSpaceDN w:val="0"/>
        <w:bidi w:val="0"/>
        <w:adjustRightInd w:val="0"/>
        <w:snapToGrid w:val="0"/>
        <w:spacing w:line="360" w:lineRule="auto"/>
        <w:ind w:firstLine="482" w:firstLineChars="200"/>
        <w:textAlignment w:val="auto"/>
        <w:outlineLvl w:val="2"/>
        <w:rPr>
          <w:rFonts w:ascii="宋体" w:hAnsi="宋体" w:cs="宋体"/>
          <w:b/>
          <w:bCs/>
          <w:color w:val="auto"/>
          <w:kern w:val="0"/>
          <w:sz w:val="24"/>
          <w:highlight w:val="none"/>
        </w:rPr>
      </w:pPr>
      <w:r>
        <w:rPr>
          <w:rFonts w:hint="eastAsia" w:ascii="宋体" w:hAnsi="宋体" w:cs="宋体"/>
          <w:b/>
          <w:bCs/>
          <w:color w:val="auto"/>
          <w:kern w:val="0"/>
          <w:sz w:val="24"/>
          <w:highlight w:val="none"/>
        </w:rPr>
        <w:t>26、接受和拒绝任何或所有响应文件的权力</w:t>
      </w:r>
    </w:p>
    <w:p w14:paraId="13EE9FD8">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ascii="宋体" w:hAnsi="宋体" w:cs="宋体"/>
          <w:color w:val="auto"/>
          <w:kern w:val="0"/>
          <w:sz w:val="24"/>
          <w:highlight w:val="none"/>
        </w:rPr>
      </w:pPr>
      <w:r>
        <w:rPr>
          <w:rFonts w:hint="eastAsia" w:ascii="宋体" w:hAnsi="宋体" w:cs="宋体"/>
          <w:color w:val="auto"/>
          <w:kern w:val="0"/>
          <w:sz w:val="24"/>
          <w:highlight w:val="none"/>
        </w:rPr>
        <w:t>在特殊情况下，磋商小组、采购代理机构和采购人在报经监管部门同意后，保留在授予合同之前拒绝任何报价以及宣布磋商程序无效或拒绝所有响应的权力。</w:t>
      </w:r>
    </w:p>
    <w:p w14:paraId="00742C71">
      <w:pPr>
        <w:keepNext w:val="0"/>
        <w:keepLines w:val="0"/>
        <w:pageBreakBefore w:val="0"/>
        <w:widowControl w:val="0"/>
        <w:kinsoku/>
        <w:wordWrap/>
        <w:overflowPunct/>
        <w:topLinePunct w:val="0"/>
        <w:bidi w:val="0"/>
        <w:adjustRightInd w:val="0"/>
        <w:snapToGrid w:val="0"/>
        <w:spacing w:line="360" w:lineRule="auto"/>
        <w:ind w:firstLine="482" w:firstLineChars="200"/>
        <w:textAlignment w:val="auto"/>
        <w:outlineLvl w:val="2"/>
        <w:rPr>
          <w:rFonts w:ascii="宋体" w:hAnsi="宋体" w:cs="宋体"/>
          <w:b/>
          <w:bCs/>
          <w:color w:val="auto"/>
          <w:kern w:val="0"/>
          <w:sz w:val="24"/>
          <w:highlight w:val="none"/>
        </w:rPr>
      </w:pPr>
      <w:r>
        <w:rPr>
          <w:rFonts w:hint="eastAsia" w:ascii="宋体" w:hAnsi="宋体" w:cs="宋体"/>
          <w:b/>
          <w:bCs/>
          <w:color w:val="auto"/>
          <w:kern w:val="0"/>
          <w:sz w:val="24"/>
          <w:highlight w:val="none"/>
        </w:rPr>
        <w:t>27、签订合同</w:t>
      </w:r>
    </w:p>
    <w:p w14:paraId="1BA7430B">
      <w:pPr>
        <w:keepNext w:val="0"/>
        <w:keepLines w:val="0"/>
        <w:pageBreakBefore w:val="0"/>
        <w:widowControl w:val="0"/>
        <w:kinsoku/>
        <w:wordWrap/>
        <w:overflowPunct/>
        <w:topLinePunct w:val="0"/>
        <w:bidi w:val="0"/>
        <w:adjustRightInd w:val="0"/>
        <w:snapToGrid w:val="0"/>
        <w:spacing w:line="360" w:lineRule="auto"/>
        <w:ind w:firstLine="480" w:firstLineChars="200"/>
        <w:textAlignment w:val="auto"/>
        <w:rPr>
          <w:rFonts w:ascii="宋体" w:hAnsi="宋体" w:cs="宋体"/>
          <w:color w:val="auto"/>
          <w:kern w:val="0"/>
          <w:sz w:val="24"/>
          <w:highlight w:val="none"/>
        </w:rPr>
      </w:pPr>
      <w:r>
        <w:rPr>
          <w:rFonts w:hint="eastAsia" w:ascii="宋体" w:hAnsi="宋体" w:cs="宋体"/>
          <w:color w:val="auto"/>
          <w:kern w:val="0"/>
          <w:sz w:val="24"/>
          <w:highlight w:val="none"/>
        </w:rPr>
        <w:t>27.1 采购人应按磋商文件和成交供应商的响应文件订立书面合同，不得超出磋商文件和成交供应商响应文件的范围，也不得另行订立背离合同实质性内容的其他协议。</w:t>
      </w:r>
    </w:p>
    <w:p w14:paraId="50AF8560">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ascii="宋体" w:hAnsi="宋体" w:cs="宋体"/>
          <w:b/>
          <w:color w:val="auto"/>
          <w:sz w:val="44"/>
          <w:szCs w:val="44"/>
          <w:highlight w:val="none"/>
        </w:rPr>
      </w:pPr>
      <w:r>
        <w:rPr>
          <w:rFonts w:hint="eastAsia" w:ascii="宋体" w:hAnsi="宋体" w:cs="宋体"/>
          <w:color w:val="auto"/>
          <w:kern w:val="0"/>
          <w:sz w:val="24"/>
          <w:highlight w:val="none"/>
        </w:rPr>
        <w:t>27.2 采购人应在成交通知书发出之日起</w:t>
      </w:r>
      <w:r>
        <w:rPr>
          <w:rFonts w:hint="eastAsia" w:ascii="宋体" w:hAnsi="宋体" w:cs="宋体"/>
          <w:b/>
          <w:bCs/>
          <w:color w:val="auto"/>
          <w:kern w:val="0"/>
          <w:sz w:val="24"/>
          <w:highlight w:val="none"/>
          <w:u w:val="single"/>
        </w:rPr>
        <w:t>30日内</w:t>
      </w:r>
      <w:r>
        <w:rPr>
          <w:rFonts w:hint="eastAsia" w:ascii="宋体" w:hAnsi="宋体" w:cs="宋体"/>
          <w:color w:val="auto"/>
          <w:kern w:val="0"/>
          <w:sz w:val="24"/>
          <w:highlight w:val="none"/>
        </w:rPr>
        <w:t>与成交供应商签订采购合同。</w:t>
      </w:r>
    </w:p>
    <w:p w14:paraId="7D783402">
      <w:pPr>
        <w:spacing w:before="159" w:after="159" w:line="360" w:lineRule="auto"/>
        <w:jc w:val="center"/>
        <w:outlineLvl w:val="0"/>
        <w:rPr>
          <w:rStyle w:val="40"/>
          <w:rFonts w:hint="eastAsia" w:eastAsia="宋体"/>
          <w:color w:val="auto"/>
          <w:highlight w:val="none"/>
          <w:lang w:eastAsia="zh-CN"/>
        </w:rPr>
      </w:pPr>
      <w:r>
        <w:rPr>
          <w:rFonts w:hint="eastAsia" w:ascii="宋体" w:hAnsi="宋体" w:cs="宋体"/>
          <w:b/>
          <w:color w:val="auto"/>
          <w:sz w:val="44"/>
          <w:szCs w:val="44"/>
          <w:highlight w:val="none"/>
        </w:rPr>
        <w:br w:type="page"/>
      </w:r>
      <w:bookmarkStart w:id="2" w:name="_Toc20171"/>
      <w:r>
        <w:rPr>
          <w:rStyle w:val="40"/>
          <w:rFonts w:hint="eastAsia"/>
          <w:color w:val="auto"/>
          <w:highlight w:val="none"/>
        </w:rPr>
        <w:t xml:space="preserve">第三部分  </w:t>
      </w:r>
      <w:bookmarkEnd w:id="2"/>
      <w:r>
        <w:rPr>
          <w:rStyle w:val="40"/>
          <w:rFonts w:hint="eastAsia"/>
          <w:color w:val="auto"/>
          <w:highlight w:val="none"/>
        </w:rPr>
        <w:t>合同文本</w:t>
      </w:r>
      <w:r>
        <w:rPr>
          <w:rStyle w:val="40"/>
          <w:rFonts w:hint="eastAsia"/>
          <w:color w:val="auto"/>
          <w:highlight w:val="none"/>
          <w:lang w:eastAsia="zh-CN"/>
        </w:rPr>
        <w:t>（</w:t>
      </w:r>
      <w:r>
        <w:rPr>
          <w:rStyle w:val="40"/>
          <w:rFonts w:hint="eastAsia"/>
          <w:color w:val="auto"/>
          <w:highlight w:val="none"/>
          <w:lang w:val="en-US" w:eastAsia="zh-CN"/>
        </w:rPr>
        <w:t>参考模板</w:t>
      </w:r>
      <w:r>
        <w:rPr>
          <w:rStyle w:val="40"/>
          <w:rFonts w:hint="eastAsia"/>
          <w:color w:val="auto"/>
          <w:highlight w:val="none"/>
          <w:lang w:eastAsia="zh-CN"/>
        </w:rPr>
        <w:t>）</w:t>
      </w:r>
    </w:p>
    <w:p w14:paraId="27349A7C">
      <w:pPr>
        <w:spacing w:line="440" w:lineRule="exact"/>
        <w:rPr>
          <w:color w:val="auto"/>
          <w:szCs w:val="24"/>
          <w:highlight w:val="none"/>
        </w:rPr>
      </w:pPr>
    </w:p>
    <w:p w14:paraId="2380DA99">
      <w:pPr>
        <w:spacing w:afterLines="50" w:line="440" w:lineRule="exact"/>
        <w:rPr>
          <w:color w:val="auto"/>
          <w:sz w:val="24"/>
          <w:highlight w:val="none"/>
        </w:rPr>
      </w:pPr>
    </w:p>
    <w:p w14:paraId="508878F9">
      <w:pPr>
        <w:keepNext w:val="0"/>
        <w:keepLines w:val="0"/>
        <w:widowControl w:val="0"/>
        <w:suppressLineNumbers w:val="0"/>
        <w:adjustRightInd w:val="0"/>
        <w:snapToGrid w:val="0"/>
        <w:spacing w:before="0" w:beforeAutospacing="0" w:after="0" w:afterAutospacing="0" w:line="840" w:lineRule="exact"/>
        <w:ind w:left="0" w:right="0"/>
        <w:jc w:val="center"/>
        <w:outlineLvl w:val="9"/>
        <w:rPr>
          <w:rFonts w:hint="eastAsia" w:ascii="宋体" w:hAnsi="宋体" w:eastAsia="宋体" w:cs="宋体"/>
          <w:b/>
          <w:bCs w:val="0"/>
          <w:color w:val="auto"/>
          <w:sz w:val="48"/>
          <w:szCs w:val="48"/>
          <w:highlight w:val="none"/>
          <w:lang w:val="en-US" w:eastAsia="zh-CN"/>
        </w:rPr>
      </w:pPr>
      <w:r>
        <w:rPr>
          <w:rFonts w:hint="eastAsia" w:ascii="宋体" w:hAnsi="宋体" w:cs="宋体"/>
          <w:b/>
          <w:bCs w:val="0"/>
          <w:color w:val="auto"/>
          <w:sz w:val="48"/>
          <w:szCs w:val="48"/>
          <w:highlight w:val="none"/>
          <w:lang w:val="en-US" w:eastAsia="zh-CN"/>
        </w:rPr>
        <w:t>海口市琼山区振群幼儿园2025年秋季设施设备采购项目</w:t>
      </w:r>
    </w:p>
    <w:p w14:paraId="1BBD986A">
      <w:pPr>
        <w:keepNext w:val="0"/>
        <w:keepLines w:val="0"/>
        <w:widowControl w:val="0"/>
        <w:suppressLineNumbers w:val="0"/>
        <w:adjustRightInd w:val="0"/>
        <w:snapToGrid w:val="0"/>
        <w:spacing w:before="0" w:beforeAutospacing="0" w:after="0" w:afterAutospacing="0" w:line="840" w:lineRule="exact"/>
        <w:ind w:left="0" w:right="0"/>
        <w:jc w:val="center"/>
        <w:outlineLvl w:val="9"/>
        <w:rPr>
          <w:rFonts w:hint="eastAsia" w:ascii="宋体" w:hAnsi="宋体" w:eastAsia="宋体" w:cs="宋体"/>
          <w:b/>
          <w:bCs w:val="0"/>
          <w:color w:val="auto"/>
          <w:spacing w:val="200"/>
          <w:kern w:val="2"/>
          <w:sz w:val="72"/>
          <w:szCs w:val="72"/>
          <w:highlight w:val="none"/>
          <w:lang w:val="en-US" w:eastAsia="zh-CN" w:bidi="ar"/>
        </w:rPr>
      </w:pPr>
      <w:bookmarkStart w:id="3" w:name="_Toc22017"/>
    </w:p>
    <w:p w14:paraId="5EA1DB73">
      <w:pPr>
        <w:keepNext w:val="0"/>
        <w:keepLines w:val="0"/>
        <w:widowControl w:val="0"/>
        <w:suppressLineNumbers w:val="0"/>
        <w:adjustRightInd w:val="0"/>
        <w:snapToGrid w:val="0"/>
        <w:spacing w:before="0" w:beforeAutospacing="0" w:after="0" w:afterAutospacing="0" w:line="840" w:lineRule="exact"/>
        <w:ind w:left="0" w:right="0"/>
        <w:jc w:val="center"/>
        <w:outlineLvl w:val="9"/>
        <w:rPr>
          <w:rFonts w:hint="eastAsia" w:ascii="宋体" w:hAnsi="宋体" w:eastAsia="宋体" w:cs="宋体"/>
          <w:b/>
          <w:bCs w:val="0"/>
          <w:color w:val="auto"/>
          <w:spacing w:val="200"/>
          <w:sz w:val="72"/>
          <w:szCs w:val="72"/>
          <w:highlight w:val="none"/>
          <w:lang w:val="en-US"/>
        </w:rPr>
      </w:pPr>
      <w:r>
        <w:rPr>
          <w:rFonts w:hint="eastAsia" w:ascii="宋体" w:hAnsi="宋体" w:eastAsia="宋体" w:cs="宋体"/>
          <w:b/>
          <w:bCs w:val="0"/>
          <w:color w:val="auto"/>
          <w:spacing w:val="200"/>
          <w:kern w:val="2"/>
          <w:sz w:val="72"/>
          <w:szCs w:val="72"/>
          <w:highlight w:val="none"/>
          <w:lang w:val="en-US" w:eastAsia="zh-CN" w:bidi="ar"/>
        </w:rPr>
        <w:t>合同书</w:t>
      </w:r>
      <w:bookmarkEnd w:id="3"/>
    </w:p>
    <w:p w14:paraId="26A2074D">
      <w:pPr>
        <w:keepNext w:val="0"/>
        <w:keepLines w:val="0"/>
        <w:widowControl w:val="0"/>
        <w:suppressLineNumbers w:val="0"/>
        <w:adjustRightInd w:val="0"/>
        <w:snapToGrid w:val="0"/>
        <w:spacing w:before="0" w:beforeAutospacing="0" w:after="0" w:afterAutospacing="0" w:line="840" w:lineRule="exact"/>
        <w:ind w:left="0" w:right="0"/>
        <w:jc w:val="both"/>
        <w:outlineLvl w:val="9"/>
        <w:rPr>
          <w:rFonts w:hint="eastAsia" w:ascii="宋体" w:hAnsi="宋体" w:eastAsia="宋体" w:cs="宋体"/>
          <w:b/>
          <w:bCs w:val="0"/>
          <w:color w:val="auto"/>
          <w:sz w:val="32"/>
          <w:szCs w:val="24"/>
          <w:highlight w:val="none"/>
          <w:lang w:val="en-US"/>
        </w:rPr>
      </w:pPr>
    </w:p>
    <w:p w14:paraId="41E19385">
      <w:pPr>
        <w:keepNext w:val="0"/>
        <w:keepLines w:val="0"/>
        <w:widowControl w:val="0"/>
        <w:suppressLineNumbers w:val="0"/>
        <w:adjustRightInd w:val="0"/>
        <w:snapToGrid w:val="0"/>
        <w:spacing w:before="0" w:beforeAutospacing="0" w:after="0" w:afterAutospacing="0" w:line="840" w:lineRule="exact"/>
        <w:ind w:left="0" w:right="0"/>
        <w:jc w:val="both"/>
        <w:outlineLvl w:val="9"/>
        <w:rPr>
          <w:rFonts w:hint="eastAsia" w:ascii="宋体" w:hAnsi="宋体" w:eastAsia="宋体" w:cs="宋体"/>
          <w:b/>
          <w:bCs w:val="0"/>
          <w:color w:val="auto"/>
          <w:sz w:val="32"/>
          <w:szCs w:val="24"/>
          <w:highlight w:val="none"/>
          <w:lang w:val="en-US"/>
        </w:rPr>
      </w:pPr>
    </w:p>
    <w:p w14:paraId="344CC9CE">
      <w:pPr>
        <w:keepNext w:val="0"/>
        <w:keepLines w:val="0"/>
        <w:widowControl w:val="0"/>
        <w:suppressLineNumbers w:val="0"/>
        <w:adjustRightInd w:val="0"/>
        <w:snapToGrid w:val="0"/>
        <w:spacing w:before="0" w:beforeAutospacing="0" w:after="0" w:afterAutospacing="0" w:line="840" w:lineRule="exact"/>
        <w:ind w:left="0" w:right="0"/>
        <w:jc w:val="both"/>
        <w:outlineLvl w:val="9"/>
        <w:rPr>
          <w:rFonts w:hint="eastAsia" w:ascii="宋体" w:hAnsi="宋体" w:eastAsia="宋体" w:cs="宋体"/>
          <w:b/>
          <w:bCs w:val="0"/>
          <w:color w:val="auto"/>
          <w:sz w:val="32"/>
          <w:szCs w:val="24"/>
          <w:highlight w:val="none"/>
          <w:lang w:val="en-US"/>
        </w:rPr>
      </w:pPr>
    </w:p>
    <w:p w14:paraId="7C242448">
      <w:pPr>
        <w:keepNext w:val="0"/>
        <w:keepLines w:val="0"/>
        <w:widowControl w:val="0"/>
        <w:suppressLineNumbers w:val="0"/>
        <w:adjustRightInd w:val="0"/>
        <w:snapToGrid w:val="0"/>
        <w:spacing w:before="0" w:beforeAutospacing="0" w:after="0" w:afterAutospacing="0" w:line="240" w:lineRule="auto"/>
        <w:ind w:left="319" w:leftChars="152" w:right="0" w:firstLine="0" w:firstLineChars="0"/>
        <w:jc w:val="left"/>
        <w:outlineLvl w:val="9"/>
        <w:rPr>
          <w:rFonts w:hint="eastAsia" w:ascii="宋体" w:hAnsi="宋体" w:eastAsia="宋体" w:cs="宋体"/>
          <w:b/>
          <w:bCs w:val="0"/>
          <w:color w:val="auto"/>
          <w:spacing w:val="20"/>
          <w:sz w:val="32"/>
          <w:szCs w:val="32"/>
          <w:highlight w:val="none"/>
          <w:lang w:val="en-US" w:eastAsia="zh-CN"/>
        </w:rPr>
      </w:pPr>
      <w:bookmarkStart w:id="4" w:name="_Toc10687"/>
      <w:r>
        <w:rPr>
          <w:rFonts w:hint="eastAsia" w:ascii="宋体" w:hAnsi="宋体" w:eastAsia="宋体" w:cs="宋体"/>
          <w:b/>
          <w:bCs w:val="0"/>
          <w:color w:val="auto"/>
          <w:spacing w:val="20"/>
          <w:sz w:val="32"/>
          <w:szCs w:val="32"/>
          <w:highlight w:val="none"/>
          <w:lang w:val="en-US" w:eastAsia="zh-CN"/>
        </w:rPr>
        <w:t>项目名称：</w:t>
      </w:r>
      <w:bookmarkEnd w:id="4"/>
      <w:r>
        <w:rPr>
          <w:rFonts w:hint="eastAsia" w:ascii="宋体" w:hAnsi="宋体" w:cs="宋体"/>
          <w:b/>
          <w:bCs w:val="0"/>
          <w:color w:val="auto"/>
          <w:spacing w:val="20"/>
          <w:sz w:val="32"/>
          <w:szCs w:val="32"/>
          <w:highlight w:val="none"/>
          <w:lang w:val="en-US" w:eastAsia="zh-CN"/>
        </w:rPr>
        <w:t>海口市琼山区振群幼儿园2025年秋季设施设备采购项目</w:t>
      </w:r>
    </w:p>
    <w:p w14:paraId="1BBFDECC">
      <w:pPr>
        <w:keepNext w:val="0"/>
        <w:keepLines w:val="0"/>
        <w:widowControl w:val="0"/>
        <w:suppressLineNumbers w:val="0"/>
        <w:adjustRightInd w:val="0"/>
        <w:snapToGrid w:val="0"/>
        <w:spacing w:before="0" w:beforeAutospacing="0" w:after="0" w:afterAutospacing="0" w:line="840" w:lineRule="exact"/>
        <w:ind w:right="0" w:firstLine="361" w:firstLineChars="100"/>
        <w:jc w:val="left"/>
        <w:outlineLvl w:val="9"/>
        <w:rPr>
          <w:rFonts w:hint="eastAsia" w:ascii="宋体" w:hAnsi="宋体" w:eastAsia="宋体" w:cs="宋体"/>
          <w:b/>
          <w:bCs w:val="0"/>
          <w:color w:val="auto"/>
          <w:spacing w:val="20"/>
          <w:sz w:val="32"/>
          <w:szCs w:val="32"/>
          <w:highlight w:val="none"/>
          <w:lang w:val="en-US" w:eastAsia="zh-CN"/>
        </w:rPr>
      </w:pPr>
      <w:bookmarkStart w:id="5" w:name="_Toc5749"/>
      <w:r>
        <w:rPr>
          <w:rFonts w:hint="eastAsia" w:ascii="宋体" w:hAnsi="宋体" w:eastAsia="宋体" w:cs="宋体"/>
          <w:b/>
          <w:bCs w:val="0"/>
          <w:color w:val="auto"/>
          <w:spacing w:val="20"/>
          <w:sz w:val="32"/>
          <w:szCs w:val="32"/>
          <w:highlight w:val="none"/>
          <w:lang w:val="en-US" w:eastAsia="zh-CN"/>
        </w:rPr>
        <w:t>合同编号：</w:t>
      </w:r>
      <w:bookmarkEnd w:id="5"/>
    </w:p>
    <w:p w14:paraId="21DE9E20">
      <w:pPr>
        <w:keepNext w:val="0"/>
        <w:keepLines w:val="0"/>
        <w:widowControl w:val="0"/>
        <w:suppressLineNumbers w:val="0"/>
        <w:adjustRightInd w:val="0"/>
        <w:snapToGrid w:val="0"/>
        <w:spacing w:before="0" w:beforeAutospacing="0" w:after="0" w:afterAutospacing="0" w:line="840" w:lineRule="exact"/>
        <w:ind w:right="0" w:firstLine="361" w:firstLineChars="100"/>
        <w:jc w:val="left"/>
        <w:outlineLvl w:val="9"/>
        <w:rPr>
          <w:rFonts w:hint="default" w:ascii="宋体" w:hAnsi="宋体" w:eastAsia="宋体" w:cs="宋体"/>
          <w:b/>
          <w:bCs w:val="0"/>
          <w:color w:val="auto"/>
          <w:spacing w:val="20"/>
          <w:sz w:val="32"/>
          <w:szCs w:val="32"/>
          <w:highlight w:val="none"/>
          <w:lang w:val="en-US" w:eastAsia="zh-CN"/>
        </w:rPr>
      </w:pPr>
      <w:r>
        <w:rPr>
          <w:rFonts w:hint="eastAsia" w:ascii="宋体" w:hAnsi="宋体" w:cs="宋体"/>
          <w:b/>
          <w:bCs w:val="0"/>
          <w:color w:val="auto"/>
          <w:spacing w:val="20"/>
          <w:sz w:val="32"/>
          <w:szCs w:val="32"/>
          <w:highlight w:val="none"/>
          <w:lang w:val="en-US" w:eastAsia="zh-CN"/>
        </w:rPr>
        <w:t>合同包号：</w:t>
      </w:r>
    </w:p>
    <w:p w14:paraId="1F127C86">
      <w:pPr>
        <w:keepNext w:val="0"/>
        <w:keepLines w:val="0"/>
        <w:widowControl w:val="0"/>
        <w:suppressLineNumbers w:val="0"/>
        <w:adjustRightInd w:val="0"/>
        <w:snapToGrid w:val="0"/>
        <w:spacing w:before="0" w:beforeAutospacing="0" w:after="0" w:afterAutospacing="0" w:line="840" w:lineRule="exact"/>
        <w:ind w:left="0" w:right="0" w:firstLine="361" w:firstLineChars="100"/>
        <w:jc w:val="left"/>
        <w:outlineLvl w:val="9"/>
        <w:rPr>
          <w:rFonts w:hint="eastAsia" w:ascii="宋体" w:hAnsi="宋体" w:eastAsia="宋体" w:cs="宋体"/>
          <w:b/>
          <w:bCs w:val="0"/>
          <w:color w:val="auto"/>
          <w:spacing w:val="20"/>
          <w:sz w:val="32"/>
          <w:szCs w:val="32"/>
          <w:highlight w:val="none"/>
          <w:lang w:val="en-US" w:eastAsia="zh-CN"/>
        </w:rPr>
      </w:pPr>
      <w:bookmarkStart w:id="6" w:name="_Toc25333"/>
      <w:r>
        <w:rPr>
          <w:rFonts w:hint="eastAsia" w:ascii="宋体" w:hAnsi="宋体" w:eastAsia="宋体" w:cs="宋体"/>
          <w:b/>
          <w:bCs w:val="0"/>
          <w:color w:val="auto"/>
          <w:spacing w:val="20"/>
          <w:sz w:val="32"/>
          <w:szCs w:val="32"/>
          <w:highlight w:val="none"/>
          <w:lang w:val="en-US" w:eastAsia="zh-CN"/>
        </w:rPr>
        <w:t>签约地点：</w:t>
      </w:r>
      <w:bookmarkEnd w:id="6"/>
      <w:r>
        <w:rPr>
          <w:rFonts w:hint="eastAsia" w:ascii="宋体" w:hAnsi="宋体" w:cs="宋体"/>
          <w:b/>
          <w:bCs w:val="0"/>
          <w:color w:val="auto"/>
          <w:spacing w:val="20"/>
          <w:sz w:val="32"/>
          <w:szCs w:val="32"/>
          <w:highlight w:val="none"/>
          <w:lang w:val="en-US" w:eastAsia="zh-CN"/>
        </w:rPr>
        <w:t>海口市琼山区振群幼儿园</w:t>
      </w:r>
    </w:p>
    <w:p w14:paraId="7151036A">
      <w:pPr>
        <w:keepNext w:val="0"/>
        <w:keepLines w:val="0"/>
        <w:widowControl w:val="0"/>
        <w:suppressLineNumbers w:val="0"/>
        <w:adjustRightInd w:val="0"/>
        <w:snapToGrid w:val="0"/>
        <w:spacing w:before="0" w:beforeAutospacing="0" w:after="0" w:afterAutospacing="0" w:line="840" w:lineRule="exact"/>
        <w:ind w:left="0" w:right="0"/>
        <w:jc w:val="center"/>
        <w:outlineLvl w:val="9"/>
        <w:rPr>
          <w:rFonts w:hint="eastAsia" w:ascii="宋体" w:hAnsi="宋体" w:eastAsia="宋体" w:cs="宋体"/>
          <w:b/>
          <w:bCs w:val="0"/>
          <w:color w:val="auto"/>
          <w:spacing w:val="20"/>
          <w:sz w:val="32"/>
          <w:szCs w:val="32"/>
          <w:highlight w:val="none"/>
          <w:lang w:val="en-US" w:eastAsia="zh-CN"/>
        </w:rPr>
      </w:pPr>
      <w:bookmarkStart w:id="7" w:name="_Toc9795"/>
    </w:p>
    <w:p w14:paraId="43DBCF74">
      <w:pPr>
        <w:keepNext w:val="0"/>
        <w:keepLines w:val="0"/>
        <w:widowControl w:val="0"/>
        <w:suppressLineNumbers w:val="0"/>
        <w:adjustRightInd w:val="0"/>
        <w:snapToGrid w:val="0"/>
        <w:spacing w:before="0" w:beforeAutospacing="0" w:after="0" w:afterAutospacing="0" w:line="840" w:lineRule="exact"/>
        <w:ind w:left="0" w:right="0"/>
        <w:jc w:val="center"/>
        <w:outlineLvl w:val="9"/>
        <w:rPr>
          <w:rFonts w:hint="eastAsia" w:ascii="宋体" w:hAnsi="宋体" w:eastAsia="宋体" w:cs="宋体"/>
          <w:b/>
          <w:bCs w:val="0"/>
          <w:color w:val="auto"/>
          <w:spacing w:val="20"/>
          <w:sz w:val="32"/>
          <w:szCs w:val="32"/>
          <w:highlight w:val="none"/>
          <w:lang w:val="en-US" w:eastAsia="zh-CN"/>
        </w:rPr>
      </w:pPr>
      <w:r>
        <w:rPr>
          <w:rFonts w:hint="eastAsia" w:ascii="宋体" w:hAnsi="宋体" w:eastAsia="宋体" w:cs="宋体"/>
          <w:b/>
          <w:bCs w:val="0"/>
          <w:color w:val="auto"/>
          <w:spacing w:val="20"/>
          <w:sz w:val="32"/>
          <w:szCs w:val="32"/>
          <w:highlight w:val="none"/>
          <w:lang w:val="en-US" w:eastAsia="zh-CN"/>
        </w:rPr>
        <w:t>签订日期：202</w:t>
      </w:r>
      <w:r>
        <w:rPr>
          <w:rFonts w:hint="eastAsia" w:ascii="宋体" w:hAnsi="宋体" w:cs="宋体"/>
          <w:b/>
          <w:bCs w:val="0"/>
          <w:color w:val="auto"/>
          <w:spacing w:val="20"/>
          <w:sz w:val="32"/>
          <w:szCs w:val="32"/>
          <w:highlight w:val="none"/>
          <w:lang w:val="en-US" w:eastAsia="zh-CN"/>
        </w:rPr>
        <w:t>5</w:t>
      </w:r>
      <w:r>
        <w:rPr>
          <w:rFonts w:hint="eastAsia" w:ascii="宋体" w:hAnsi="宋体" w:eastAsia="宋体" w:cs="宋体"/>
          <w:b/>
          <w:bCs w:val="0"/>
          <w:color w:val="auto"/>
          <w:spacing w:val="20"/>
          <w:sz w:val="32"/>
          <w:szCs w:val="32"/>
          <w:highlight w:val="none"/>
          <w:lang w:val="en-US" w:eastAsia="zh-CN"/>
        </w:rPr>
        <w:t>年   月</w:t>
      </w:r>
      <w:bookmarkEnd w:id="7"/>
    </w:p>
    <w:p w14:paraId="16C86C52">
      <w:pPr>
        <w:rPr>
          <w:rFonts w:hint="eastAsia" w:ascii="宋体" w:hAnsi="宋体" w:eastAsia="宋体" w:cs="宋体"/>
          <w:color w:val="auto"/>
          <w:kern w:val="2"/>
          <w:sz w:val="28"/>
          <w:szCs w:val="28"/>
          <w:highlight w:val="none"/>
          <w:lang w:val="en-US" w:eastAsia="zh-CN" w:bidi="ar"/>
        </w:rPr>
      </w:pPr>
      <w:bookmarkStart w:id="8" w:name="_Toc32731"/>
    </w:p>
    <w:p w14:paraId="15012324">
      <w:pPr>
        <w:rPr>
          <w:rFonts w:hint="eastAsia" w:ascii="宋体" w:hAnsi="宋体" w:eastAsia="宋体" w:cs="宋体"/>
          <w:color w:val="auto"/>
          <w:kern w:val="2"/>
          <w:sz w:val="28"/>
          <w:szCs w:val="28"/>
          <w:highlight w:val="none"/>
          <w:lang w:val="en-US" w:eastAsia="zh-CN" w:bidi="ar"/>
        </w:rPr>
      </w:pPr>
      <w:r>
        <w:rPr>
          <w:rFonts w:hint="eastAsia" w:ascii="宋体" w:hAnsi="宋体" w:eastAsia="宋体" w:cs="宋体"/>
          <w:color w:val="auto"/>
          <w:kern w:val="2"/>
          <w:sz w:val="28"/>
          <w:szCs w:val="28"/>
          <w:highlight w:val="none"/>
          <w:lang w:val="en-US" w:eastAsia="zh-CN" w:bidi="ar"/>
        </w:rPr>
        <w:br w:type="page"/>
      </w:r>
    </w:p>
    <w:p w14:paraId="04B2A49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360" w:lineRule="auto"/>
        <w:ind w:left="0" w:right="0"/>
        <w:jc w:val="left"/>
        <w:textAlignment w:val="auto"/>
        <w:outlineLvl w:val="9"/>
        <w:rPr>
          <w:rFonts w:hint="default" w:ascii="宋体" w:hAnsi="宋体" w:eastAsia="宋体" w:cs="宋体"/>
          <w:b/>
          <w:bCs/>
          <w:color w:val="auto"/>
          <w:sz w:val="28"/>
          <w:szCs w:val="28"/>
          <w:highlight w:val="none"/>
          <w:u w:val="single"/>
          <w:lang w:val="en-US"/>
        </w:rPr>
      </w:pPr>
      <w:r>
        <w:rPr>
          <w:rFonts w:hint="eastAsia" w:ascii="宋体" w:hAnsi="宋体" w:eastAsia="宋体" w:cs="宋体"/>
          <w:color w:val="auto"/>
          <w:kern w:val="2"/>
          <w:sz w:val="28"/>
          <w:szCs w:val="28"/>
          <w:highlight w:val="none"/>
          <w:lang w:val="en-US" w:eastAsia="zh-CN" w:bidi="ar"/>
        </w:rPr>
        <w:t>甲方：</w:t>
      </w:r>
      <w:bookmarkEnd w:id="8"/>
      <w:r>
        <w:rPr>
          <w:rFonts w:hint="eastAsia" w:ascii="宋体" w:hAnsi="宋体" w:cs="宋体"/>
          <w:color w:val="auto"/>
          <w:kern w:val="2"/>
          <w:sz w:val="28"/>
          <w:szCs w:val="28"/>
          <w:highlight w:val="none"/>
          <w:u w:val="single"/>
          <w:lang w:val="en-US" w:eastAsia="zh-CN" w:bidi="ar"/>
        </w:rPr>
        <w:t xml:space="preserve"> </w:t>
      </w:r>
      <w:r>
        <w:rPr>
          <w:rFonts w:hint="eastAsia" w:ascii="宋体" w:hAnsi="宋体" w:cs="宋体"/>
          <w:b/>
          <w:bCs/>
          <w:color w:val="auto"/>
          <w:kern w:val="2"/>
          <w:sz w:val="28"/>
          <w:szCs w:val="28"/>
          <w:highlight w:val="none"/>
          <w:u w:val="single"/>
          <w:lang w:val="en-US" w:eastAsia="zh-CN" w:bidi="ar"/>
        </w:rPr>
        <w:t xml:space="preserve">海口市琼山区振群幼儿园 </w:t>
      </w:r>
    </w:p>
    <w:p w14:paraId="62C8467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auto"/>
        <w:ind w:left="0" w:right="0"/>
        <w:jc w:val="both"/>
        <w:textAlignment w:val="auto"/>
        <w:outlineLvl w:val="9"/>
        <w:rPr>
          <w:rFonts w:hint="eastAsia" w:ascii="宋体" w:hAnsi="宋体" w:eastAsia="宋体" w:cs="宋体"/>
          <w:b/>
          <w:bCs w:val="0"/>
          <w:color w:val="auto"/>
          <w:sz w:val="28"/>
          <w:szCs w:val="28"/>
          <w:highlight w:val="none"/>
          <w:u w:val="single"/>
          <w:lang w:val="en-US"/>
        </w:rPr>
      </w:pPr>
      <w:bookmarkStart w:id="9" w:name="_Toc28344"/>
      <w:r>
        <w:rPr>
          <w:rFonts w:hint="eastAsia" w:ascii="宋体" w:hAnsi="宋体" w:eastAsia="宋体" w:cs="宋体"/>
          <w:bCs/>
          <w:color w:val="auto"/>
          <w:kern w:val="2"/>
          <w:sz w:val="28"/>
          <w:szCs w:val="28"/>
          <w:highlight w:val="none"/>
          <w:lang w:val="en-US" w:eastAsia="zh-CN" w:bidi="ar"/>
        </w:rPr>
        <w:t>乙方：</w:t>
      </w:r>
      <w:bookmarkEnd w:id="9"/>
      <w:r>
        <w:rPr>
          <w:rFonts w:hint="eastAsia" w:ascii="宋体" w:hAnsi="宋体" w:eastAsia="宋体" w:cs="宋体"/>
          <w:bCs/>
          <w:color w:val="auto"/>
          <w:kern w:val="2"/>
          <w:sz w:val="28"/>
          <w:szCs w:val="28"/>
          <w:highlight w:val="none"/>
          <w:u w:val="single"/>
          <w:lang w:val="en-US" w:eastAsia="zh-CN" w:bidi="ar"/>
        </w:rPr>
        <w:t xml:space="preserve">     </w:t>
      </w:r>
      <w:r>
        <w:rPr>
          <w:rFonts w:hint="eastAsia" w:ascii="宋体" w:hAnsi="宋体" w:eastAsia="宋体" w:cs="宋体"/>
          <w:b/>
          <w:bCs w:val="0"/>
          <w:color w:val="auto"/>
          <w:kern w:val="0"/>
          <w:sz w:val="28"/>
          <w:szCs w:val="28"/>
          <w:highlight w:val="none"/>
          <w:u w:val="single"/>
          <w:lang w:val="en-US" w:eastAsia="zh-CN" w:bidi="ar"/>
        </w:rPr>
        <w:t xml:space="preserve">  </w:t>
      </w:r>
      <w:r>
        <w:rPr>
          <w:rFonts w:hint="eastAsia" w:ascii="宋体" w:hAnsi="宋体" w:cs="宋体"/>
          <w:b/>
          <w:bCs w:val="0"/>
          <w:color w:val="auto"/>
          <w:kern w:val="0"/>
          <w:sz w:val="28"/>
          <w:szCs w:val="28"/>
          <w:highlight w:val="none"/>
          <w:u w:val="single"/>
          <w:lang w:val="en-US" w:eastAsia="zh-CN" w:bidi="ar"/>
        </w:rPr>
        <w:t xml:space="preserve">     </w:t>
      </w:r>
      <w:r>
        <w:rPr>
          <w:rFonts w:hint="eastAsia" w:ascii="宋体" w:hAnsi="宋体" w:eastAsia="宋体" w:cs="宋体"/>
          <w:b/>
          <w:bCs w:val="0"/>
          <w:color w:val="auto"/>
          <w:kern w:val="0"/>
          <w:sz w:val="28"/>
          <w:szCs w:val="28"/>
          <w:highlight w:val="none"/>
          <w:u w:val="single"/>
          <w:lang w:val="en-US" w:eastAsia="zh-CN" w:bidi="ar"/>
        </w:rPr>
        <w:t xml:space="preserve">  </w:t>
      </w:r>
      <w:r>
        <w:rPr>
          <w:rFonts w:hint="eastAsia" w:ascii="宋体" w:hAnsi="宋体" w:cs="宋体"/>
          <w:b/>
          <w:bCs w:val="0"/>
          <w:color w:val="auto"/>
          <w:kern w:val="0"/>
          <w:sz w:val="28"/>
          <w:szCs w:val="28"/>
          <w:highlight w:val="none"/>
          <w:u w:val="single"/>
          <w:lang w:val="en-US" w:eastAsia="zh-CN" w:bidi="ar"/>
        </w:rPr>
        <w:t xml:space="preserve">    </w:t>
      </w:r>
      <w:r>
        <w:rPr>
          <w:rFonts w:hint="eastAsia" w:ascii="宋体" w:hAnsi="宋体" w:eastAsia="宋体" w:cs="宋体"/>
          <w:b/>
          <w:bCs w:val="0"/>
          <w:color w:val="auto"/>
          <w:kern w:val="0"/>
          <w:sz w:val="28"/>
          <w:szCs w:val="28"/>
          <w:highlight w:val="none"/>
          <w:u w:val="single"/>
          <w:lang w:val="en-US" w:eastAsia="zh-CN" w:bidi="ar"/>
        </w:rPr>
        <w:t xml:space="preserve">      </w:t>
      </w:r>
    </w:p>
    <w:p w14:paraId="662E3864">
      <w:pPr>
        <w:keepNext w:val="0"/>
        <w:keepLines w:val="0"/>
        <w:pageBreakBefore w:val="0"/>
        <w:widowControl w:val="0"/>
        <w:suppressLineNumbers w:val="0"/>
        <w:kinsoku/>
        <w:wordWrap/>
        <w:overflowPunct/>
        <w:topLinePunct w:val="0"/>
        <w:autoSpaceDE/>
        <w:autoSpaceDN/>
        <w:bidi w:val="0"/>
        <w:adjustRightInd/>
        <w:spacing w:before="0" w:beforeLines="0" w:beforeAutospacing="0" w:after="0" w:afterLines="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为了保护供需各方的合法权益，甲乙双方依照《中华人民共和国</w:t>
      </w:r>
      <w:r>
        <w:rPr>
          <w:rFonts w:hint="eastAsia"/>
          <w:color w:val="auto"/>
          <w:spacing w:val="-3"/>
          <w:sz w:val="24"/>
          <w:highlight w:val="none"/>
          <w:lang w:val="en-US" w:eastAsia="zh-CN"/>
        </w:rPr>
        <w:t>民法典</w:t>
      </w:r>
      <w:r>
        <w:rPr>
          <w:rFonts w:hint="eastAsia" w:ascii="宋体" w:hAnsi="宋体" w:eastAsia="宋体" w:cs="宋体"/>
          <w:color w:val="auto"/>
          <w:kern w:val="2"/>
          <w:sz w:val="24"/>
          <w:szCs w:val="24"/>
          <w:highlight w:val="none"/>
          <w:lang w:val="en-US" w:eastAsia="zh-CN" w:bidi="ar"/>
        </w:rPr>
        <w:t>》有关条款，就</w:t>
      </w:r>
      <w:r>
        <w:rPr>
          <w:rFonts w:hint="eastAsia" w:ascii="宋体" w:hAnsi="宋体" w:cs="宋体"/>
          <w:color w:val="auto"/>
          <w:kern w:val="2"/>
          <w:sz w:val="24"/>
          <w:szCs w:val="24"/>
          <w:highlight w:val="none"/>
          <w:lang w:val="en-US" w:eastAsia="zh-CN" w:bidi="ar"/>
        </w:rPr>
        <w:t>海口市琼山区振群幼儿园2025年秋季设施设备采购项目</w:t>
      </w:r>
      <w:r>
        <w:rPr>
          <w:rFonts w:hint="eastAsia" w:ascii="宋体" w:hAnsi="宋体" w:eastAsia="宋体" w:cs="宋体"/>
          <w:color w:val="auto"/>
          <w:kern w:val="2"/>
          <w:sz w:val="24"/>
          <w:szCs w:val="24"/>
          <w:highlight w:val="none"/>
          <w:lang w:val="en-US" w:eastAsia="zh-CN" w:bidi="ar"/>
        </w:rPr>
        <w:t>（项目编号：</w:t>
      </w:r>
      <w:r>
        <w:rPr>
          <w:rFonts w:hint="eastAsia" w:ascii="宋体" w:hAnsi="宋体" w:cs="宋体"/>
          <w:color w:val="auto"/>
          <w:kern w:val="2"/>
          <w:sz w:val="24"/>
          <w:szCs w:val="24"/>
          <w:highlight w:val="none"/>
          <w:lang w:val="en-US" w:eastAsia="zh-CN" w:bidi="ar"/>
        </w:rPr>
        <w:t>HNZY2025-100</w:t>
      </w:r>
      <w:r>
        <w:rPr>
          <w:rFonts w:hint="eastAsia" w:ascii="宋体" w:hAnsi="宋体" w:eastAsia="宋体" w:cs="宋体"/>
          <w:color w:val="auto"/>
          <w:kern w:val="2"/>
          <w:sz w:val="24"/>
          <w:szCs w:val="24"/>
          <w:highlight w:val="none"/>
          <w:lang w:val="en-US" w:eastAsia="zh-CN" w:bidi="ar"/>
        </w:rPr>
        <w:t>）中乙方向甲方提供的供货及相关服务，经甲乙双方协商一致，签订本合同，共同遵守执行。</w:t>
      </w:r>
    </w:p>
    <w:p w14:paraId="1553A32A">
      <w:pPr>
        <w:keepNext w:val="0"/>
        <w:keepLines w:val="0"/>
        <w:pageBreakBefore w:val="0"/>
        <w:widowControl w:val="0"/>
        <w:suppressLineNumbers w:val="0"/>
        <w:kinsoku/>
        <w:wordWrap/>
        <w:overflowPunct/>
        <w:topLinePunct w:val="0"/>
        <w:autoSpaceDE/>
        <w:autoSpaceDN/>
        <w:bidi w:val="0"/>
        <w:adjustRightInd/>
        <w:spacing w:before="0" w:beforeLines="0" w:beforeAutospacing="0" w:after="0" w:afterLines="0" w:afterAutospacing="0" w:line="360" w:lineRule="auto"/>
        <w:ind w:left="0" w:right="0" w:firstLine="482" w:firstLineChars="200"/>
        <w:jc w:val="both"/>
        <w:textAlignment w:val="auto"/>
        <w:outlineLvl w:val="1"/>
        <w:rPr>
          <w:rFonts w:hint="eastAsia" w:ascii="宋体" w:hAnsi="宋体" w:eastAsia="宋体" w:cs="宋体"/>
          <w:color w:val="auto"/>
          <w:sz w:val="24"/>
          <w:szCs w:val="24"/>
          <w:highlight w:val="none"/>
          <w:lang w:val="en-US"/>
        </w:rPr>
      </w:pPr>
      <w:bookmarkStart w:id="10" w:name="_Toc15524"/>
      <w:r>
        <w:rPr>
          <w:rFonts w:hint="eastAsia" w:ascii="宋体" w:hAnsi="宋体" w:eastAsia="宋体" w:cs="宋体"/>
          <w:b/>
          <w:color w:val="auto"/>
          <w:kern w:val="2"/>
          <w:sz w:val="24"/>
          <w:szCs w:val="24"/>
          <w:highlight w:val="none"/>
          <w:lang w:val="en-US" w:eastAsia="zh-CN" w:bidi="ar"/>
        </w:rPr>
        <w:t>一、合同文件 下列文件构成本合同的组成部分，与本合同具有同等法律效力，文件包括但不限于：</w:t>
      </w:r>
      <w:bookmarkEnd w:id="10"/>
    </w:p>
    <w:p w14:paraId="25C3CF8B">
      <w:pPr>
        <w:keepNext w:val="0"/>
        <w:keepLines w:val="0"/>
        <w:pageBreakBefore w:val="0"/>
        <w:widowControl w:val="0"/>
        <w:suppressLineNumbers w:val="0"/>
        <w:kinsoku/>
        <w:wordWrap/>
        <w:overflowPunct/>
        <w:topLinePunct w:val="0"/>
        <w:autoSpaceDE/>
        <w:autoSpaceDN/>
        <w:bidi w:val="0"/>
        <w:adjustRightInd/>
        <w:spacing w:before="0" w:beforeLines="0" w:beforeAutospacing="0" w:after="0" w:afterLines="0" w:afterAutospacing="0" w:line="360" w:lineRule="auto"/>
        <w:ind w:left="0" w:right="0" w:firstLine="480" w:firstLineChars="200"/>
        <w:jc w:val="both"/>
        <w:textAlignment w:val="auto"/>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1.磋商文件</w:t>
      </w:r>
    </w:p>
    <w:p w14:paraId="1C6B7BCF">
      <w:pPr>
        <w:keepNext w:val="0"/>
        <w:keepLines w:val="0"/>
        <w:pageBreakBefore w:val="0"/>
        <w:widowControl w:val="0"/>
        <w:suppressLineNumbers w:val="0"/>
        <w:kinsoku/>
        <w:wordWrap/>
        <w:overflowPunct/>
        <w:topLinePunct w:val="0"/>
        <w:autoSpaceDE/>
        <w:autoSpaceDN/>
        <w:bidi w:val="0"/>
        <w:adjustRightInd/>
        <w:spacing w:before="0" w:beforeLines="0" w:beforeAutospacing="0" w:after="0" w:afterLines="0" w:afterAutospacing="0" w:line="360" w:lineRule="auto"/>
        <w:ind w:left="0" w:right="0" w:firstLine="480" w:firstLineChars="200"/>
        <w:jc w:val="both"/>
        <w:textAlignment w:val="auto"/>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2.响应文件</w:t>
      </w:r>
    </w:p>
    <w:p w14:paraId="71CD6E69">
      <w:pPr>
        <w:keepNext w:val="0"/>
        <w:keepLines w:val="0"/>
        <w:pageBreakBefore w:val="0"/>
        <w:widowControl w:val="0"/>
        <w:suppressLineNumbers w:val="0"/>
        <w:kinsoku/>
        <w:wordWrap/>
        <w:overflowPunct/>
        <w:topLinePunct w:val="0"/>
        <w:autoSpaceDE/>
        <w:autoSpaceDN/>
        <w:bidi w:val="0"/>
        <w:adjustRightInd/>
        <w:spacing w:before="0" w:beforeLines="0" w:beforeAutospacing="0" w:after="0" w:afterLines="0" w:afterAutospacing="0" w:line="360" w:lineRule="auto"/>
        <w:ind w:left="0" w:right="0" w:firstLine="480" w:firstLineChars="200"/>
        <w:jc w:val="both"/>
        <w:textAlignment w:val="auto"/>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3.乙方在投标时的书面承诺</w:t>
      </w:r>
    </w:p>
    <w:p w14:paraId="2FE4B128">
      <w:pPr>
        <w:keepNext w:val="0"/>
        <w:keepLines w:val="0"/>
        <w:pageBreakBefore w:val="0"/>
        <w:widowControl w:val="0"/>
        <w:suppressLineNumbers w:val="0"/>
        <w:kinsoku/>
        <w:wordWrap/>
        <w:overflowPunct/>
        <w:topLinePunct w:val="0"/>
        <w:autoSpaceDE/>
        <w:autoSpaceDN/>
        <w:bidi w:val="0"/>
        <w:adjustRightInd/>
        <w:spacing w:before="0" w:beforeLines="0" w:beforeAutospacing="0" w:after="0" w:afterLines="0" w:afterAutospacing="0" w:line="360" w:lineRule="auto"/>
        <w:ind w:left="0" w:right="0" w:firstLine="480" w:firstLineChars="200"/>
        <w:jc w:val="both"/>
        <w:textAlignment w:val="auto"/>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4.成交通知书</w:t>
      </w:r>
    </w:p>
    <w:p w14:paraId="035D0247">
      <w:pPr>
        <w:keepNext w:val="0"/>
        <w:keepLines w:val="0"/>
        <w:pageBreakBefore w:val="0"/>
        <w:widowControl w:val="0"/>
        <w:suppressLineNumbers w:val="0"/>
        <w:kinsoku/>
        <w:wordWrap/>
        <w:overflowPunct/>
        <w:topLinePunct w:val="0"/>
        <w:autoSpaceDE/>
        <w:autoSpaceDN/>
        <w:bidi w:val="0"/>
        <w:adjustRightInd/>
        <w:spacing w:before="0" w:beforeLines="0" w:beforeAutospacing="0" w:after="0" w:afterLines="0" w:afterAutospacing="0" w:line="360" w:lineRule="auto"/>
        <w:ind w:left="0" w:right="0" w:firstLine="480" w:firstLineChars="200"/>
        <w:jc w:val="both"/>
        <w:textAlignment w:val="auto"/>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5.合同补充条款或说明</w:t>
      </w:r>
    </w:p>
    <w:p w14:paraId="2EB41AA8">
      <w:pPr>
        <w:keepNext w:val="0"/>
        <w:keepLines w:val="0"/>
        <w:pageBreakBefore w:val="0"/>
        <w:widowControl w:val="0"/>
        <w:suppressLineNumbers w:val="0"/>
        <w:kinsoku/>
        <w:wordWrap/>
        <w:overflowPunct/>
        <w:topLinePunct w:val="0"/>
        <w:autoSpaceDE/>
        <w:autoSpaceDN/>
        <w:bidi w:val="0"/>
        <w:adjustRightInd/>
        <w:spacing w:before="0" w:beforeLines="0" w:beforeAutospacing="0" w:after="0" w:afterLines="0" w:afterAutospacing="0" w:line="360" w:lineRule="auto"/>
        <w:ind w:left="0" w:right="0" w:firstLine="480" w:firstLineChars="200"/>
        <w:jc w:val="both"/>
        <w:textAlignment w:val="auto"/>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6.附件：技术规格参数及配置表</w:t>
      </w:r>
    </w:p>
    <w:p w14:paraId="7FF799ED">
      <w:pPr>
        <w:keepNext w:val="0"/>
        <w:keepLines w:val="0"/>
        <w:pageBreakBefore w:val="0"/>
        <w:widowControl w:val="0"/>
        <w:suppressLineNumbers w:val="0"/>
        <w:kinsoku/>
        <w:wordWrap/>
        <w:overflowPunct/>
        <w:topLinePunct w:val="0"/>
        <w:autoSpaceDE/>
        <w:autoSpaceDN/>
        <w:bidi w:val="0"/>
        <w:adjustRightInd/>
        <w:spacing w:before="0" w:beforeLines="0" w:beforeAutospacing="0" w:after="0" w:afterLines="0" w:afterAutospacing="0" w:line="360" w:lineRule="auto"/>
        <w:ind w:left="0" w:right="0" w:firstLine="480" w:firstLineChars="200"/>
        <w:jc w:val="both"/>
        <w:textAlignment w:val="auto"/>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7.产品合格证书或检验报告</w:t>
      </w:r>
    </w:p>
    <w:p w14:paraId="63C0EFEA">
      <w:pPr>
        <w:keepNext w:val="0"/>
        <w:keepLines w:val="0"/>
        <w:pageBreakBefore w:val="0"/>
        <w:widowControl w:val="0"/>
        <w:suppressLineNumbers w:val="0"/>
        <w:kinsoku/>
        <w:wordWrap/>
        <w:overflowPunct/>
        <w:topLinePunct w:val="0"/>
        <w:autoSpaceDE/>
        <w:autoSpaceDN/>
        <w:bidi w:val="0"/>
        <w:adjustRightInd/>
        <w:spacing w:before="0" w:beforeLines="0" w:beforeAutospacing="0" w:after="0" w:afterLines="0" w:afterAutospacing="0" w:line="360" w:lineRule="auto"/>
        <w:ind w:left="0" w:right="0" w:firstLine="480" w:firstLineChars="200"/>
        <w:jc w:val="both"/>
        <w:textAlignment w:val="auto"/>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8.产品的使用、维护保养视频</w:t>
      </w:r>
    </w:p>
    <w:p w14:paraId="04BEBD50">
      <w:pPr>
        <w:keepNext w:val="0"/>
        <w:keepLines w:val="0"/>
        <w:pageBreakBefore w:val="0"/>
        <w:widowControl w:val="0"/>
        <w:kinsoku/>
        <w:wordWrap/>
        <w:overflowPunct/>
        <w:topLinePunct w:val="0"/>
        <w:autoSpaceDE/>
        <w:autoSpaceDN/>
        <w:bidi w:val="0"/>
        <w:adjustRightInd/>
        <w:snapToGrid w:val="0"/>
        <w:spacing w:before="0" w:beforeLines="0" w:after="0" w:afterLines="0" w:line="360" w:lineRule="auto"/>
        <w:ind w:firstLine="482" w:firstLineChars="200"/>
        <w:textAlignment w:val="auto"/>
        <w:outlineLvl w:val="1"/>
        <w:rPr>
          <w:rFonts w:hint="eastAsia" w:ascii="宋体" w:hAnsi="宋体" w:eastAsia="宋体" w:cs="宋体"/>
          <w:b/>
          <w:bCs w:val="0"/>
          <w:color w:val="auto"/>
          <w:kern w:val="2"/>
          <w:sz w:val="24"/>
          <w:szCs w:val="24"/>
          <w:highlight w:val="none"/>
          <w:lang w:val="en-US" w:eastAsia="zh-CN" w:bidi="ar"/>
        </w:rPr>
      </w:pPr>
      <w:bookmarkStart w:id="11" w:name="_Toc6920"/>
      <w:r>
        <w:rPr>
          <w:rFonts w:hint="eastAsia" w:ascii="宋体" w:hAnsi="宋体" w:eastAsia="宋体" w:cs="宋体"/>
          <w:b/>
          <w:bCs w:val="0"/>
          <w:color w:val="auto"/>
          <w:kern w:val="2"/>
          <w:sz w:val="24"/>
          <w:szCs w:val="24"/>
          <w:highlight w:val="none"/>
          <w:lang w:val="en-US" w:eastAsia="zh-CN" w:bidi="ar"/>
        </w:rPr>
        <w:t>二、合同标的及金额等（详见附件清单）</w:t>
      </w:r>
      <w:bookmarkEnd w:id="11"/>
    </w:p>
    <w:p w14:paraId="50378FC2">
      <w:pPr>
        <w:pStyle w:val="34"/>
        <w:keepNext w:val="0"/>
        <w:keepLines w:val="0"/>
        <w:pageBreakBefore w:val="0"/>
        <w:widowControl/>
        <w:kinsoku/>
        <w:wordWrap/>
        <w:overflowPunct/>
        <w:topLinePunct w:val="0"/>
        <w:autoSpaceDE/>
        <w:autoSpaceDN/>
        <w:bidi w:val="0"/>
        <w:adjustRightInd/>
        <w:spacing w:beforeLines="0" w:afterLines="0" w:line="360" w:lineRule="auto"/>
        <w:ind w:firstLine="480" w:firstLineChars="200"/>
        <w:textAlignment w:val="auto"/>
        <w:rPr>
          <w:color w:val="auto"/>
          <w:highlight w:val="none"/>
          <w:lang w:val="en-US" w:eastAsia="zh-CN"/>
        </w:rPr>
      </w:pPr>
      <w:r>
        <w:rPr>
          <w:color w:val="auto"/>
          <w:highlight w:val="none"/>
          <w:lang w:val="en-US" w:eastAsia="zh-CN"/>
        </w:rPr>
        <w:t>1</w:t>
      </w:r>
      <w:r>
        <w:rPr>
          <w:color w:val="auto"/>
          <w:highlight w:val="none"/>
          <w:lang w:eastAsia="zh-CN"/>
        </w:rPr>
        <w:t>．本合同标的为包括货物供应、安装、调试、培训、验收、技术服务，保质期保障等全部内容。</w:t>
      </w:r>
    </w:p>
    <w:p w14:paraId="71B56491">
      <w:pPr>
        <w:pStyle w:val="34"/>
        <w:keepNext w:val="0"/>
        <w:keepLines w:val="0"/>
        <w:pageBreakBefore w:val="0"/>
        <w:widowControl/>
        <w:kinsoku/>
        <w:wordWrap/>
        <w:overflowPunct/>
        <w:topLinePunct w:val="0"/>
        <w:autoSpaceDE/>
        <w:autoSpaceDN/>
        <w:bidi w:val="0"/>
        <w:adjustRightInd/>
        <w:spacing w:beforeLines="0" w:afterLines="0" w:line="360" w:lineRule="auto"/>
        <w:ind w:firstLine="480" w:firstLineChars="200"/>
        <w:textAlignment w:val="auto"/>
        <w:rPr>
          <w:color w:val="auto"/>
          <w:highlight w:val="none"/>
          <w:lang w:eastAsia="zh-CN"/>
        </w:rPr>
      </w:pPr>
      <w:r>
        <w:rPr>
          <w:color w:val="auto"/>
          <w:highlight w:val="none"/>
          <w:lang w:val="en-US"/>
        </w:rPr>
        <w:t>2</w:t>
      </w:r>
      <w:r>
        <w:rPr>
          <w:color w:val="auto"/>
          <w:highlight w:val="none"/>
          <w:lang w:eastAsia="zh-CN"/>
        </w:rPr>
        <w:t>．供货货物名称、型号、规格、数量及价格：</w:t>
      </w:r>
    </w:p>
    <w:p w14:paraId="75AFC637">
      <w:pPr>
        <w:pStyle w:val="34"/>
        <w:keepNext w:val="0"/>
        <w:keepLines w:val="0"/>
        <w:pageBreakBefore w:val="0"/>
        <w:widowControl/>
        <w:kinsoku/>
        <w:wordWrap/>
        <w:overflowPunct/>
        <w:topLinePunct w:val="0"/>
        <w:autoSpaceDE/>
        <w:autoSpaceDN/>
        <w:bidi w:val="0"/>
        <w:adjustRightInd/>
        <w:spacing w:beforeLines="0" w:afterLines="0" w:line="360" w:lineRule="auto"/>
        <w:ind w:firstLine="480" w:firstLineChars="200"/>
        <w:textAlignment w:val="auto"/>
        <w:rPr>
          <w:color w:val="auto"/>
          <w:highlight w:val="none"/>
          <w:lang w:eastAsia="zh-CN"/>
        </w:rPr>
      </w:pPr>
    </w:p>
    <w:p w14:paraId="2E22ABF5">
      <w:pPr>
        <w:pStyle w:val="34"/>
        <w:keepNext w:val="0"/>
        <w:keepLines w:val="0"/>
        <w:pageBreakBefore w:val="0"/>
        <w:widowControl/>
        <w:kinsoku/>
        <w:wordWrap/>
        <w:overflowPunct/>
        <w:topLinePunct w:val="0"/>
        <w:autoSpaceDE/>
        <w:autoSpaceDN/>
        <w:bidi w:val="0"/>
        <w:adjustRightInd/>
        <w:spacing w:beforeLines="0" w:afterLines="0" w:line="360" w:lineRule="auto"/>
        <w:ind w:firstLine="480" w:firstLineChars="200"/>
        <w:textAlignment w:val="auto"/>
        <w:rPr>
          <w:color w:val="auto"/>
          <w:highlight w:val="none"/>
          <w:lang w:eastAsia="zh-CN"/>
        </w:rPr>
      </w:pPr>
    </w:p>
    <w:tbl>
      <w:tblPr>
        <w:tblStyle w:val="23"/>
        <w:tblW w:w="9750" w:type="dxa"/>
        <w:jc w:val="center"/>
        <w:tblLayout w:type="fixed"/>
        <w:tblCellMar>
          <w:top w:w="0" w:type="dxa"/>
          <w:left w:w="30" w:type="dxa"/>
          <w:bottom w:w="0" w:type="dxa"/>
          <w:right w:w="30" w:type="dxa"/>
        </w:tblCellMar>
      </w:tblPr>
      <w:tblGrid>
        <w:gridCol w:w="611"/>
        <w:gridCol w:w="1453"/>
        <w:gridCol w:w="1859"/>
        <w:gridCol w:w="2117"/>
        <w:gridCol w:w="543"/>
        <w:gridCol w:w="554"/>
        <w:gridCol w:w="934"/>
        <w:gridCol w:w="915"/>
        <w:gridCol w:w="764"/>
      </w:tblGrid>
      <w:tr w14:paraId="79B95027">
        <w:tblPrEx>
          <w:tblCellMar>
            <w:top w:w="0" w:type="dxa"/>
            <w:left w:w="30" w:type="dxa"/>
            <w:bottom w:w="0" w:type="dxa"/>
            <w:right w:w="30" w:type="dxa"/>
          </w:tblCellMar>
        </w:tblPrEx>
        <w:trPr>
          <w:trHeight w:val="976" w:hRule="atLeast"/>
          <w:jc w:val="center"/>
        </w:trPr>
        <w:tc>
          <w:tcPr>
            <w:tcW w:w="611" w:type="dxa"/>
            <w:tcBorders>
              <w:top w:val="single" w:color="auto" w:sz="8" w:space="0"/>
              <w:left w:val="single" w:color="auto" w:sz="8" w:space="0"/>
              <w:bottom w:val="single" w:color="auto" w:sz="8" w:space="0"/>
              <w:right w:val="single" w:color="auto" w:sz="8" w:space="0"/>
            </w:tcBorders>
            <w:shd w:val="clear" w:color="auto" w:fill="D9D9D9"/>
            <w:noWrap/>
            <w:vAlign w:val="center"/>
          </w:tcPr>
          <w:p w14:paraId="323E1CD0">
            <w:pPr>
              <w:keepNext w:val="0"/>
              <w:keepLines w:val="0"/>
              <w:widowControl w:val="0"/>
              <w:suppressLineNumbers w:val="0"/>
              <w:autoSpaceDE w:val="0"/>
              <w:autoSpaceDN w:val="0"/>
              <w:adjustRightInd w:val="0"/>
              <w:spacing w:before="72" w:beforeLines="30" w:beforeAutospacing="0" w:after="72" w:afterLines="30" w:afterAutospacing="0" w:line="360" w:lineRule="auto"/>
              <w:ind w:left="0" w:right="0"/>
              <w:jc w:val="center"/>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2"/>
                <w:sz w:val="24"/>
                <w:szCs w:val="24"/>
                <w:highlight w:val="none"/>
                <w:lang w:val="en-US" w:eastAsia="zh-CN" w:bidi="ar"/>
              </w:rPr>
              <w:t>序号</w:t>
            </w:r>
          </w:p>
        </w:tc>
        <w:tc>
          <w:tcPr>
            <w:tcW w:w="1453" w:type="dxa"/>
            <w:tcBorders>
              <w:top w:val="single" w:color="auto" w:sz="8" w:space="0"/>
              <w:left w:val="single" w:color="auto" w:sz="8" w:space="0"/>
              <w:bottom w:val="single" w:color="auto" w:sz="8" w:space="0"/>
              <w:right w:val="single" w:color="auto" w:sz="8" w:space="0"/>
            </w:tcBorders>
            <w:shd w:val="clear" w:color="auto" w:fill="D9D9D9"/>
            <w:noWrap/>
            <w:vAlign w:val="center"/>
          </w:tcPr>
          <w:p w14:paraId="563DE2BD">
            <w:pPr>
              <w:keepNext w:val="0"/>
              <w:keepLines w:val="0"/>
              <w:widowControl w:val="0"/>
              <w:suppressLineNumbers w:val="0"/>
              <w:autoSpaceDE w:val="0"/>
              <w:autoSpaceDN w:val="0"/>
              <w:adjustRightInd w:val="0"/>
              <w:spacing w:before="72" w:beforeLines="30" w:beforeAutospacing="0" w:after="72" w:afterLines="30" w:afterAutospacing="0" w:line="360" w:lineRule="auto"/>
              <w:ind w:left="0" w:right="0"/>
              <w:jc w:val="center"/>
              <w:rPr>
                <w:rFonts w:hint="eastAsia" w:ascii="宋体" w:hAnsi="宋体" w:eastAsia="宋体" w:cs="宋体"/>
                <w:b/>
                <w:bCs w:val="0"/>
                <w:color w:val="auto"/>
                <w:sz w:val="24"/>
                <w:szCs w:val="24"/>
                <w:highlight w:val="none"/>
                <w:lang w:val="en-US"/>
              </w:rPr>
            </w:pPr>
            <w:r>
              <w:rPr>
                <w:rFonts w:hint="eastAsia" w:ascii="宋体" w:hAnsi="宋体" w:cs="宋体"/>
                <w:b/>
                <w:bCs w:val="0"/>
                <w:color w:val="auto"/>
                <w:kern w:val="2"/>
                <w:sz w:val="24"/>
                <w:szCs w:val="24"/>
                <w:highlight w:val="none"/>
                <w:lang w:val="en-US" w:eastAsia="zh-CN" w:bidi="ar"/>
              </w:rPr>
              <w:t>品目</w:t>
            </w:r>
            <w:r>
              <w:rPr>
                <w:rFonts w:hint="eastAsia" w:ascii="宋体" w:hAnsi="宋体" w:eastAsia="宋体" w:cs="宋体"/>
                <w:b/>
                <w:bCs w:val="0"/>
                <w:color w:val="auto"/>
                <w:kern w:val="2"/>
                <w:sz w:val="24"/>
                <w:szCs w:val="24"/>
                <w:highlight w:val="none"/>
                <w:lang w:val="en-US" w:eastAsia="zh-CN" w:bidi="ar"/>
              </w:rPr>
              <w:t>名称</w:t>
            </w:r>
          </w:p>
        </w:tc>
        <w:tc>
          <w:tcPr>
            <w:tcW w:w="1859" w:type="dxa"/>
            <w:tcBorders>
              <w:top w:val="single" w:color="auto" w:sz="8" w:space="0"/>
              <w:left w:val="single" w:color="auto" w:sz="8" w:space="0"/>
              <w:bottom w:val="single" w:color="auto" w:sz="8" w:space="0"/>
              <w:right w:val="single" w:color="auto" w:sz="8" w:space="0"/>
            </w:tcBorders>
            <w:shd w:val="clear" w:color="auto" w:fill="D9D9D9"/>
            <w:noWrap/>
            <w:vAlign w:val="center"/>
          </w:tcPr>
          <w:p w14:paraId="66DC3A90">
            <w:pPr>
              <w:keepNext w:val="0"/>
              <w:keepLines w:val="0"/>
              <w:widowControl w:val="0"/>
              <w:suppressLineNumbers w:val="0"/>
              <w:autoSpaceDE w:val="0"/>
              <w:autoSpaceDN w:val="0"/>
              <w:adjustRightInd w:val="0"/>
              <w:spacing w:before="72" w:beforeLines="30" w:beforeAutospacing="0" w:after="72" w:afterLines="30" w:afterAutospacing="0" w:line="360" w:lineRule="auto"/>
              <w:ind w:left="0" w:right="0"/>
              <w:jc w:val="center"/>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2"/>
                <w:sz w:val="24"/>
                <w:szCs w:val="24"/>
                <w:highlight w:val="none"/>
                <w:lang w:val="en-US" w:eastAsia="zh-CN" w:bidi="ar"/>
              </w:rPr>
              <w:t>原产地/制造商</w:t>
            </w:r>
          </w:p>
        </w:tc>
        <w:tc>
          <w:tcPr>
            <w:tcW w:w="2117" w:type="dxa"/>
            <w:tcBorders>
              <w:top w:val="single" w:color="auto" w:sz="8" w:space="0"/>
              <w:left w:val="single" w:color="auto" w:sz="8" w:space="0"/>
              <w:bottom w:val="single" w:color="auto" w:sz="8" w:space="0"/>
              <w:right w:val="single" w:color="auto" w:sz="4" w:space="0"/>
            </w:tcBorders>
            <w:shd w:val="clear" w:color="auto" w:fill="D9D9D9"/>
            <w:noWrap/>
            <w:vAlign w:val="center"/>
          </w:tcPr>
          <w:p w14:paraId="178CE636">
            <w:pPr>
              <w:keepNext w:val="0"/>
              <w:keepLines w:val="0"/>
              <w:widowControl w:val="0"/>
              <w:suppressLineNumbers w:val="0"/>
              <w:autoSpaceDE w:val="0"/>
              <w:autoSpaceDN w:val="0"/>
              <w:adjustRightInd w:val="0"/>
              <w:spacing w:before="72" w:beforeLines="30" w:beforeAutospacing="0" w:after="72" w:afterLines="30" w:afterAutospacing="0" w:line="360" w:lineRule="auto"/>
              <w:ind w:left="0" w:right="0"/>
              <w:jc w:val="center"/>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2"/>
                <w:sz w:val="24"/>
                <w:szCs w:val="24"/>
                <w:highlight w:val="none"/>
                <w:lang w:val="en-US" w:eastAsia="zh-CN" w:bidi="ar"/>
              </w:rPr>
              <w:t>品牌型号、规格配置</w:t>
            </w:r>
          </w:p>
        </w:tc>
        <w:tc>
          <w:tcPr>
            <w:tcW w:w="543" w:type="dxa"/>
            <w:tcBorders>
              <w:top w:val="single" w:color="auto" w:sz="8" w:space="0"/>
              <w:left w:val="single" w:color="auto" w:sz="4" w:space="0"/>
              <w:bottom w:val="single" w:color="auto" w:sz="8" w:space="0"/>
              <w:right w:val="single" w:color="auto" w:sz="4" w:space="0"/>
            </w:tcBorders>
            <w:shd w:val="clear" w:color="auto" w:fill="D9D9D9"/>
            <w:noWrap/>
            <w:vAlign w:val="center"/>
          </w:tcPr>
          <w:p w14:paraId="65DCC4FE">
            <w:pPr>
              <w:keepNext w:val="0"/>
              <w:keepLines w:val="0"/>
              <w:widowControl w:val="0"/>
              <w:suppressLineNumbers w:val="0"/>
              <w:autoSpaceDE w:val="0"/>
              <w:autoSpaceDN w:val="0"/>
              <w:adjustRightInd w:val="0"/>
              <w:spacing w:before="72" w:beforeLines="30" w:beforeAutospacing="0" w:after="72" w:afterLines="30" w:afterAutospacing="0" w:line="360" w:lineRule="auto"/>
              <w:ind w:left="0" w:right="0"/>
              <w:jc w:val="center"/>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2"/>
                <w:sz w:val="24"/>
                <w:szCs w:val="24"/>
                <w:highlight w:val="none"/>
                <w:lang w:val="en-US" w:eastAsia="zh-CN" w:bidi="ar"/>
              </w:rPr>
              <w:t>数量</w:t>
            </w:r>
          </w:p>
        </w:tc>
        <w:tc>
          <w:tcPr>
            <w:tcW w:w="554" w:type="dxa"/>
            <w:tcBorders>
              <w:top w:val="single" w:color="auto" w:sz="8" w:space="0"/>
              <w:left w:val="single" w:color="auto" w:sz="4" w:space="0"/>
              <w:bottom w:val="single" w:color="auto" w:sz="8" w:space="0"/>
              <w:right w:val="single" w:color="auto" w:sz="8" w:space="0"/>
            </w:tcBorders>
            <w:shd w:val="clear" w:color="auto" w:fill="D9D9D9"/>
            <w:noWrap/>
            <w:vAlign w:val="center"/>
          </w:tcPr>
          <w:p w14:paraId="2F538E7F">
            <w:pPr>
              <w:keepNext w:val="0"/>
              <w:keepLines w:val="0"/>
              <w:widowControl w:val="0"/>
              <w:suppressLineNumbers w:val="0"/>
              <w:autoSpaceDE w:val="0"/>
              <w:autoSpaceDN w:val="0"/>
              <w:adjustRightInd w:val="0"/>
              <w:spacing w:before="72" w:beforeLines="30" w:beforeAutospacing="0" w:after="72" w:afterLines="30" w:afterAutospacing="0" w:line="360" w:lineRule="auto"/>
              <w:ind w:left="0" w:right="0"/>
              <w:jc w:val="center"/>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2"/>
                <w:sz w:val="24"/>
                <w:szCs w:val="24"/>
                <w:highlight w:val="none"/>
                <w:lang w:val="en-US" w:eastAsia="zh-CN" w:bidi="ar"/>
              </w:rPr>
              <w:t>单位</w:t>
            </w:r>
          </w:p>
        </w:tc>
        <w:tc>
          <w:tcPr>
            <w:tcW w:w="934" w:type="dxa"/>
            <w:tcBorders>
              <w:top w:val="single" w:color="auto" w:sz="8" w:space="0"/>
              <w:left w:val="single" w:color="auto" w:sz="8" w:space="0"/>
              <w:bottom w:val="single" w:color="auto" w:sz="8" w:space="0"/>
              <w:right w:val="single" w:color="auto" w:sz="8" w:space="0"/>
            </w:tcBorders>
            <w:shd w:val="clear" w:color="auto" w:fill="D9D9D9"/>
            <w:noWrap/>
            <w:vAlign w:val="center"/>
          </w:tcPr>
          <w:p w14:paraId="0482D9DF">
            <w:pPr>
              <w:keepNext w:val="0"/>
              <w:keepLines w:val="0"/>
              <w:widowControl w:val="0"/>
              <w:suppressLineNumbers w:val="0"/>
              <w:autoSpaceDE w:val="0"/>
              <w:autoSpaceDN w:val="0"/>
              <w:adjustRightInd w:val="0"/>
              <w:spacing w:before="72" w:beforeLines="30" w:beforeAutospacing="0" w:after="72" w:afterLines="30" w:afterAutospacing="0" w:line="360" w:lineRule="auto"/>
              <w:ind w:left="0" w:right="0"/>
              <w:jc w:val="center"/>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2"/>
                <w:sz w:val="24"/>
                <w:szCs w:val="24"/>
                <w:highlight w:val="none"/>
                <w:lang w:val="en-US" w:eastAsia="zh-CN" w:bidi="ar"/>
              </w:rPr>
              <w:t>单价</w:t>
            </w:r>
          </w:p>
          <w:p w14:paraId="01913797">
            <w:pPr>
              <w:keepNext w:val="0"/>
              <w:keepLines w:val="0"/>
              <w:widowControl w:val="0"/>
              <w:suppressLineNumbers w:val="0"/>
              <w:autoSpaceDE w:val="0"/>
              <w:autoSpaceDN w:val="0"/>
              <w:adjustRightInd w:val="0"/>
              <w:spacing w:before="72" w:beforeLines="30" w:beforeAutospacing="0" w:after="72" w:afterLines="30" w:afterAutospacing="0" w:line="360" w:lineRule="auto"/>
              <w:ind w:left="0" w:right="0"/>
              <w:jc w:val="center"/>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2"/>
                <w:sz w:val="24"/>
                <w:szCs w:val="24"/>
                <w:highlight w:val="none"/>
                <w:lang w:val="en-US" w:eastAsia="zh-CN" w:bidi="ar"/>
              </w:rPr>
              <w:t>（元）</w:t>
            </w:r>
          </w:p>
        </w:tc>
        <w:tc>
          <w:tcPr>
            <w:tcW w:w="915" w:type="dxa"/>
            <w:tcBorders>
              <w:top w:val="single" w:color="auto" w:sz="8" w:space="0"/>
              <w:left w:val="single" w:color="auto" w:sz="8" w:space="0"/>
              <w:bottom w:val="single" w:color="auto" w:sz="8" w:space="0"/>
              <w:right w:val="single" w:color="auto" w:sz="8" w:space="0"/>
            </w:tcBorders>
            <w:shd w:val="clear" w:color="auto" w:fill="D9D9D9"/>
            <w:noWrap/>
            <w:vAlign w:val="center"/>
          </w:tcPr>
          <w:p w14:paraId="03609393">
            <w:pPr>
              <w:keepNext w:val="0"/>
              <w:keepLines w:val="0"/>
              <w:widowControl w:val="0"/>
              <w:suppressLineNumbers w:val="0"/>
              <w:autoSpaceDE w:val="0"/>
              <w:autoSpaceDN w:val="0"/>
              <w:adjustRightInd w:val="0"/>
              <w:spacing w:before="72" w:beforeLines="30" w:beforeAutospacing="0" w:after="72" w:afterLines="30" w:afterAutospacing="0" w:line="360" w:lineRule="auto"/>
              <w:ind w:left="0" w:right="0"/>
              <w:jc w:val="center"/>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2"/>
                <w:sz w:val="24"/>
                <w:szCs w:val="24"/>
                <w:highlight w:val="none"/>
                <w:lang w:val="en-US" w:eastAsia="zh-CN" w:bidi="ar"/>
              </w:rPr>
              <w:t>合计</w:t>
            </w:r>
          </w:p>
          <w:p w14:paraId="68B64994">
            <w:pPr>
              <w:keepNext w:val="0"/>
              <w:keepLines w:val="0"/>
              <w:widowControl w:val="0"/>
              <w:suppressLineNumbers w:val="0"/>
              <w:autoSpaceDE w:val="0"/>
              <w:autoSpaceDN w:val="0"/>
              <w:adjustRightInd w:val="0"/>
              <w:spacing w:before="72" w:beforeLines="30" w:beforeAutospacing="0" w:after="72" w:afterLines="30" w:afterAutospacing="0" w:line="360" w:lineRule="auto"/>
              <w:ind w:left="0" w:right="0"/>
              <w:jc w:val="center"/>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2"/>
                <w:sz w:val="24"/>
                <w:szCs w:val="24"/>
                <w:highlight w:val="none"/>
                <w:lang w:val="en-US" w:eastAsia="zh-CN" w:bidi="ar"/>
              </w:rPr>
              <w:t>（元）</w:t>
            </w:r>
          </w:p>
        </w:tc>
        <w:tc>
          <w:tcPr>
            <w:tcW w:w="764" w:type="dxa"/>
            <w:tcBorders>
              <w:top w:val="single" w:color="auto" w:sz="8" w:space="0"/>
              <w:left w:val="single" w:color="auto" w:sz="8" w:space="0"/>
              <w:bottom w:val="single" w:color="auto" w:sz="8" w:space="0"/>
              <w:right w:val="single" w:color="auto" w:sz="8" w:space="0"/>
            </w:tcBorders>
            <w:shd w:val="clear" w:color="auto" w:fill="D9D9D9"/>
            <w:noWrap/>
            <w:vAlign w:val="center"/>
          </w:tcPr>
          <w:p w14:paraId="4A344124">
            <w:pPr>
              <w:keepNext w:val="0"/>
              <w:keepLines w:val="0"/>
              <w:widowControl w:val="0"/>
              <w:suppressLineNumbers w:val="0"/>
              <w:autoSpaceDE w:val="0"/>
              <w:autoSpaceDN w:val="0"/>
              <w:adjustRightInd w:val="0"/>
              <w:spacing w:before="72" w:beforeLines="30" w:beforeAutospacing="0" w:after="72" w:afterLines="30" w:afterAutospacing="0" w:line="360" w:lineRule="auto"/>
              <w:ind w:left="0" w:right="0"/>
              <w:jc w:val="center"/>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2"/>
                <w:sz w:val="24"/>
                <w:szCs w:val="24"/>
                <w:highlight w:val="none"/>
                <w:lang w:val="en-US" w:eastAsia="zh-CN" w:bidi="ar"/>
              </w:rPr>
              <w:t>备注</w:t>
            </w:r>
          </w:p>
        </w:tc>
      </w:tr>
      <w:tr w14:paraId="314110EF">
        <w:tblPrEx>
          <w:tblCellMar>
            <w:top w:w="0" w:type="dxa"/>
            <w:left w:w="30" w:type="dxa"/>
            <w:bottom w:w="0" w:type="dxa"/>
            <w:right w:w="30" w:type="dxa"/>
          </w:tblCellMar>
        </w:tblPrEx>
        <w:trPr>
          <w:trHeight w:val="90" w:hRule="atLeast"/>
          <w:jc w:val="center"/>
        </w:trPr>
        <w:tc>
          <w:tcPr>
            <w:tcW w:w="611" w:type="dxa"/>
            <w:tcBorders>
              <w:top w:val="single" w:color="auto" w:sz="8" w:space="0"/>
              <w:left w:val="single" w:color="auto" w:sz="8" w:space="0"/>
              <w:bottom w:val="single" w:color="auto" w:sz="8" w:space="0"/>
              <w:right w:val="single" w:color="auto" w:sz="8" w:space="0"/>
            </w:tcBorders>
            <w:noWrap/>
            <w:vAlign w:val="center"/>
          </w:tcPr>
          <w:p w14:paraId="703EA7D8">
            <w:pPr>
              <w:keepNext w:val="0"/>
              <w:keepLines w:val="0"/>
              <w:widowControl w:val="0"/>
              <w:suppressLineNumbers w:val="0"/>
              <w:autoSpaceDE w:val="0"/>
              <w:autoSpaceDN w:val="0"/>
              <w:adjustRightInd w:val="0"/>
              <w:spacing w:before="72" w:beforeLines="30" w:beforeAutospacing="0" w:after="72" w:afterLines="30" w:afterAutospacing="0" w:line="360" w:lineRule="auto"/>
              <w:ind w:left="0" w:right="0"/>
              <w:jc w:val="center"/>
              <w:rPr>
                <w:rFonts w:hint="eastAsia" w:ascii="宋体" w:hAnsi="宋体" w:eastAsia="宋体" w:cs="宋体"/>
                <w:b/>
                <w:color w:val="auto"/>
                <w:szCs w:val="24"/>
                <w:highlight w:val="none"/>
                <w:lang w:val="en-US"/>
              </w:rPr>
            </w:pPr>
          </w:p>
        </w:tc>
        <w:tc>
          <w:tcPr>
            <w:tcW w:w="1453" w:type="dxa"/>
            <w:tcBorders>
              <w:top w:val="single" w:color="auto" w:sz="8" w:space="0"/>
              <w:left w:val="single" w:color="auto" w:sz="8" w:space="0"/>
              <w:bottom w:val="single" w:color="auto" w:sz="8" w:space="0"/>
              <w:right w:val="single" w:color="auto" w:sz="8" w:space="0"/>
            </w:tcBorders>
            <w:noWrap/>
            <w:vAlign w:val="center"/>
          </w:tcPr>
          <w:p w14:paraId="60EDC107">
            <w:pPr>
              <w:keepNext w:val="0"/>
              <w:keepLines w:val="0"/>
              <w:widowControl w:val="0"/>
              <w:suppressLineNumbers w:val="0"/>
              <w:spacing w:before="72" w:beforeLines="30" w:beforeAutospacing="0" w:after="72" w:afterLines="30" w:afterAutospacing="0" w:line="360" w:lineRule="auto"/>
              <w:ind w:left="0" w:right="0"/>
              <w:jc w:val="center"/>
              <w:rPr>
                <w:rFonts w:hint="eastAsia" w:ascii="宋体" w:hAnsi="宋体" w:eastAsia="宋体" w:cs="宋体"/>
                <w:b/>
                <w:color w:val="auto"/>
                <w:szCs w:val="24"/>
                <w:highlight w:val="none"/>
                <w:lang w:val="en-US"/>
              </w:rPr>
            </w:pPr>
          </w:p>
        </w:tc>
        <w:tc>
          <w:tcPr>
            <w:tcW w:w="1859" w:type="dxa"/>
            <w:tcBorders>
              <w:top w:val="single" w:color="auto" w:sz="8" w:space="0"/>
              <w:left w:val="single" w:color="auto" w:sz="8" w:space="0"/>
              <w:bottom w:val="single" w:color="auto" w:sz="8" w:space="0"/>
              <w:right w:val="single" w:color="auto" w:sz="8" w:space="0"/>
            </w:tcBorders>
            <w:noWrap/>
            <w:vAlign w:val="center"/>
          </w:tcPr>
          <w:p w14:paraId="663A9C51">
            <w:pPr>
              <w:keepNext w:val="0"/>
              <w:keepLines w:val="0"/>
              <w:widowControl/>
              <w:suppressLineNumbers w:val="0"/>
              <w:spacing w:before="72" w:beforeLines="30" w:beforeAutospacing="0" w:after="72" w:afterLines="30" w:afterAutospacing="0" w:line="360" w:lineRule="auto"/>
              <w:ind w:left="0" w:right="0"/>
              <w:jc w:val="center"/>
              <w:rPr>
                <w:rFonts w:hint="eastAsia" w:ascii="宋体" w:hAnsi="宋体" w:eastAsia="宋体" w:cs="宋体"/>
                <w:b/>
                <w:color w:val="auto"/>
                <w:szCs w:val="24"/>
                <w:highlight w:val="none"/>
                <w:lang w:val="en-US"/>
              </w:rPr>
            </w:pPr>
          </w:p>
        </w:tc>
        <w:tc>
          <w:tcPr>
            <w:tcW w:w="2117" w:type="dxa"/>
            <w:tcBorders>
              <w:top w:val="single" w:color="auto" w:sz="8" w:space="0"/>
              <w:left w:val="single" w:color="auto" w:sz="8" w:space="0"/>
              <w:bottom w:val="single" w:color="auto" w:sz="8" w:space="0"/>
              <w:right w:val="single" w:color="auto" w:sz="4" w:space="0"/>
            </w:tcBorders>
            <w:noWrap/>
            <w:vAlign w:val="center"/>
          </w:tcPr>
          <w:p w14:paraId="4EAE8819">
            <w:pPr>
              <w:keepNext w:val="0"/>
              <w:keepLines w:val="0"/>
              <w:widowControl/>
              <w:suppressLineNumbers w:val="0"/>
              <w:spacing w:before="72" w:beforeLines="30" w:beforeAutospacing="0" w:after="72" w:afterLines="30" w:afterAutospacing="0" w:line="360" w:lineRule="auto"/>
              <w:ind w:left="0" w:right="0"/>
              <w:jc w:val="center"/>
              <w:rPr>
                <w:rFonts w:hint="eastAsia" w:ascii="宋体" w:hAnsi="宋体" w:eastAsia="宋体" w:cs="宋体"/>
                <w:b/>
                <w:color w:val="auto"/>
                <w:szCs w:val="24"/>
                <w:highlight w:val="none"/>
                <w:lang w:val="en-US"/>
              </w:rPr>
            </w:pPr>
          </w:p>
        </w:tc>
        <w:tc>
          <w:tcPr>
            <w:tcW w:w="543" w:type="dxa"/>
            <w:tcBorders>
              <w:top w:val="single" w:color="auto" w:sz="8" w:space="0"/>
              <w:left w:val="single" w:color="auto" w:sz="4" w:space="0"/>
              <w:bottom w:val="single" w:color="auto" w:sz="8" w:space="0"/>
              <w:right w:val="single" w:color="auto" w:sz="4" w:space="0"/>
            </w:tcBorders>
            <w:noWrap/>
            <w:vAlign w:val="center"/>
          </w:tcPr>
          <w:p w14:paraId="7B84C775">
            <w:pPr>
              <w:keepNext w:val="0"/>
              <w:keepLines w:val="0"/>
              <w:widowControl w:val="0"/>
              <w:suppressLineNumbers w:val="0"/>
              <w:autoSpaceDE w:val="0"/>
              <w:autoSpaceDN w:val="0"/>
              <w:adjustRightInd w:val="0"/>
              <w:spacing w:before="72" w:beforeLines="30" w:beforeAutospacing="0" w:after="72" w:afterLines="30" w:afterAutospacing="0" w:line="360" w:lineRule="auto"/>
              <w:ind w:left="0" w:right="0"/>
              <w:jc w:val="center"/>
              <w:rPr>
                <w:rFonts w:hint="eastAsia" w:ascii="宋体" w:hAnsi="宋体" w:eastAsia="宋体" w:cs="宋体"/>
                <w:b/>
                <w:color w:val="auto"/>
                <w:szCs w:val="24"/>
                <w:highlight w:val="none"/>
                <w:lang w:val="en-US"/>
              </w:rPr>
            </w:pPr>
          </w:p>
        </w:tc>
        <w:tc>
          <w:tcPr>
            <w:tcW w:w="554" w:type="dxa"/>
            <w:tcBorders>
              <w:top w:val="single" w:color="auto" w:sz="8" w:space="0"/>
              <w:left w:val="single" w:color="auto" w:sz="4" w:space="0"/>
              <w:bottom w:val="single" w:color="auto" w:sz="8" w:space="0"/>
              <w:right w:val="single" w:color="auto" w:sz="8" w:space="0"/>
            </w:tcBorders>
            <w:noWrap/>
            <w:vAlign w:val="center"/>
          </w:tcPr>
          <w:p w14:paraId="6569CDF9">
            <w:pPr>
              <w:keepNext w:val="0"/>
              <w:keepLines w:val="0"/>
              <w:widowControl w:val="0"/>
              <w:suppressLineNumbers w:val="0"/>
              <w:autoSpaceDE w:val="0"/>
              <w:autoSpaceDN w:val="0"/>
              <w:adjustRightInd w:val="0"/>
              <w:spacing w:before="72" w:beforeLines="30" w:beforeAutospacing="0" w:after="72" w:afterLines="30" w:afterAutospacing="0" w:line="360" w:lineRule="auto"/>
              <w:ind w:left="0" w:right="0"/>
              <w:jc w:val="center"/>
              <w:rPr>
                <w:rFonts w:hint="eastAsia" w:ascii="宋体" w:hAnsi="宋体" w:eastAsia="宋体" w:cs="宋体"/>
                <w:b/>
                <w:color w:val="auto"/>
                <w:szCs w:val="24"/>
                <w:highlight w:val="none"/>
                <w:lang w:val="en-US"/>
              </w:rPr>
            </w:pPr>
          </w:p>
        </w:tc>
        <w:tc>
          <w:tcPr>
            <w:tcW w:w="934" w:type="dxa"/>
            <w:tcBorders>
              <w:top w:val="single" w:color="auto" w:sz="8" w:space="0"/>
              <w:left w:val="single" w:color="auto" w:sz="8" w:space="0"/>
              <w:bottom w:val="single" w:color="auto" w:sz="8" w:space="0"/>
              <w:right w:val="single" w:color="auto" w:sz="8" w:space="0"/>
            </w:tcBorders>
            <w:noWrap/>
            <w:vAlign w:val="center"/>
          </w:tcPr>
          <w:p w14:paraId="7F180365">
            <w:pPr>
              <w:keepNext w:val="0"/>
              <w:keepLines w:val="0"/>
              <w:widowControl w:val="0"/>
              <w:suppressLineNumbers w:val="0"/>
              <w:autoSpaceDE w:val="0"/>
              <w:autoSpaceDN w:val="0"/>
              <w:adjustRightInd w:val="0"/>
              <w:spacing w:before="72" w:beforeLines="30" w:beforeAutospacing="0" w:after="72" w:afterLines="30" w:afterAutospacing="0" w:line="360" w:lineRule="auto"/>
              <w:ind w:left="0" w:right="0"/>
              <w:jc w:val="center"/>
              <w:rPr>
                <w:rFonts w:hint="eastAsia" w:ascii="宋体" w:hAnsi="宋体" w:eastAsia="宋体" w:cs="宋体"/>
                <w:b/>
                <w:color w:val="auto"/>
                <w:szCs w:val="24"/>
                <w:highlight w:val="none"/>
                <w:lang w:val="en-US"/>
              </w:rPr>
            </w:pPr>
          </w:p>
        </w:tc>
        <w:tc>
          <w:tcPr>
            <w:tcW w:w="915" w:type="dxa"/>
            <w:tcBorders>
              <w:top w:val="single" w:color="auto" w:sz="8" w:space="0"/>
              <w:left w:val="single" w:color="auto" w:sz="8" w:space="0"/>
              <w:bottom w:val="single" w:color="auto" w:sz="8" w:space="0"/>
              <w:right w:val="single" w:color="auto" w:sz="8" w:space="0"/>
            </w:tcBorders>
            <w:noWrap/>
            <w:vAlign w:val="center"/>
          </w:tcPr>
          <w:p w14:paraId="5B064FB0">
            <w:pPr>
              <w:keepNext w:val="0"/>
              <w:keepLines w:val="0"/>
              <w:widowControl w:val="0"/>
              <w:suppressLineNumbers w:val="0"/>
              <w:spacing w:before="72" w:beforeLines="30" w:beforeAutospacing="0" w:after="72" w:afterLines="30" w:afterAutospacing="0" w:line="360" w:lineRule="auto"/>
              <w:ind w:left="0" w:right="0"/>
              <w:jc w:val="center"/>
              <w:rPr>
                <w:rFonts w:hint="eastAsia" w:ascii="宋体" w:hAnsi="宋体" w:eastAsia="宋体" w:cs="宋体"/>
                <w:b/>
                <w:color w:val="auto"/>
                <w:szCs w:val="24"/>
                <w:highlight w:val="none"/>
                <w:lang w:val="en-US"/>
              </w:rPr>
            </w:pPr>
          </w:p>
        </w:tc>
        <w:tc>
          <w:tcPr>
            <w:tcW w:w="764" w:type="dxa"/>
            <w:tcBorders>
              <w:top w:val="single" w:color="auto" w:sz="8" w:space="0"/>
              <w:left w:val="single" w:color="auto" w:sz="8" w:space="0"/>
              <w:bottom w:val="single" w:color="auto" w:sz="8" w:space="0"/>
              <w:right w:val="single" w:color="auto" w:sz="8" w:space="0"/>
            </w:tcBorders>
            <w:noWrap/>
            <w:vAlign w:val="center"/>
          </w:tcPr>
          <w:p w14:paraId="00BC231D">
            <w:pPr>
              <w:keepNext w:val="0"/>
              <w:keepLines w:val="0"/>
              <w:widowControl w:val="0"/>
              <w:suppressLineNumbers w:val="0"/>
              <w:spacing w:before="72" w:beforeLines="30" w:beforeAutospacing="0" w:after="72" w:afterLines="30" w:afterAutospacing="0" w:line="360" w:lineRule="auto"/>
              <w:ind w:left="0" w:right="0"/>
              <w:jc w:val="center"/>
              <w:rPr>
                <w:rFonts w:hint="eastAsia" w:ascii="宋体" w:hAnsi="宋体" w:eastAsia="宋体" w:cs="宋体"/>
                <w:color w:val="auto"/>
                <w:szCs w:val="24"/>
                <w:highlight w:val="none"/>
                <w:lang w:val="en-US"/>
              </w:rPr>
            </w:pPr>
          </w:p>
        </w:tc>
      </w:tr>
      <w:tr w14:paraId="1F060E64">
        <w:tblPrEx>
          <w:tblCellMar>
            <w:top w:w="0" w:type="dxa"/>
            <w:left w:w="30" w:type="dxa"/>
            <w:bottom w:w="0" w:type="dxa"/>
            <w:right w:w="30" w:type="dxa"/>
          </w:tblCellMar>
        </w:tblPrEx>
        <w:trPr>
          <w:trHeight w:val="90" w:hRule="atLeast"/>
          <w:jc w:val="center"/>
        </w:trPr>
        <w:tc>
          <w:tcPr>
            <w:tcW w:w="611" w:type="dxa"/>
            <w:tcBorders>
              <w:top w:val="single" w:color="auto" w:sz="8" w:space="0"/>
              <w:left w:val="single" w:color="auto" w:sz="8" w:space="0"/>
              <w:bottom w:val="single" w:color="auto" w:sz="8" w:space="0"/>
              <w:right w:val="single" w:color="auto" w:sz="8" w:space="0"/>
            </w:tcBorders>
            <w:noWrap/>
            <w:vAlign w:val="center"/>
          </w:tcPr>
          <w:p w14:paraId="36F2CB02">
            <w:pPr>
              <w:keepNext w:val="0"/>
              <w:keepLines w:val="0"/>
              <w:widowControl w:val="0"/>
              <w:suppressLineNumbers w:val="0"/>
              <w:autoSpaceDE w:val="0"/>
              <w:autoSpaceDN w:val="0"/>
              <w:adjustRightInd w:val="0"/>
              <w:spacing w:before="72" w:beforeLines="30" w:beforeAutospacing="0" w:after="72" w:afterLines="30" w:afterAutospacing="0" w:line="360" w:lineRule="auto"/>
              <w:ind w:left="0" w:right="0"/>
              <w:jc w:val="center"/>
              <w:rPr>
                <w:rFonts w:hint="eastAsia" w:ascii="宋体" w:hAnsi="宋体" w:eastAsia="宋体" w:cs="宋体"/>
                <w:b/>
                <w:color w:val="auto"/>
                <w:szCs w:val="24"/>
                <w:highlight w:val="none"/>
                <w:lang w:val="en-US"/>
              </w:rPr>
            </w:pPr>
          </w:p>
        </w:tc>
        <w:tc>
          <w:tcPr>
            <w:tcW w:w="1453" w:type="dxa"/>
            <w:tcBorders>
              <w:top w:val="single" w:color="auto" w:sz="8" w:space="0"/>
              <w:left w:val="single" w:color="auto" w:sz="8" w:space="0"/>
              <w:bottom w:val="single" w:color="auto" w:sz="8" w:space="0"/>
              <w:right w:val="single" w:color="auto" w:sz="8" w:space="0"/>
            </w:tcBorders>
            <w:noWrap/>
            <w:vAlign w:val="center"/>
          </w:tcPr>
          <w:p w14:paraId="163896ED">
            <w:pPr>
              <w:keepNext w:val="0"/>
              <w:keepLines w:val="0"/>
              <w:widowControl w:val="0"/>
              <w:suppressLineNumbers w:val="0"/>
              <w:spacing w:before="72" w:beforeLines="30" w:beforeAutospacing="0" w:after="72" w:afterLines="30" w:afterAutospacing="0" w:line="360" w:lineRule="auto"/>
              <w:ind w:left="0" w:right="0"/>
              <w:jc w:val="center"/>
              <w:rPr>
                <w:rFonts w:hint="eastAsia" w:ascii="宋体" w:hAnsi="宋体" w:eastAsia="宋体" w:cs="宋体"/>
                <w:color w:val="auto"/>
                <w:szCs w:val="24"/>
                <w:highlight w:val="none"/>
                <w:lang w:val="en-US"/>
              </w:rPr>
            </w:pPr>
          </w:p>
        </w:tc>
        <w:tc>
          <w:tcPr>
            <w:tcW w:w="1859" w:type="dxa"/>
            <w:tcBorders>
              <w:top w:val="single" w:color="auto" w:sz="8" w:space="0"/>
              <w:left w:val="single" w:color="auto" w:sz="8" w:space="0"/>
              <w:bottom w:val="single" w:color="auto" w:sz="8" w:space="0"/>
              <w:right w:val="single" w:color="auto" w:sz="8" w:space="0"/>
            </w:tcBorders>
            <w:noWrap/>
            <w:vAlign w:val="center"/>
          </w:tcPr>
          <w:p w14:paraId="44C0667A">
            <w:pPr>
              <w:keepNext w:val="0"/>
              <w:keepLines w:val="0"/>
              <w:widowControl/>
              <w:suppressLineNumbers w:val="0"/>
              <w:spacing w:before="72" w:beforeLines="30" w:beforeAutospacing="0" w:after="72" w:afterLines="30" w:afterAutospacing="0" w:line="360" w:lineRule="auto"/>
              <w:ind w:left="0" w:right="0"/>
              <w:jc w:val="center"/>
              <w:rPr>
                <w:rFonts w:hint="eastAsia" w:ascii="宋体" w:hAnsi="宋体" w:eastAsia="宋体" w:cs="宋体"/>
                <w:color w:val="auto"/>
                <w:szCs w:val="24"/>
                <w:highlight w:val="none"/>
                <w:lang w:val="en-US"/>
              </w:rPr>
            </w:pPr>
          </w:p>
        </w:tc>
        <w:tc>
          <w:tcPr>
            <w:tcW w:w="2117" w:type="dxa"/>
            <w:tcBorders>
              <w:top w:val="single" w:color="auto" w:sz="8" w:space="0"/>
              <w:left w:val="single" w:color="auto" w:sz="8" w:space="0"/>
              <w:bottom w:val="single" w:color="auto" w:sz="8" w:space="0"/>
              <w:right w:val="single" w:color="auto" w:sz="4" w:space="0"/>
            </w:tcBorders>
            <w:noWrap/>
            <w:vAlign w:val="center"/>
          </w:tcPr>
          <w:p w14:paraId="62C23346">
            <w:pPr>
              <w:keepNext w:val="0"/>
              <w:keepLines w:val="0"/>
              <w:widowControl w:val="0"/>
              <w:suppressLineNumbers w:val="0"/>
              <w:autoSpaceDE w:val="0"/>
              <w:autoSpaceDN w:val="0"/>
              <w:adjustRightInd w:val="0"/>
              <w:spacing w:before="72" w:beforeLines="30" w:beforeAutospacing="0" w:after="72" w:afterLines="30" w:afterAutospacing="0" w:line="360" w:lineRule="auto"/>
              <w:ind w:left="0" w:right="0"/>
              <w:jc w:val="center"/>
              <w:rPr>
                <w:rFonts w:hint="eastAsia" w:ascii="宋体" w:hAnsi="宋体" w:eastAsia="宋体" w:cs="宋体"/>
                <w:color w:val="auto"/>
                <w:szCs w:val="24"/>
                <w:highlight w:val="none"/>
                <w:lang w:val="en-US"/>
              </w:rPr>
            </w:pPr>
          </w:p>
        </w:tc>
        <w:tc>
          <w:tcPr>
            <w:tcW w:w="543" w:type="dxa"/>
            <w:tcBorders>
              <w:top w:val="single" w:color="auto" w:sz="8" w:space="0"/>
              <w:left w:val="single" w:color="auto" w:sz="4" w:space="0"/>
              <w:bottom w:val="single" w:color="auto" w:sz="8" w:space="0"/>
              <w:right w:val="single" w:color="auto" w:sz="4" w:space="0"/>
            </w:tcBorders>
            <w:noWrap/>
            <w:vAlign w:val="center"/>
          </w:tcPr>
          <w:p w14:paraId="4CAAB67D">
            <w:pPr>
              <w:keepNext w:val="0"/>
              <w:keepLines w:val="0"/>
              <w:widowControl w:val="0"/>
              <w:suppressLineNumbers w:val="0"/>
              <w:autoSpaceDE w:val="0"/>
              <w:autoSpaceDN w:val="0"/>
              <w:adjustRightInd w:val="0"/>
              <w:spacing w:before="72" w:beforeLines="30" w:beforeAutospacing="0" w:after="72" w:afterLines="30" w:afterAutospacing="0" w:line="360" w:lineRule="auto"/>
              <w:ind w:left="0" w:right="0"/>
              <w:jc w:val="center"/>
              <w:rPr>
                <w:rFonts w:hint="eastAsia" w:ascii="宋体" w:hAnsi="宋体" w:eastAsia="宋体" w:cs="宋体"/>
                <w:color w:val="auto"/>
                <w:szCs w:val="24"/>
                <w:highlight w:val="none"/>
                <w:lang w:val="en-US"/>
              </w:rPr>
            </w:pPr>
          </w:p>
        </w:tc>
        <w:tc>
          <w:tcPr>
            <w:tcW w:w="554" w:type="dxa"/>
            <w:tcBorders>
              <w:top w:val="single" w:color="auto" w:sz="8" w:space="0"/>
              <w:left w:val="single" w:color="auto" w:sz="4" w:space="0"/>
              <w:bottom w:val="single" w:color="auto" w:sz="8" w:space="0"/>
              <w:right w:val="single" w:color="auto" w:sz="8" w:space="0"/>
            </w:tcBorders>
            <w:noWrap/>
            <w:vAlign w:val="center"/>
          </w:tcPr>
          <w:p w14:paraId="2F25E7ED">
            <w:pPr>
              <w:keepNext w:val="0"/>
              <w:keepLines w:val="0"/>
              <w:widowControl w:val="0"/>
              <w:suppressLineNumbers w:val="0"/>
              <w:autoSpaceDE w:val="0"/>
              <w:autoSpaceDN w:val="0"/>
              <w:adjustRightInd w:val="0"/>
              <w:spacing w:before="72" w:beforeLines="30" w:beforeAutospacing="0" w:after="72" w:afterLines="30" w:afterAutospacing="0" w:line="360" w:lineRule="auto"/>
              <w:ind w:left="0" w:right="0"/>
              <w:jc w:val="center"/>
              <w:rPr>
                <w:rFonts w:hint="eastAsia" w:ascii="宋体" w:hAnsi="宋体" w:eastAsia="宋体" w:cs="宋体"/>
                <w:color w:val="auto"/>
                <w:szCs w:val="24"/>
                <w:highlight w:val="none"/>
                <w:lang w:val="en-US"/>
              </w:rPr>
            </w:pPr>
          </w:p>
        </w:tc>
        <w:tc>
          <w:tcPr>
            <w:tcW w:w="934" w:type="dxa"/>
            <w:tcBorders>
              <w:top w:val="single" w:color="auto" w:sz="8" w:space="0"/>
              <w:left w:val="single" w:color="auto" w:sz="8" w:space="0"/>
              <w:bottom w:val="single" w:color="auto" w:sz="8" w:space="0"/>
              <w:right w:val="single" w:color="auto" w:sz="8" w:space="0"/>
            </w:tcBorders>
            <w:noWrap/>
            <w:vAlign w:val="center"/>
          </w:tcPr>
          <w:p w14:paraId="358DE5C6">
            <w:pPr>
              <w:keepNext w:val="0"/>
              <w:keepLines w:val="0"/>
              <w:widowControl w:val="0"/>
              <w:suppressLineNumbers w:val="0"/>
              <w:autoSpaceDE w:val="0"/>
              <w:autoSpaceDN w:val="0"/>
              <w:adjustRightInd w:val="0"/>
              <w:spacing w:before="72" w:beforeLines="30" w:beforeAutospacing="0" w:after="72" w:afterLines="30" w:afterAutospacing="0" w:line="360" w:lineRule="auto"/>
              <w:ind w:left="0" w:right="0"/>
              <w:jc w:val="center"/>
              <w:rPr>
                <w:rFonts w:hint="eastAsia" w:ascii="宋体" w:hAnsi="宋体" w:eastAsia="宋体" w:cs="宋体"/>
                <w:color w:val="auto"/>
                <w:szCs w:val="24"/>
                <w:highlight w:val="none"/>
                <w:lang w:val="en-US"/>
              </w:rPr>
            </w:pPr>
          </w:p>
        </w:tc>
        <w:tc>
          <w:tcPr>
            <w:tcW w:w="915" w:type="dxa"/>
            <w:tcBorders>
              <w:top w:val="single" w:color="auto" w:sz="8" w:space="0"/>
              <w:left w:val="single" w:color="auto" w:sz="8" w:space="0"/>
              <w:bottom w:val="single" w:color="auto" w:sz="8" w:space="0"/>
              <w:right w:val="single" w:color="auto" w:sz="8" w:space="0"/>
            </w:tcBorders>
            <w:noWrap/>
            <w:vAlign w:val="center"/>
          </w:tcPr>
          <w:p w14:paraId="607CBDE5">
            <w:pPr>
              <w:keepNext w:val="0"/>
              <w:keepLines w:val="0"/>
              <w:widowControl w:val="0"/>
              <w:suppressLineNumbers w:val="0"/>
              <w:spacing w:before="72" w:beforeLines="30" w:beforeAutospacing="0" w:after="72" w:afterLines="30" w:afterAutospacing="0" w:line="360" w:lineRule="auto"/>
              <w:ind w:left="0" w:right="0"/>
              <w:jc w:val="center"/>
              <w:rPr>
                <w:rFonts w:hint="eastAsia" w:ascii="宋体" w:hAnsi="宋体" w:eastAsia="宋体" w:cs="宋体"/>
                <w:color w:val="auto"/>
                <w:szCs w:val="24"/>
                <w:highlight w:val="none"/>
                <w:lang w:val="en-US"/>
              </w:rPr>
            </w:pPr>
          </w:p>
        </w:tc>
        <w:tc>
          <w:tcPr>
            <w:tcW w:w="764" w:type="dxa"/>
            <w:tcBorders>
              <w:top w:val="single" w:color="auto" w:sz="8" w:space="0"/>
              <w:left w:val="single" w:color="auto" w:sz="8" w:space="0"/>
              <w:bottom w:val="single" w:color="auto" w:sz="8" w:space="0"/>
              <w:right w:val="single" w:color="auto" w:sz="8" w:space="0"/>
            </w:tcBorders>
            <w:noWrap/>
            <w:vAlign w:val="center"/>
          </w:tcPr>
          <w:p w14:paraId="15F5E64F">
            <w:pPr>
              <w:keepNext w:val="0"/>
              <w:keepLines w:val="0"/>
              <w:widowControl w:val="0"/>
              <w:suppressLineNumbers w:val="0"/>
              <w:spacing w:before="72" w:beforeLines="30" w:beforeAutospacing="0" w:after="72" w:afterLines="30" w:afterAutospacing="0" w:line="360" w:lineRule="auto"/>
              <w:ind w:left="0" w:right="0"/>
              <w:jc w:val="center"/>
              <w:rPr>
                <w:rFonts w:hint="eastAsia" w:ascii="宋体" w:hAnsi="宋体" w:eastAsia="宋体" w:cs="宋体"/>
                <w:color w:val="auto"/>
                <w:szCs w:val="24"/>
                <w:highlight w:val="none"/>
                <w:lang w:val="en-US"/>
              </w:rPr>
            </w:pPr>
          </w:p>
        </w:tc>
      </w:tr>
      <w:tr w14:paraId="46861BED">
        <w:tblPrEx>
          <w:tblCellMar>
            <w:top w:w="0" w:type="dxa"/>
            <w:left w:w="30" w:type="dxa"/>
            <w:bottom w:w="0" w:type="dxa"/>
            <w:right w:w="30" w:type="dxa"/>
          </w:tblCellMar>
        </w:tblPrEx>
        <w:trPr>
          <w:trHeight w:val="579" w:hRule="exact"/>
          <w:jc w:val="center"/>
        </w:trPr>
        <w:tc>
          <w:tcPr>
            <w:tcW w:w="2064" w:type="dxa"/>
            <w:gridSpan w:val="2"/>
            <w:vMerge w:val="restart"/>
            <w:tcBorders>
              <w:top w:val="single" w:color="auto" w:sz="8" w:space="0"/>
              <w:left w:val="single" w:color="auto" w:sz="8" w:space="0"/>
              <w:bottom w:val="single" w:color="auto" w:sz="8" w:space="0"/>
              <w:right w:val="single" w:color="auto" w:sz="8" w:space="0"/>
            </w:tcBorders>
            <w:noWrap/>
            <w:vAlign w:val="center"/>
          </w:tcPr>
          <w:p w14:paraId="203A0233">
            <w:pPr>
              <w:keepNext w:val="0"/>
              <w:keepLines w:val="0"/>
              <w:widowControl w:val="0"/>
              <w:suppressLineNumbers w:val="0"/>
              <w:autoSpaceDE w:val="0"/>
              <w:autoSpaceDN w:val="0"/>
              <w:adjustRightInd w:val="0"/>
              <w:spacing w:before="72" w:beforeLines="30" w:beforeAutospacing="0" w:after="72" w:afterLines="30" w:afterAutospacing="0" w:line="360" w:lineRule="auto"/>
              <w:ind w:left="0" w:right="0"/>
              <w:jc w:val="center"/>
              <w:rPr>
                <w:rFonts w:hint="eastAsia" w:ascii="宋体" w:hAnsi="宋体" w:eastAsia="宋体" w:cs="宋体"/>
                <w:color w:val="auto"/>
                <w:sz w:val="24"/>
                <w:szCs w:val="24"/>
                <w:highlight w:val="none"/>
                <w:lang w:val="en-US"/>
              </w:rPr>
            </w:pPr>
            <w:r>
              <w:rPr>
                <w:rFonts w:hint="eastAsia" w:ascii="宋体" w:hAnsi="宋体" w:eastAsia="宋体" w:cs="宋体"/>
                <w:b/>
                <w:bCs w:val="0"/>
                <w:color w:val="auto"/>
                <w:kern w:val="2"/>
                <w:sz w:val="24"/>
                <w:szCs w:val="24"/>
                <w:highlight w:val="none"/>
                <w:lang w:val="en-US" w:eastAsia="zh-CN" w:bidi="ar"/>
              </w:rPr>
              <w:t>合同总额</w:t>
            </w:r>
          </w:p>
        </w:tc>
        <w:tc>
          <w:tcPr>
            <w:tcW w:w="7686" w:type="dxa"/>
            <w:gridSpan w:val="7"/>
            <w:tcBorders>
              <w:top w:val="single" w:color="auto" w:sz="8" w:space="0"/>
              <w:left w:val="single" w:color="auto" w:sz="8" w:space="0"/>
              <w:bottom w:val="single" w:color="auto" w:sz="8" w:space="0"/>
              <w:right w:val="single" w:color="auto" w:sz="8" w:space="0"/>
            </w:tcBorders>
            <w:noWrap/>
            <w:vAlign w:val="center"/>
          </w:tcPr>
          <w:p w14:paraId="24A825A4">
            <w:pPr>
              <w:keepNext w:val="0"/>
              <w:keepLines w:val="0"/>
              <w:widowControl w:val="0"/>
              <w:suppressLineNumbers w:val="0"/>
              <w:spacing w:before="72" w:beforeLines="30" w:beforeAutospacing="0" w:after="72" w:afterLines="30" w:afterAutospacing="0" w:line="360" w:lineRule="auto"/>
              <w:ind w:left="0" w:right="0"/>
              <w:jc w:val="both"/>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（小写）：</w:t>
            </w:r>
          </w:p>
        </w:tc>
      </w:tr>
      <w:tr w14:paraId="681A62A8">
        <w:tblPrEx>
          <w:tblCellMar>
            <w:top w:w="0" w:type="dxa"/>
            <w:left w:w="30" w:type="dxa"/>
            <w:bottom w:w="0" w:type="dxa"/>
            <w:right w:w="30" w:type="dxa"/>
          </w:tblCellMar>
        </w:tblPrEx>
        <w:trPr>
          <w:trHeight w:val="579" w:hRule="atLeast"/>
          <w:jc w:val="center"/>
        </w:trPr>
        <w:tc>
          <w:tcPr>
            <w:tcW w:w="2064" w:type="dxa"/>
            <w:gridSpan w:val="2"/>
            <w:vMerge w:val="continue"/>
            <w:tcBorders>
              <w:top w:val="single" w:color="auto" w:sz="8" w:space="0"/>
              <w:left w:val="single" w:color="auto" w:sz="8" w:space="0"/>
              <w:bottom w:val="single" w:color="auto" w:sz="8" w:space="0"/>
              <w:right w:val="single" w:color="auto" w:sz="8" w:space="0"/>
            </w:tcBorders>
            <w:noWrap/>
            <w:vAlign w:val="center"/>
          </w:tcPr>
          <w:p w14:paraId="4A3439C1">
            <w:pPr>
              <w:spacing w:line="360" w:lineRule="auto"/>
              <w:rPr>
                <w:rFonts w:hint="eastAsia" w:ascii="宋体" w:hAnsi="宋体" w:eastAsia="宋体" w:cs="宋体"/>
                <w:color w:val="auto"/>
                <w:sz w:val="24"/>
                <w:szCs w:val="24"/>
                <w:highlight w:val="none"/>
              </w:rPr>
            </w:pPr>
          </w:p>
        </w:tc>
        <w:tc>
          <w:tcPr>
            <w:tcW w:w="7686" w:type="dxa"/>
            <w:gridSpan w:val="7"/>
            <w:tcBorders>
              <w:top w:val="single" w:color="auto" w:sz="8" w:space="0"/>
              <w:left w:val="single" w:color="auto" w:sz="8" w:space="0"/>
              <w:bottom w:val="single" w:color="auto" w:sz="8" w:space="0"/>
              <w:right w:val="single" w:color="auto" w:sz="8" w:space="0"/>
            </w:tcBorders>
            <w:noWrap/>
            <w:vAlign w:val="center"/>
          </w:tcPr>
          <w:p w14:paraId="7B3D0167">
            <w:pPr>
              <w:keepNext w:val="0"/>
              <w:keepLines w:val="0"/>
              <w:widowControl w:val="0"/>
              <w:suppressLineNumbers w:val="0"/>
              <w:spacing w:before="72" w:beforeLines="30" w:beforeAutospacing="0" w:after="72" w:afterLines="30" w:afterAutospacing="0" w:line="360" w:lineRule="auto"/>
              <w:ind w:left="0" w:right="0"/>
              <w:jc w:val="both"/>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（大写）：</w:t>
            </w:r>
          </w:p>
        </w:tc>
      </w:tr>
    </w:tbl>
    <w:p w14:paraId="442F929D">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2" w:firstLineChars="200"/>
        <w:jc w:val="both"/>
        <w:textAlignment w:val="auto"/>
        <w:outlineLvl w:val="1"/>
        <w:rPr>
          <w:rFonts w:hint="eastAsia" w:ascii="宋体" w:hAnsi="宋体" w:eastAsia="宋体" w:cs="宋体"/>
          <w:color w:val="auto"/>
          <w:sz w:val="24"/>
          <w:szCs w:val="24"/>
          <w:highlight w:val="none"/>
          <w:lang w:val="en-US"/>
        </w:rPr>
      </w:pPr>
      <w:bookmarkStart w:id="12" w:name="_Toc8273"/>
      <w:r>
        <w:rPr>
          <w:rFonts w:hint="eastAsia" w:ascii="宋体" w:hAnsi="宋体" w:eastAsia="宋体" w:cs="宋体"/>
          <w:b/>
          <w:color w:val="auto"/>
          <w:kern w:val="2"/>
          <w:sz w:val="24"/>
          <w:szCs w:val="24"/>
          <w:highlight w:val="none"/>
          <w:lang w:val="en-US" w:eastAsia="zh-CN" w:bidi="ar"/>
        </w:rPr>
        <w:t>三、合同价格</w:t>
      </w:r>
      <w:bookmarkEnd w:id="12"/>
    </w:p>
    <w:p w14:paraId="5D02AEB3">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1．合同总价</w:t>
      </w:r>
      <w:r>
        <w:rPr>
          <w:rFonts w:hint="eastAsia" w:ascii="宋体" w:hAnsi="宋体" w:cs="宋体"/>
          <w:color w:val="auto"/>
          <w:kern w:val="2"/>
          <w:sz w:val="24"/>
          <w:szCs w:val="24"/>
          <w:highlight w:val="none"/>
          <w:lang w:val="en-US" w:eastAsia="zh-CN" w:bidi="ar"/>
        </w:rPr>
        <w:t>（含税）</w:t>
      </w:r>
      <w:r>
        <w:rPr>
          <w:rFonts w:hint="eastAsia" w:ascii="宋体" w:hAnsi="宋体" w:eastAsia="宋体" w:cs="宋体"/>
          <w:color w:val="auto"/>
          <w:kern w:val="2"/>
          <w:sz w:val="24"/>
          <w:szCs w:val="24"/>
          <w:highlight w:val="none"/>
          <w:lang w:val="en-US" w:eastAsia="zh-CN" w:bidi="ar"/>
        </w:rPr>
        <w:t>：  ￥**元（人民币**元整）。</w:t>
      </w:r>
    </w:p>
    <w:p w14:paraId="77B355A5">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b/>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2．合同总价包括了货物的制造、包装、仓储、运输、保险、装卸以及乙方进行的安装、调试、试运行、验收、培训、技术服务、保修期、售后服务、保修期内更换零配件和</w:t>
      </w:r>
      <w:r>
        <w:rPr>
          <w:rFonts w:hint="eastAsia" w:ascii="宋体" w:hAnsi="宋体" w:eastAsia="宋体" w:cs="宋体"/>
          <w:b/>
          <w:color w:val="auto"/>
          <w:kern w:val="2"/>
          <w:sz w:val="24"/>
          <w:szCs w:val="24"/>
          <w:highlight w:val="none"/>
          <w:lang w:val="en-US" w:eastAsia="zh-CN" w:bidi="ar"/>
        </w:rPr>
        <w:t>装备送检</w:t>
      </w:r>
      <w:r>
        <w:rPr>
          <w:rFonts w:hint="eastAsia" w:ascii="宋体" w:hAnsi="宋体" w:eastAsia="宋体" w:cs="宋体"/>
          <w:color w:val="auto"/>
          <w:kern w:val="2"/>
          <w:sz w:val="24"/>
          <w:szCs w:val="24"/>
          <w:highlight w:val="none"/>
          <w:lang w:val="en-US" w:eastAsia="zh-CN" w:bidi="ar"/>
        </w:rPr>
        <w:t>等全部含税费用。</w:t>
      </w:r>
    </w:p>
    <w:p w14:paraId="6E33B9DD">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2" w:firstLineChars="200"/>
        <w:jc w:val="both"/>
        <w:textAlignment w:val="auto"/>
        <w:outlineLvl w:val="1"/>
        <w:rPr>
          <w:rFonts w:hint="eastAsia" w:ascii="宋体" w:hAnsi="宋体" w:eastAsia="宋体" w:cs="宋体"/>
          <w:color w:val="auto"/>
          <w:sz w:val="24"/>
          <w:szCs w:val="24"/>
          <w:highlight w:val="none"/>
          <w:lang w:val="en-US"/>
        </w:rPr>
      </w:pPr>
      <w:bookmarkStart w:id="13" w:name="_Toc1100"/>
      <w:r>
        <w:rPr>
          <w:rFonts w:hint="eastAsia" w:ascii="宋体" w:hAnsi="宋体" w:eastAsia="宋体" w:cs="宋体"/>
          <w:b/>
          <w:color w:val="auto"/>
          <w:kern w:val="2"/>
          <w:sz w:val="24"/>
          <w:szCs w:val="24"/>
          <w:highlight w:val="none"/>
          <w:lang w:val="en-US" w:eastAsia="zh-CN" w:bidi="ar"/>
        </w:rPr>
        <w:t>四、合同货物的包装、交货、安装、调试及验收</w:t>
      </w:r>
      <w:bookmarkEnd w:id="13"/>
    </w:p>
    <w:p w14:paraId="1D409F78">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1．合同货物的包装：货物的包装均应有良好的防湿、防锈、防潮、防雨、防腐及防碰撞的措施，同时每类器材应分类包装，禁止混包。凡由于包装不良造成的损失和由此产生的费用均由乙方承担。</w:t>
      </w:r>
    </w:p>
    <w:p w14:paraId="37E3C94B">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2．交货</w:t>
      </w:r>
      <w:r>
        <w:rPr>
          <w:rFonts w:hint="eastAsia" w:ascii="宋体" w:hAnsi="宋体" w:cs="宋体"/>
          <w:color w:val="auto"/>
          <w:kern w:val="2"/>
          <w:sz w:val="24"/>
          <w:szCs w:val="24"/>
          <w:highlight w:val="none"/>
          <w:lang w:val="en-US" w:eastAsia="zh-CN" w:bidi="ar"/>
        </w:rPr>
        <w:t>期</w:t>
      </w:r>
      <w:r>
        <w:rPr>
          <w:rFonts w:hint="eastAsia" w:ascii="宋体" w:hAnsi="宋体" w:eastAsia="宋体" w:cs="宋体"/>
          <w:color w:val="auto"/>
          <w:kern w:val="2"/>
          <w:sz w:val="24"/>
          <w:szCs w:val="24"/>
          <w:highlight w:val="none"/>
          <w:lang w:val="en-US" w:eastAsia="zh-CN" w:bidi="ar"/>
        </w:rPr>
        <w:t>：合同签订生效之日起</w:t>
      </w:r>
      <w:r>
        <w:rPr>
          <w:rFonts w:hint="eastAsia" w:ascii="宋体" w:hAnsi="宋体" w:cs="宋体"/>
          <w:color w:val="auto"/>
          <w:kern w:val="2"/>
          <w:sz w:val="24"/>
          <w:szCs w:val="24"/>
          <w:highlight w:val="none"/>
          <w:lang w:val="en-US" w:eastAsia="zh-CN" w:bidi="ar"/>
        </w:rPr>
        <w:t>20</w:t>
      </w:r>
      <w:r>
        <w:rPr>
          <w:rFonts w:hint="eastAsia" w:ascii="宋体" w:hAnsi="宋体" w:eastAsia="宋体" w:cs="宋体"/>
          <w:color w:val="auto"/>
          <w:kern w:val="2"/>
          <w:sz w:val="24"/>
          <w:szCs w:val="24"/>
          <w:highlight w:val="none"/>
          <w:lang w:val="en-US" w:eastAsia="zh-CN" w:bidi="ar"/>
        </w:rPr>
        <w:t>日历天内交付。</w:t>
      </w:r>
    </w:p>
    <w:p w14:paraId="6D05598B">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3．到货及安装地点：甲方指定地点。</w:t>
      </w:r>
    </w:p>
    <w:p w14:paraId="62CD0216">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4．合同货物验收：合同货物安装调试完成并移交所有中文使用说明书等资料文档后进行验收，每件货物须有产品出厂合格证、产品使用说明书（如是进口产品必须提供有效的报关手续及中文使用说明书）、电子文档产品使用说明书（如是进口产品必须同时提供中文版）、产品质量检验报告、自愿性认证证书（如有才提供）、型式检验报告（如有才提供）和货物有关配件等。</w:t>
      </w:r>
    </w:p>
    <w:p w14:paraId="1BCA35CD">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验收时如发现所交付的货物有短装、次品、损坏、</w:t>
      </w:r>
      <w:r>
        <w:rPr>
          <w:rFonts w:hint="eastAsia" w:ascii="宋体" w:hAnsi="宋体" w:eastAsia="宋体" w:cs="宋体"/>
          <w:b/>
          <w:color w:val="auto"/>
          <w:kern w:val="2"/>
          <w:sz w:val="24"/>
          <w:szCs w:val="24"/>
          <w:highlight w:val="none"/>
          <w:lang w:val="en-US" w:eastAsia="zh-CN" w:bidi="ar"/>
        </w:rPr>
        <w:t>不符合响应文件的技术要求或其它不符合本合同规定之情形者</w:t>
      </w:r>
      <w:r>
        <w:rPr>
          <w:rFonts w:hint="eastAsia" w:ascii="宋体" w:hAnsi="宋体" w:eastAsia="宋体" w:cs="宋体"/>
          <w:color w:val="auto"/>
          <w:kern w:val="2"/>
          <w:sz w:val="24"/>
          <w:szCs w:val="24"/>
          <w:highlight w:val="none"/>
          <w:lang w:val="en-US" w:eastAsia="zh-CN" w:bidi="ar"/>
        </w:rPr>
        <w:t>，甲方应做出详尽的现场记录，或由甲乙双方签署备忘录，</w:t>
      </w:r>
      <w:r>
        <w:rPr>
          <w:rFonts w:hint="eastAsia" w:ascii="宋体" w:hAnsi="宋体" w:eastAsia="宋体" w:cs="宋体"/>
          <w:b/>
          <w:color w:val="auto"/>
          <w:kern w:val="2"/>
          <w:sz w:val="24"/>
          <w:szCs w:val="24"/>
          <w:highlight w:val="none"/>
          <w:lang w:val="en-US" w:eastAsia="zh-CN" w:bidi="ar"/>
        </w:rPr>
        <w:t>甲方有权终止合同，</w:t>
      </w:r>
      <w:r>
        <w:rPr>
          <w:rFonts w:hint="eastAsia" w:ascii="宋体" w:hAnsi="宋体" w:cs="宋体"/>
          <w:b/>
          <w:color w:val="auto"/>
          <w:kern w:val="2"/>
          <w:sz w:val="24"/>
          <w:szCs w:val="24"/>
          <w:highlight w:val="none"/>
          <w:lang w:val="en-US" w:eastAsia="zh-CN" w:bidi="ar"/>
        </w:rPr>
        <w:t>并</w:t>
      </w:r>
      <w:r>
        <w:rPr>
          <w:rFonts w:hint="eastAsia" w:ascii="宋体" w:hAnsi="宋体" w:eastAsia="宋体" w:cs="宋体"/>
          <w:b/>
          <w:color w:val="auto"/>
          <w:kern w:val="2"/>
          <w:sz w:val="24"/>
          <w:szCs w:val="24"/>
          <w:highlight w:val="none"/>
          <w:lang w:val="en-US" w:eastAsia="zh-CN" w:bidi="ar"/>
        </w:rPr>
        <w:t>要求乙方赔偿由此产生的所有费用</w:t>
      </w:r>
      <w:r>
        <w:rPr>
          <w:rFonts w:hint="eastAsia" w:ascii="宋体" w:hAnsi="宋体" w:cs="宋体"/>
          <w:b/>
          <w:color w:val="auto"/>
          <w:kern w:val="2"/>
          <w:sz w:val="24"/>
          <w:szCs w:val="24"/>
          <w:highlight w:val="none"/>
          <w:lang w:val="en-US" w:eastAsia="zh-CN" w:bidi="ar"/>
        </w:rPr>
        <w:t>（包括但不限于价款、滞纳金、违约金、赔偿金等其他债权债务以及本合同项下因纠纷所产生的仲裁费、诉讼费、律师费、差旅费、保全费、诉讼财产保全责任保险费、公告费等）</w:t>
      </w:r>
      <w:r>
        <w:rPr>
          <w:rFonts w:hint="eastAsia" w:ascii="宋体" w:hAnsi="宋体" w:eastAsia="宋体" w:cs="宋体"/>
          <w:color w:val="auto"/>
          <w:kern w:val="2"/>
          <w:sz w:val="24"/>
          <w:szCs w:val="24"/>
          <w:highlight w:val="none"/>
          <w:lang w:val="en-US" w:eastAsia="zh-CN" w:bidi="ar"/>
        </w:rPr>
        <w:t>。</w:t>
      </w:r>
    </w:p>
    <w:p w14:paraId="7CCF13CF">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此现场记录或备忘录是本合同的有效组成部分，可用作补充、缺失和更换损坏部件的有效证据，由此产生的有关费用由乙方承担，验收期限相应后延。如果合同货物运输和安装调试过程中因事故造成货物短缺、损坏，乙方应及时安排调换，以保证合同货物安装调试的及时完成，换货的相关费用由乙方承担。</w:t>
      </w:r>
    </w:p>
    <w:p w14:paraId="1478F333">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5．货物的装卸：货物到达甲方指定地点后，由乙方负责货物装卸及发生的一切费用，如装卸过程中产生的所有损失，由乙方承担。</w:t>
      </w:r>
    </w:p>
    <w:p w14:paraId="527D7A78">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6．乙方交付的货物应当完全符合本合同或者招响应文件所规定的货物、数量和规格要求。乙方提供的货物不符合招响应文件和合同规定的，甲方有权拒收货物，由此引起的风险，由乙方承担。</w:t>
      </w:r>
    </w:p>
    <w:p w14:paraId="35F9D625">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7.对于甲方在标书中所要求的及乙方在响应文件和合同中所承诺提供的功能，乙方应无条件提供，由于设计及其他原因所造成的额外费用由乙方自行承担。由于甲方要求删除的部分及功能，乙方应予以在合同总价中扣除该部分的价格。</w:t>
      </w:r>
    </w:p>
    <w:p w14:paraId="768E718E">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2" w:firstLineChars="200"/>
        <w:jc w:val="both"/>
        <w:textAlignment w:val="auto"/>
        <w:outlineLvl w:val="1"/>
        <w:rPr>
          <w:rFonts w:hint="eastAsia" w:ascii="宋体" w:hAnsi="宋体" w:eastAsia="宋体" w:cs="宋体"/>
          <w:color w:val="auto"/>
          <w:sz w:val="24"/>
          <w:szCs w:val="24"/>
          <w:highlight w:val="none"/>
          <w:lang w:val="en-US"/>
        </w:rPr>
      </w:pPr>
      <w:bookmarkStart w:id="14" w:name="_Toc15691"/>
      <w:r>
        <w:rPr>
          <w:rFonts w:hint="eastAsia" w:ascii="宋体" w:hAnsi="宋体" w:eastAsia="宋体" w:cs="宋体"/>
          <w:b/>
          <w:color w:val="auto"/>
          <w:kern w:val="2"/>
          <w:sz w:val="24"/>
          <w:szCs w:val="24"/>
          <w:highlight w:val="none"/>
          <w:lang w:val="en-US" w:eastAsia="zh-CN" w:bidi="ar"/>
        </w:rPr>
        <w:t>五、付款方式</w:t>
      </w:r>
      <w:bookmarkEnd w:id="14"/>
    </w:p>
    <w:p w14:paraId="476D6D03">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lang w:val="en-US" w:eastAsia="zh-CN"/>
        </w:rPr>
        <w:t>合同签订后10个工作日内支付合同金额的50%作为预付款；</w:t>
      </w:r>
    </w:p>
    <w:p w14:paraId="7CEB82A3">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采购人在产品终验合格后收到供应商开具的正规税务发票后15个工作日内支付剩余合同金额的50%。</w:t>
      </w:r>
    </w:p>
    <w:p w14:paraId="156BEE31">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2" w:firstLineChars="200"/>
        <w:jc w:val="both"/>
        <w:textAlignment w:val="auto"/>
        <w:outlineLvl w:val="1"/>
        <w:rPr>
          <w:rFonts w:hint="eastAsia" w:ascii="宋体" w:hAnsi="宋体" w:eastAsia="宋体" w:cs="宋体"/>
          <w:color w:val="auto"/>
          <w:sz w:val="24"/>
          <w:szCs w:val="24"/>
          <w:highlight w:val="none"/>
          <w:lang w:val="en-US"/>
        </w:rPr>
      </w:pPr>
      <w:bookmarkStart w:id="15" w:name="_Toc25132"/>
      <w:r>
        <w:rPr>
          <w:rFonts w:hint="eastAsia" w:ascii="宋体" w:hAnsi="宋体" w:eastAsia="宋体" w:cs="宋体"/>
          <w:b/>
          <w:color w:val="auto"/>
          <w:kern w:val="2"/>
          <w:sz w:val="24"/>
          <w:szCs w:val="24"/>
          <w:highlight w:val="none"/>
          <w:lang w:val="en-US" w:eastAsia="zh-CN" w:bidi="ar"/>
        </w:rPr>
        <w:t>六、质量保证</w:t>
      </w:r>
      <w:bookmarkEnd w:id="15"/>
    </w:p>
    <w:p w14:paraId="6A4F82F6">
      <w:pPr>
        <w:keepNext w:val="0"/>
        <w:keepLines w:val="0"/>
        <w:pageBreakBefore w:val="0"/>
        <w:widowControl w:val="0"/>
        <w:numPr>
          <w:ilvl w:val="0"/>
          <w:numId w:val="6"/>
        </w:numPr>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乙方提供的全部产品须符合国家技术规范和相关产品标准，且都属于厂家原装正品产品，并为合法渠道进货的全新产品，其质量、规格及技术特征符合招标和响应文件要求。</w:t>
      </w:r>
      <w:r>
        <w:rPr>
          <w:rFonts w:hint="eastAsia" w:ascii="宋体" w:hAnsi="宋体" w:eastAsia="宋体" w:cs="宋体"/>
          <w:b/>
          <w:color w:val="auto"/>
          <w:kern w:val="2"/>
          <w:sz w:val="24"/>
          <w:szCs w:val="24"/>
          <w:highlight w:val="none"/>
          <w:lang w:val="en-US" w:eastAsia="zh-CN" w:bidi="ar"/>
        </w:rPr>
        <w:t>若为进口产品的，必须提供具备原产地证明和合法进货渠道证明材料。若乙方提供的证明材料与招标、响应文件不一致或经查实有虚假材料的，视为产品质量不符合要求。</w:t>
      </w:r>
      <w:r>
        <w:rPr>
          <w:rFonts w:hint="eastAsia" w:ascii="宋体" w:hAnsi="宋体" w:eastAsia="宋体" w:cs="宋体"/>
          <w:color w:val="auto"/>
          <w:kern w:val="2"/>
          <w:sz w:val="24"/>
          <w:szCs w:val="24"/>
          <w:highlight w:val="none"/>
          <w:lang w:val="en-US" w:eastAsia="zh-CN" w:bidi="ar"/>
        </w:rPr>
        <w:t>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14:paraId="270A68F8">
      <w:pPr>
        <w:keepNext w:val="0"/>
        <w:keepLines w:val="0"/>
        <w:pageBreakBefore w:val="0"/>
        <w:widowControl w:val="0"/>
        <w:numPr>
          <w:ilvl w:val="0"/>
          <w:numId w:val="6"/>
        </w:numPr>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产品、设备交付时外观清洁，标记编号以及盘面显示等字体清晰、明确。</w:t>
      </w:r>
    </w:p>
    <w:p w14:paraId="5D7B63B4">
      <w:pPr>
        <w:keepNext w:val="0"/>
        <w:keepLines w:val="0"/>
        <w:pageBreakBefore w:val="0"/>
        <w:widowControl w:val="0"/>
        <w:numPr>
          <w:ilvl w:val="0"/>
          <w:numId w:val="6"/>
        </w:numPr>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对于影响设备正常工作的必要组成部分，无论在技术规范中指出与否，都应明确列出。</w:t>
      </w:r>
    </w:p>
    <w:p w14:paraId="5666CD69">
      <w:pPr>
        <w:keepNext w:val="0"/>
        <w:keepLines w:val="0"/>
        <w:pageBreakBefore w:val="0"/>
        <w:widowControl w:val="0"/>
        <w:numPr>
          <w:ilvl w:val="0"/>
          <w:numId w:val="6"/>
        </w:numPr>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因货物的质量问题而发生争议，可委托有相关资质的第三方机构进行质量鉴定。鉴定费用均由乙方承担。</w:t>
      </w:r>
    </w:p>
    <w:p w14:paraId="23C7E725">
      <w:pPr>
        <w:keepNext w:val="0"/>
        <w:keepLines w:val="0"/>
        <w:pageBreakBefore w:val="0"/>
        <w:widowControl w:val="0"/>
        <w:numPr>
          <w:ilvl w:val="0"/>
          <w:numId w:val="6"/>
        </w:numPr>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产品整体质保期①课桌椅、②国产化台式教师计算机、③智慧黑板（含展台、音响）、⑤舞蹈室不得少于6年；④小学科学实验室设施设备（含教室一、教室二、小学科学基础实验箱教科版）不得少于3年，终身维护、定期检测和维修、终身免费提供培训服务，产品质保期自验收合格之日起计。</w:t>
      </w:r>
    </w:p>
    <w:p w14:paraId="4D856B4C">
      <w:pPr>
        <w:keepNext w:val="0"/>
        <w:keepLines w:val="0"/>
        <w:pageBreakBefore w:val="0"/>
        <w:widowControl w:val="0"/>
        <w:numPr>
          <w:ilvl w:val="0"/>
          <w:numId w:val="6"/>
        </w:numPr>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乙方保证合同项下提供的货物不侵犯任何第三方的专利、商标或版权。否则，乙方须承担对第三方的专利或版权的侵权责任并承担因此而产生的所有费用。</w:t>
      </w:r>
    </w:p>
    <w:p w14:paraId="1D9AB71F">
      <w:pPr>
        <w:keepNext w:val="0"/>
        <w:keepLines w:val="0"/>
        <w:pageBreakBefore w:val="0"/>
        <w:widowControl w:val="0"/>
        <w:numPr>
          <w:ilvl w:val="0"/>
          <w:numId w:val="6"/>
        </w:numPr>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乙方若采用第三方物流配送货品的，必须在配送货物外包装上附上送货清单。甲方只对到货外包装做签收并只在物流单（非送货清单）签名，甲方的签收不免除乙方在货物灭失和短缺等方面的责任。</w:t>
      </w:r>
    </w:p>
    <w:p w14:paraId="74C17DC2">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2" w:firstLineChars="200"/>
        <w:jc w:val="both"/>
        <w:textAlignment w:val="auto"/>
        <w:outlineLvl w:val="1"/>
        <w:rPr>
          <w:rFonts w:hint="eastAsia" w:ascii="宋体" w:hAnsi="宋体" w:eastAsia="宋体" w:cs="宋体"/>
          <w:color w:val="auto"/>
          <w:sz w:val="24"/>
          <w:szCs w:val="24"/>
          <w:highlight w:val="none"/>
          <w:lang w:val="en-US"/>
        </w:rPr>
      </w:pPr>
      <w:bookmarkStart w:id="16" w:name="_Toc18392"/>
      <w:r>
        <w:rPr>
          <w:rFonts w:hint="eastAsia" w:ascii="宋体" w:hAnsi="宋体" w:eastAsia="宋体" w:cs="宋体"/>
          <w:b/>
          <w:color w:val="auto"/>
          <w:kern w:val="2"/>
          <w:sz w:val="24"/>
          <w:szCs w:val="24"/>
          <w:highlight w:val="none"/>
          <w:lang w:val="en-US" w:eastAsia="zh-CN" w:bidi="ar"/>
        </w:rPr>
        <w:t>七、售后服务</w:t>
      </w:r>
      <w:bookmarkEnd w:id="16"/>
    </w:p>
    <w:p w14:paraId="58CB8CE5">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1．保修期①课桌椅、②国产化台式教师计算机、③智慧黑板（含展台、音响）、⑤舞蹈室不得少于6年；④小学科学实验室设施设备（含教室一、教室二、小学科学基础实验箱教科版）不得少于3年，产品交付使用后，保修期内免费上门保修。保修期内非甲方的人为原因而出现产品质量及安装问题，由乙方负责包修、包换或包退，并承担因此而产生的一切费用。乙方应在收到甲方通知后在约定时间内派员到现场维修。质保期外，乙方保证继续向用户提供所需零配件，免费安装。</w:t>
      </w:r>
    </w:p>
    <w:p w14:paraId="77DCCC37">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2．乙方开通24小时服务热线，提供7×24小时技术服务。产品出现问题，故障响应时间不超过**分钟，到达现场时间不超过**小时，**小时无法排除故障，乙方应提供同款设备供用户使用，直至送修设备修好后换回为止。</w:t>
      </w:r>
    </w:p>
    <w:p w14:paraId="0480C425">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3．质保期内，乙方负责对其提供的系统及全部货物进行维修和软件维护、升级，不再向甲方收取费用，但人为因素、自然因素（如火灾、雷击等）造成的故障除外。</w:t>
      </w:r>
    </w:p>
    <w:p w14:paraId="1098610E">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4．所有设备和软件质保服务方式均为乙方上门保修，即由乙方派员到甲方设备使用现场维修，由此产生的一切费用均由乙方承担。</w:t>
      </w:r>
      <w:bookmarkStart w:id="17" w:name="page30"/>
      <w:bookmarkEnd w:id="17"/>
    </w:p>
    <w:p w14:paraId="3DA8B8F0">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5．乙方为甲方提供操作及维护培训，主要内容为设备的基本结构、性能、主要部件的构造及原理，日常使用操作、保养与管理，常见故障的排除，紧急情况的处理等，培训地点由甲方确定。</w:t>
      </w:r>
    </w:p>
    <w:p w14:paraId="4DA577D2">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6．乙方应按照磋商文件、响应文件及本合同的要求，对出售给甲方的货物进行有效跟踪服务，定期巡检，每年** 次。</w:t>
      </w:r>
    </w:p>
    <w:p w14:paraId="2779D055">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7．乙方需提供区域维修服务网络和技术保障能力情况；提供全寿命周期的主要耗损件、易损件及更换总成的目录和年度价格清单，并承诺保证供应且价格合理。</w:t>
      </w:r>
    </w:p>
    <w:p w14:paraId="42C788D2">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8．所有装备超过保修期后，**年内维修只收取零部件成本费。若有零部件出现故障，经权威部门鉴定属于寿命异常问题（明显短于该零部件正常寿命）时，则由乙方负责免费更换及维修。</w:t>
      </w:r>
    </w:p>
    <w:p w14:paraId="6C52588F">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2" w:firstLineChars="200"/>
        <w:jc w:val="both"/>
        <w:textAlignment w:val="auto"/>
        <w:outlineLvl w:val="1"/>
        <w:rPr>
          <w:rFonts w:hint="eastAsia" w:ascii="宋体" w:hAnsi="宋体" w:eastAsia="宋体" w:cs="宋体"/>
          <w:color w:val="auto"/>
          <w:sz w:val="24"/>
          <w:szCs w:val="24"/>
          <w:highlight w:val="none"/>
          <w:lang w:val="en-US"/>
        </w:rPr>
      </w:pPr>
      <w:bookmarkStart w:id="18" w:name="_Toc3608"/>
      <w:r>
        <w:rPr>
          <w:rFonts w:hint="eastAsia" w:ascii="宋体" w:hAnsi="宋体" w:eastAsia="宋体" w:cs="宋体"/>
          <w:b/>
          <w:color w:val="auto"/>
          <w:kern w:val="2"/>
          <w:sz w:val="24"/>
          <w:szCs w:val="24"/>
          <w:highlight w:val="none"/>
          <w:lang w:val="en-US" w:eastAsia="zh-CN" w:bidi="ar"/>
        </w:rPr>
        <w:t>八、索赔</w:t>
      </w:r>
      <w:bookmarkEnd w:id="18"/>
    </w:p>
    <w:p w14:paraId="4BCF7293">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1．产品经 2 次验收仍不合格的，甲方有权根据验收结果立即解除与乙方签订的合同，并向乙方提出索赔。</w:t>
      </w:r>
    </w:p>
    <w:p w14:paraId="592D522A">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2．在合同执行期间，如果乙方对甲方提出的索赔有异议，乙方应按照甲方同意的下列一种或多种方式解决索赔事宜：</w:t>
      </w:r>
    </w:p>
    <w:p w14:paraId="169072CE">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（1）乙方同意退货，并按合同规定的同种货币将货款退还给甲方，并承担由此发生的一切损失和费用。</w:t>
      </w:r>
    </w:p>
    <w:p w14:paraId="5CC21CCE">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（2）根据货物低劣程度、损坏程度以及甲方所遭受损失的数额甲乙双方商定降低货物的价格。</w:t>
      </w:r>
    </w:p>
    <w:p w14:paraId="6CEB61FF">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（3）用符合规格、质量和性能要求的新零件、部件或货物来更换有缺陷的部分或修补缺陷的部分，乙方应承担一切费用和风险并负有甲方所发生的一切直接费用。同时，相应延长质量保证期。</w:t>
      </w:r>
    </w:p>
    <w:p w14:paraId="64E52F25">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3．如果在甲方发出索赔通知后 5 天内，乙方未作答复，上述索赔应视为已被乙方接受。甲方将从合同款项中扣回索赔金额。如果这些金额不足以补偿索赔金额，甲方有权向乙方提出不足部分的补偿。</w:t>
      </w:r>
    </w:p>
    <w:p w14:paraId="55B1E78A">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2" w:firstLineChars="200"/>
        <w:jc w:val="both"/>
        <w:textAlignment w:val="auto"/>
        <w:outlineLvl w:val="1"/>
        <w:rPr>
          <w:rFonts w:hint="eastAsia" w:ascii="宋体" w:hAnsi="宋体" w:eastAsia="宋体" w:cs="宋体"/>
          <w:color w:val="auto"/>
          <w:sz w:val="24"/>
          <w:szCs w:val="24"/>
          <w:highlight w:val="none"/>
          <w:lang w:val="en-US"/>
        </w:rPr>
      </w:pPr>
      <w:bookmarkStart w:id="19" w:name="_Toc14593"/>
      <w:r>
        <w:rPr>
          <w:rFonts w:hint="eastAsia" w:ascii="宋体" w:hAnsi="宋体" w:eastAsia="宋体" w:cs="宋体"/>
          <w:b/>
          <w:color w:val="auto"/>
          <w:kern w:val="2"/>
          <w:sz w:val="24"/>
          <w:szCs w:val="24"/>
          <w:highlight w:val="none"/>
          <w:lang w:val="en-US" w:eastAsia="zh-CN" w:bidi="ar"/>
        </w:rPr>
        <w:t>九、违约与处罚</w:t>
      </w:r>
      <w:bookmarkEnd w:id="19"/>
    </w:p>
    <w:p w14:paraId="11E1AD38">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1．甲方应依合同规定时间内，向乙方支付货款，每拖延一天乙方可向甲方加收合同金额的万分之一的违约金，但不超过合同金额的2%。</w:t>
      </w:r>
    </w:p>
    <w:p w14:paraId="72E53181">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default"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2．乙方未能按时交货，每拖延一天，须向甲方支付合同金额的万分之三作为违约金。如逾期交货超过 30 天的，甲方有权单方面解除本合同且有权直接向质保保函及预付款保函的出具方要求返还甲方已支付的款项以及赔付合同价款的10%作为违约金，若保函出具方以其不承担违约责任为由拒绝退还甲方已付款项及拒绝支付违约金的，甲方有权要求乙方返还甲方已支付的款项以及赔付合同价款的10%作为违约金；如逾期交货超过 30 天，甲方选择继续履行本合同的，甲方有权向质保保函及预付款保函的出具方或乙方要求赔付10%合同款作为乙方的违约金。超过本合同第四条约定供货时间1倍及以上的，甲方有权单方面解除合同，并要求质保保函及预付款保函的出具方或乙方立即赔付合同价款的 10%作为违约金；因乙方原因不能交付货物，甲方有权解除合同，同时乙方须向甲方支付合同总价10％的违约金。同时甲方有权向采购监管部门申请将乙方列入失信行为记录名单，禁止乙方在3年内参与甲方及甲方下属机构的任何招投标采购活动。</w:t>
      </w:r>
    </w:p>
    <w:p w14:paraId="6E13F6C8">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3．</w:t>
      </w:r>
      <w:r>
        <w:rPr>
          <w:rFonts w:hint="eastAsia" w:ascii="宋体" w:hAnsi="宋体" w:eastAsia="宋体" w:cs="宋体"/>
          <w:b/>
          <w:color w:val="auto"/>
          <w:kern w:val="2"/>
          <w:sz w:val="24"/>
          <w:szCs w:val="24"/>
          <w:highlight w:val="none"/>
          <w:lang w:val="en-US" w:eastAsia="zh-CN" w:bidi="ar"/>
        </w:rPr>
        <w:t>乙方交付的货物质量或提供的证明材料不符合合同规定的或性能参数达不到招、响应文件要求的，甲方有权拒收或单方面解除合同，并要求质保保函及预付款保函的出具方或乙方赔付合同价款的10%作为违约金，</w:t>
      </w:r>
      <w:r>
        <w:rPr>
          <w:rFonts w:hint="eastAsia" w:ascii="宋体" w:hAnsi="宋体" w:eastAsia="宋体" w:cs="宋体"/>
          <w:color w:val="auto"/>
          <w:kern w:val="2"/>
          <w:sz w:val="24"/>
          <w:szCs w:val="24"/>
          <w:highlight w:val="none"/>
          <w:lang w:val="en-US" w:eastAsia="zh-CN" w:bidi="ar"/>
        </w:rPr>
        <w:t>同时甲方有权向采购监管部门申请将乙方列入失信行为记录名单，禁止乙方在3年内参与甲方及甲方下属机构的任何招投标采购活动。</w:t>
      </w:r>
    </w:p>
    <w:p w14:paraId="5ECEE597">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val="en-US"/>
        </w:rPr>
      </w:pPr>
      <w:r>
        <w:rPr>
          <w:rFonts w:hint="eastAsia" w:ascii="宋体" w:hAnsi="宋体" w:cs="宋体"/>
          <w:color w:val="auto"/>
          <w:kern w:val="2"/>
          <w:sz w:val="24"/>
          <w:szCs w:val="24"/>
          <w:highlight w:val="none"/>
          <w:lang w:val="en-US" w:eastAsia="zh-CN" w:bidi="ar"/>
        </w:rPr>
        <w:t>4</w:t>
      </w:r>
      <w:r>
        <w:rPr>
          <w:rFonts w:hint="eastAsia" w:ascii="宋体" w:hAnsi="宋体" w:eastAsia="宋体" w:cs="宋体"/>
          <w:color w:val="auto"/>
          <w:kern w:val="2"/>
          <w:sz w:val="24"/>
          <w:szCs w:val="24"/>
          <w:highlight w:val="none"/>
          <w:lang w:val="en-US" w:eastAsia="zh-CN" w:bidi="ar"/>
        </w:rPr>
        <w:t>．乙方未按本合同的规定和“服务承诺”提供售后服务的，应按合同总价款的1</w:t>
      </w:r>
      <w:r>
        <w:rPr>
          <w:rFonts w:hint="eastAsia" w:ascii="宋体" w:hAnsi="宋体" w:cs="宋体"/>
          <w:color w:val="auto"/>
          <w:kern w:val="2"/>
          <w:sz w:val="24"/>
          <w:szCs w:val="24"/>
          <w:highlight w:val="none"/>
          <w:lang w:val="en-US" w:eastAsia="zh-CN" w:bidi="ar"/>
        </w:rPr>
        <w:t>0</w:t>
      </w:r>
      <w:r>
        <w:rPr>
          <w:rFonts w:hint="eastAsia" w:ascii="宋体" w:hAnsi="宋体" w:eastAsia="宋体" w:cs="宋体"/>
          <w:color w:val="auto"/>
          <w:kern w:val="2"/>
          <w:sz w:val="24"/>
          <w:szCs w:val="24"/>
          <w:highlight w:val="none"/>
          <w:lang w:val="en-US" w:eastAsia="zh-CN" w:bidi="ar"/>
        </w:rPr>
        <w:t>%向甲方承担违约责任。</w:t>
      </w:r>
    </w:p>
    <w:p w14:paraId="533F3020">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val="en-US"/>
        </w:rPr>
      </w:pPr>
      <w:r>
        <w:rPr>
          <w:rFonts w:hint="eastAsia" w:ascii="宋体" w:hAnsi="宋体" w:cs="宋体"/>
          <w:color w:val="auto"/>
          <w:kern w:val="2"/>
          <w:sz w:val="24"/>
          <w:szCs w:val="24"/>
          <w:highlight w:val="none"/>
          <w:lang w:val="en-US" w:eastAsia="zh-CN" w:bidi="ar"/>
        </w:rPr>
        <w:t>5</w:t>
      </w:r>
      <w:r>
        <w:rPr>
          <w:rFonts w:hint="eastAsia" w:ascii="宋体" w:hAnsi="宋体" w:eastAsia="宋体" w:cs="宋体"/>
          <w:color w:val="auto"/>
          <w:kern w:val="2"/>
          <w:sz w:val="24"/>
          <w:szCs w:val="24"/>
          <w:highlight w:val="none"/>
          <w:lang w:val="en-US" w:eastAsia="zh-CN" w:bidi="ar"/>
        </w:rPr>
        <w:t>.在本合同约定的质量保证期内，如经乙方维修或更换，货物仍不能达到合同约定的质量标准，甲方有权退货，并按本合同第九项第3款处理，同时，乙方还须赔偿甲方因此遭受的其他经济损失。</w:t>
      </w:r>
    </w:p>
    <w:p w14:paraId="2172577D">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val="en-US"/>
        </w:rPr>
      </w:pPr>
      <w:r>
        <w:rPr>
          <w:rFonts w:hint="eastAsia" w:ascii="宋体" w:hAnsi="宋体" w:cs="宋体"/>
          <w:color w:val="auto"/>
          <w:kern w:val="2"/>
          <w:sz w:val="24"/>
          <w:szCs w:val="24"/>
          <w:highlight w:val="none"/>
          <w:lang w:val="en-US" w:eastAsia="zh-CN" w:bidi="ar"/>
        </w:rPr>
        <w:t>6</w:t>
      </w:r>
      <w:r>
        <w:rPr>
          <w:rFonts w:hint="eastAsia" w:ascii="宋体" w:hAnsi="宋体" w:eastAsia="宋体" w:cs="宋体"/>
          <w:color w:val="auto"/>
          <w:kern w:val="2"/>
          <w:sz w:val="24"/>
          <w:szCs w:val="24"/>
          <w:highlight w:val="none"/>
          <w:lang w:val="en-US" w:eastAsia="zh-CN" w:bidi="ar"/>
        </w:rPr>
        <w:t>．乙方未能按照故障响应时间履行售后维修、培训等服务的，甲方根据使用单位书面反馈情况，经核实属实的，有权要求质保保函及预付款保函的出具方或乙方承担合同金额的1%的违约责任。</w:t>
      </w:r>
    </w:p>
    <w:p w14:paraId="33966C5C">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kern w:val="2"/>
          <w:sz w:val="24"/>
          <w:szCs w:val="24"/>
          <w:highlight w:val="none"/>
          <w:lang w:val="en-US" w:eastAsia="zh-CN" w:bidi="ar"/>
        </w:rPr>
      </w:pPr>
      <w:r>
        <w:rPr>
          <w:rFonts w:hint="eastAsia" w:ascii="宋体" w:hAnsi="宋体" w:cs="宋体"/>
          <w:color w:val="auto"/>
          <w:kern w:val="2"/>
          <w:sz w:val="24"/>
          <w:szCs w:val="24"/>
          <w:highlight w:val="none"/>
          <w:lang w:val="en-US" w:eastAsia="zh-CN" w:bidi="ar"/>
        </w:rPr>
        <w:t>7</w:t>
      </w:r>
      <w:r>
        <w:rPr>
          <w:rFonts w:hint="eastAsia" w:ascii="宋体" w:hAnsi="宋体" w:eastAsia="宋体" w:cs="宋体"/>
          <w:color w:val="auto"/>
          <w:kern w:val="2"/>
          <w:sz w:val="24"/>
          <w:szCs w:val="24"/>
          <w:highlight w:val="none"/>
          <w:lang w:val="en-US" w:eastAsia="zh-CN" w:bidi="ar"/>
        </w:rPr>
        <w:t>．质保期满后，乙方未提供货物所有使用单位巡检记录的（提供质保期内每年开展4次的巡检记录，巡检记录须有使用单位的签字和盖章），甲方有权要求质保保函及预付款保函的出具方或乙方承担合同金额的5%作为违约金。</w:t>
      </w:r>
    </w:p>
    <w:p w14:paraId="5FFC1E39">
      <w:pPr>
        <w:pStyle w:val="22"/>
        <w:keepNext w:val="0"/>
        <w:keepLines w:val="0"/>
        <w:pageBreakBefore w:val="0"/>
        <w:widowControl w:val="0"/>
        <w:kinsoku/>
        <w:wordWrap/>
        <w:overflowPunct/>
        <w:topLinePunct w:val="0"/>
        <w:autoSpaceDE/>
        <w:autoSpaceDN/>
        <w:bidi w:val="0"/>
        <w:spacing w:line="360" w:lineRule="auto"/>
        <w:textAlignment w:val="auto"/>
        <w:rPr>
          <w:rFonts w:hint="default"/>
          <w:color w:val="auto"/>
          <w:highlight w:val="none"/>
          <w:lang w:val="en-US"/>
        </w:rPr>
      </w:pPr>
      <w:r>
        <w:rPr>
          <w:rFonts w:hint="eastAsia" w:cs="宋体"/>
          <w:color w:val="auto"/>
          <w:kern w:val="2"/>
          <w:sz w:val="24"/>
          <w:szCs w:val="24"/>
          <w:highlight w:val="none"/>
          <w:lang w:val="en-US" w:eastAsia="zh-CN" w:bidi="ar"/>
        </w:rPr>
        <w:t>8.</w:t>
      </w:r>
      <w:r>
        <w:rPr>
          <w:rFonts w:hint="eastAsia" w:ascii="宋体" w:hAnsi="宋体" w:cs="宋体"/>
          <w:color w:val="auto"/>
          <w:kern w:val="2"/>
          <w:sz w:val="24"/>
          <w:szCs w:val="24"/>
          <w:highlight w:val="none"/>
          <w:lang w:val="en-US" w:eastAsia="zh-CN" w:bidi="ar"/>
        </w:rPr>
        <w:t>乙方发生上述违约行为，除</w:t>
      </w:r>
      <w:r>
        <w:rPr>
          <w:rFonts w:hint="eastAsia" w:cs="宋体"/>
          <w:color w:val="auto"/>
          <w:kern w:val="2"/>
          <w:sz w:val="24"/>
          <w:szCs w:val="24"/>
          <w:highlight w:val="none"/>
          <w:lang w:val="en-US" w:eastAsia="zh-CN" w:bidi="ar"/>
        </w:rPr>
        <w:t>应</w:t>
      </w:r>
      <w:r>
        <w:rPr>
          <w:rFonts w:hint="eastAsia" w:ascii="宋体" w:hAnsi="宋体" w:cs="宋体"/>
          <w:color w:val="auto"/>
          <w:kern w:val="2"/>
          <w:sz w:val="24"/>
          <w:szCs w:val="24"/>
          <w:highlight w:val="none"/>
          <w:lang w:val="en-US" w:eastAsia="zh-CN" w:bidi="ar"/>
        </w:rPr>
        <w:t>承担相应违约金责任外，若造成甲方损失的，还应当承担赔偿损失责任以及甲方因维护其合法权益所支出的的一切费用（包括但不限于仲裁费、诉讼费、律师费、差旅费、保全费、诉讼财产保全责任保险费、公告费等）。</w:t>
      </w:r>
      <w:r>
        <w:rPr>
          <w:rFonts w:hint="eastAsia" w:cs="宋体"/>
          <w:color w:val="auto"/>
          <w:kern w:val="2"/>
          <w:sz w:val="24"/>
          <w:szCs w:val="24"/>
          <w:highlight w:val="none"/>
          <w:lang w:val="en-US" w:eastAsia="zh-CN" w:bidi="ar"/>
        </w:rPr>
        <w:t>若造成第三方损失的，还应当承担相应的赔偿损失责任。</w:t>
      </w:r>
    </w:p>
    <w:p w14:paraId="7462EE86">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2" w:firstLineChars="200"/>
        <w:jc w:val="both"/>
        <w:textAlignment w:val="auto"/>
        <w:rPr>
          <w:rFonts w:hint="eastAsia" w:ascii="宋体" w:hAnsi="宋体" w:eastAsia="宋体" w:cs="宋体"/>
          <w:b/>
          <w:color w:val="auto"/>
          <w:kern w:val="2"/>
          <w:sz w:val="24"/>
          <w:szCs w:val="24"/>
          <w:highlight w:val="none"/>
          <w:lang w:val="en-US" w:eastAsia="zh-CN" w:bidi="ar"/>
        </w:rPr>
      </w:pPr>
      <w:r>
        <w:rPr>
          <w:rFonts w:hint="eastAsia" w:ascii="宋体" w:hAnsi="宋体" w:eastAsia="宋体" w:cs="宋体"/>
          <w:b/>
          <w:color w:val="auto"/>
          <w:kern w:val="2"/>
          <w:sz w:val="24"/>
          <w:szCs w:val="24"/>
          <w:highlight w:val="none"/>
          <w:lang w:val="en-US" w:eastAsia="zh-CN" w:bidi="ar"/>
        </w:rPr>
        <w:t>十、不可抗力</w:t>
      </w:r>
    </w:p>
    <w:p w14:paraId="1AC78C3D">
      <w:pPr>
        <w:pStyle w:val="22"/>
        <w:keepNext w:val="0"/>
        <w:keepLines w:val="0"/>
        <w:pageBreakBefore w:val="0"/>
        <w:widowControl w:val="0"/>
        <w:kinsoku/>
        <w:wordWrap/>
        <w:overflowPunct/>
        <w:topLinePunct w:val="0"/>
        <w:autoSpaceDE/>
        <w:autoSpaceDN/>
        <w:bidi w:val="0"/>
        <w:spacing w:line="360" w:lineRule="auto"/>
        <w:textAlignment w:val="auto"/>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1.本合同所称不可抗力，是指其他本合同各方不能预见，而且对其发生和后果不能防止或不能避免且不可克服的客观情况，包括但不限于：战争、严重火灾、洪水、台风、地震、国家政策的重大改制等。</w:t>
      </w:r>
    </w:p>
    <w:p w14:paraId="23B9D597">
      <w:pPr>
        <w:pStyle w:val="22"/>
        <w:keepNext w:val="0"/>
        <w:keepLines w:val="0"/>
        <w:pageBreakBefore w:val="0"/>
        <w:widowControl w:val="0"/>
        <w:kinsoku/>
        <w:wordWrap/>
        <w:overflowPunct/>
        <w:topLinePunct w:val="0"/>
        <w:autoSpaceDE/>
        <w:autoSpaceDN/>
        <w:bidi w:val="0"/>
        <w:spacing w:line="360" w:lineRule="auto"/>
        <w:textAlignment w:val="auto"/>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2.本合同任何一方因不可抗力不能履行或不能完全履行本合同的义务时，应在不可抗力发生之日起3天内通知本合同的其他方，并在不可抗力发生之日起20天内向其他方提供由有关部门出具的不可抗力证明。</w:t>
      </w:r>
    </w:p>
    <w:p w14:paraId="7B739BD8">
      <w:pPr>
        <w:pStyle w:val="22"/>
        <w:keepNext w:val="0"/>
        <w:keepLines w:val="0"/>
        <w:pageBreakBefore w:val="0"/>
        <w:widowControl w:val="0"/>
        <w:kinsoku/>
        <w:wordWrap/>
        <w:overflowPunct/>
        <w:topLinePunct w:val="0"/>
        <w:autoSpaceDE/>
        <w:autoSpaceDN/>
        <w:bidi w:val="0"/>
        <w:spacing w:line="360" w:lineRule="auto"/>
        <w:textAlignment w:val="auto"/>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3.因不可抗力不能履行合同的，根据不可抗力的影响，受影响方部分或全部免除责任，但法律另有规定的除外，延迟履行合同后发生不可抗力的，不能免除责任。</w:t>
      </w:r>
    </w:p>
    <w:p w14:paraId="4B4D3646">
      <w:pPr>
        <w:pStyle w:val="22"/>
        <w:keepNext w:val="0"/>
        <w:keepLines w:val="0"/>
        <w:pageBreakBefore w:val="0"/>
        <w:widowControl w:val="0"/>
        <w:kinsoku/>
        <w:wordWrap/>
        <w:overflowPunct/>
        <w:topLinePunct w:val="0"/>
        <w:autoSpaceDE/>
        <w:autoSpaceDN/>
        <w:bidi w:val="0"/>
        <w:spacing w:line="360" w:lineRule="auto"/>
        <w:textAlignment w:val="auto"/>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4.如果因不可抗力的影响致使本合同终止履行90天或以上的，任一方均有权终止本合同，并书面通知对方。</w:t>
      </w:r>
    </w:p>
    <w:p w14:paraId="14AAF751">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2" w:firstLineChars="200"/>
        <w:jc w:val="both"/>
        <w:textAlignment w:val="auto"/>
        <w:outlineLvl w:val="1"/>
        <w:rPr>
          <w:rFonts w:hint="eastAsia" w:ascii="宋体" w:hAnsi="宋体" w:eastAsia="宋体" w:cs="宋体"/>
          <w:b/>
          <w:color w:val="auto"/>
          <w:kern w:val="2"/>
          <w:sz w:val="24"/>
          <w:szCs w:val="24"/>
          <w:highlight w:val="none"/>
          <w:lang w:val="en-US" w:eastAsia="zh-CN" w:bidi="ar"/>
        </w:rPr>
      </w:pPr>
      <w:bookmarkStart w:id="20" w:name="_Toc10730"/>
      <w:r>
        <w:rPr>
          <w:rFonts w:hint="eastAsia" w:ascii="宋体" w:hAnsi="宋体" w:eastAsia="宋体" w:cs="宋体"/>
          <w:b/>
          <w:color w:val="auto"/>
          <w:kern w:val="2"/>
          <w:sz w:val="24"/>
          <w:szCs w:val="24"/>
          <w:highlight w:val="none"/>
          <w:lang w:val="en-US" w:eastAsia="zh-CN" w:bidi="ar"/>
        </w:rPr>
        <w:t>十一、合同终止与法律诉讼</w:t>
      </w:r>
    </w:p>
    <w:p w14:paraId="707CAB42">
      <w:pPr>
        <w:pStyle w:val="22"/>
        <w:keepNext w:val="0"/>
        <w:keepLines w:val="0"/>
        <w:pageBreakBefore w:val="0"/>
        <w:widowControl w:val="0"/>
        <w:kinsoku/>
        <w:wordWrap/>
        <w:overflowPunct/>
        <w:topLinePunct w:val="0"/>
        <w:autoSpaceDE/>
        <w:autoSpaceDN/>
        <w:bidi w:val="0"/>
        <w:spacing w:line="360" w:lineRule="auto"/>
        <w:textAlignment w:val="auto"/>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1．如甲乙任一方违反本合同约定，并在收到对方违约通知书后的 10 天内仍未能采取有效措施阻止违约行为继续发生的，另一方可立即终止本合同, 并追究违约方给守约方所造成的损失赔偿责任。</w:t>
      </w:r>
    </w:p>
    <w:p w14:paraId="3E60F94F">
      <w:pPr>
        <w:pStyle w:val="22"/>
        <w:keepNext w:val="0"/>
        <w:keepLines w:val="0"/>
        <w:pageBreakBefore w:val="0"/>
        <w:widowControl w:val="0"/>
        <w:kinsoku/>
        <w:wordWrap/>
        <w:overflowPunct/>
        <w:topLinePunct w:val="0"/>
        <w:autoSpaceDE/>
        <w:autoSpaceDN/>
        <w:bidi w:val="0"/>
        <w:spacing w:line="360" w:lineRule="auto"/>
        <w:textAlignment w:val="auto"/>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2．因履行本合同引起的或与本合同有关的争议，甲、乙双方应首先通过友好协商解决，如果协商不能解决争议，可向甲方所在地人民法院提起诉讼。</w:t>
      </w:r>
    </w:p>
    <w:p w14:paraId="7BF4CB75">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2" w:firstLineChars="200"/>
        <w:jc w:val="both"/>
        <w:textAlignment w:val="auto"/>
        <w:outlineLvl w:val="1"/>
        <w:rPr>
          <w:rFonts w:hint="eastAsia" w:ascii="宋体" w:hAnsi="宋体" w:eastAsia="宋体" w:cs="宋体"/>
          <w:color w:val="auto"/>
          <w:sz w:val="24"/>
          <w:szCs w:val="24"/>
          <w:highlight w:val="none"/>
          <w:lang w:val="en-US"/>
        </w:rPr>
      </w:pPr>
      <w:r>
        <w:rPr>
          <w:rFonts w:hint="eastAsia" w:ascii="宋体" w:hAnsi="宋体" w:eastAsia="宋体" w:cs="宋体"/>
          <w:b/>
          <w:color w:val="auto"/>
          <w:kern w:val="2"/>
          <w:sz w:val="24"/>
          <w:szCs w:val="24"/>
          <w:highlight w:val="none"/>
          <w:lang w:val="en-US" w:eastAsia="zh-CN" w:bidi="ar"/>
        </w:rPr>
        <w:t>十二、其他</w:t>
      </w:r>
      <w:bookmarkEnd w:id="20"/>
    </w:p>
    <w:p w14:paraId="567A4D13">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1．合同标的物只有在全部验收合格后甲方才正式接收。在此之前，乙方提供的标的物存在损毁、灭失以及发生火灾等潜在风险由乙方承担，甲方概不负责。验收合格后，上述风险由甲方承担。</w:t>
      </w:r>
    </w:p>
    <w:p w14:paraId="2A363C61">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2.甲方将把验收中发现的问题记录在案，作为以后招标采购中的诚信参考依据。</w:t>
      </w:r>
    </w:p>
    <w:p w14:paraId="4D9ACDC0">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3．合同执行期间，甲乙双方要共同遵守国家有关法律和廉政建设相关规定，甲方不得收受乙方提成、回扣、礼品礼金等，以及不得发生任何不廉洁、违纪的情况；乙方不以任何理由向甲方单位及其工作人员赠送礼金、有价证券、贵重物品和回扣、好处费、感谢费等。</w:t>
      </w:r>
    </w:p>
    <w:p w14:paraId="1FFA2909">
      <w:pPr>
        <w:pStyle w:val="22"/>
        <w:keepNext w:val="0"/>
        <w:keepLines w:val="0"/>
        <w:pageBreakBefore w:val="0"/>
        <w:widowControl w:val="0"/>
        <w:kinsoku/>
        <w:wordWrap/>
        <w:overflowPunct/>
        <w:topLinePunct w:val="0"/>
        <w:autoSpaceDE/>
        <w:autoSpaceDN/>
        <w:bidi w:val="0"/>
        <w:spacing w:line="360" w:lineRule="auto"/>
        <w:textAlignment w:val="auto"/>
        <w:rPr>
          <w:rFonts w:hint="default" w:cs="宋体"/>
          <w:color w:val="auto"/>
          <w:highlight w:val="none"/>
          <w:lang w:val="en-US" w:eastAsia="zh-CN" w:bidi="ar"/>
        </w:rPr>
      </w:pPr>
      <w:r>
        <w:rPr>
          <w:rFonts w:hint="eastAsia" w:cs="宋体"/>
          <w:color w:val="auto"/>
          <w:kern w:val="2"/>
          <w:sz w:val="24"/>
          <w:szCs w:val="24"/>
          <w:highlight w:val="none"/>
          <w:lang w:val="en-US" w:eastAsia="zh-CN" w:bidi="ar"/>
        </w:rPr>
        <w:t>4.除甲方事先书面同意外，乙方不得将自己应履行的全部或部分合同义务转让给他人，不得以其对甲方所享有的债权向任何第三方提供任何形式的保证或担保。若出现此类似情况，乙方承担本</w:t>
      </w:r>
      <w:r>
        <w:rPr>
          <w:rFonts w:hint="eastAsia" w:ascii="宋体" w:hAnsi="宋体" w:eastAsia="宋体" w:cs="宋体"/>
          <w:b w:val="0"/>
          <w:color w:val="auto"/>
          <w:kern w:val="2"/>
          <w:sz w:val="24"/>
          <w:szCs w:val="24"/>
          <w:highlight w:val="none"/>
          <w:lang w:val="en-US" w:eastAsia="zh-CN" w:bidi="ar"/>
        </w:rPr>
        <w:t>合同价款的10%</w:t>
      </w:r>
      <w:r>
        <w:rPr>
          <w:rFonts w:hint="eastAsia" w:cs="宋体"/>
          <w:b w:val="0"/>
          <w:color w:val="auto"/>
          <w:kern w:val="2"/>
          <w:sz w:val="24"/>
          <w:szCs w:val="24"/>
          <w:highlight w:val="none"/>
          <w:lang w:val="en-US" w:eastAsia="zh-CN" w:bidi="ar"/>
        </w:rPr>
        <w:t>的</w:t>
      </w:r>
      <w:r>
        <w:rPr>
          <w:rFonts w:hint="eastAsia" w:ascii="宋体" w:hAnsi="宋体" w:eastAsia="宋体" w:cs="宋体"/>
          <w:b w:val="0"/>
          <w:color w:val="auto"/>
          <w:kern w:val="2"/>
          <w:sz w:val="24"/>
          <w:szCs w:val="24"/>
          <w:highlight w:val="none"/>
          <w:lang w:val="en-US" w:eastAsia="zh-CN" w:bidi="ar"/>
        </w:rPr>
        <w:t>违约金</w:t>
      </w:r>
      <w:r>
        <w:rPr>
          <w:rFonts w:hint="eastAsia" w:cs="宋体"/>
          <w:b w:val="0"/>
          <w:color w:val="auto"/>
          <w:kern w:val="2"/>
          <w:sz w:val="24"/>
          <w:szCs w:val="24"/>
          <w:highlight w:val="none"/>
          <w:lang w:val="en-US" w:eastAsia="zh-CN" w:bidi="ar"/>
        </w:rPr>
        <w:t>并赔偿甲方损失。</w:t>
      </w:r>
    </w:p>
    <w:p w14:paraId="194230A7">
      <w:pPr>
        <w:pStyle w:val="22"/>
        <w:keepNext w:val="0"/>
        <w:keepLines w:val="0"/>
        <w:pageBreakBefore w:val="0"/>
        <w:widowControl w:val="0"/>
        <w:kinsoku/>
        <w:wordWrap/>
        <w:overflowPunct/>
        <w:topLinePunct w:val="0"/>
        <w:autoSpaceDE/>
        <w:autoSpaceDN/>
        <w:bidi w:val="0"/>
        <w:spacing w:line="360" w:lineRule="auto"/>
        <w:textAlignment w:val="auto"/>
        <w:rPr>
          <w:rFonts w:hint="eastAsia" w:cs="宋体"/>
          <w:color w:val="auto"/>
          <w:kern w:val="2"/>
          <w:sz w:val="24"/>
          <w:szCs w:val="24"/>
          <w:highlight w:val="none"/>
          <w:lang w:val="en-US" w:eastAsia="zh-CN" w:bidi="ar"/>
        </w:rPr>
      </w:pPr>
      <w:r>
        <w:rPr>
          <w:rFonts w:hint="eastAsia" w:cs="宋体"/>
          <w:color w:val="auto"/>
          <w:kern w:val="2"/>
          <w:sz w:val="24"/>
          <w:szCs w:val="24"/>
          <w:highlight w:val="none"/>
          <w:lang w:val="en-US" w:eastAsia="zh-CN" w:bidi="ar"/>
        </w:rPr>
        <w:t>5.本合同项下任何一方向对方发出的通知、信件、数据电文等，应当发送至本合同约定的地址、联系人和通信终端。一方当事人变更名称、地址、联系人或通信终端的，应当在变更后3日内及时书面通知对方当事人，对方当事人实际收到变更通知前的送达仍为有效送达，电子送达与书面送达具有同等法律效力。</w:t>
      </w:r>
    </w:p>
    <w:p w14:paraId="17F222C4">
      <w:pPr>
        <w:pStyle w:val="22"/>
        <w:keepNext w:val="0"/>
        <w:keepLines w:val="0"/>
        <w:pageBreakBefore w:val="0"/>
        <w:widowControl w:val="0"/>
        <w:kinsoku/>
        <w:wordWrap/>
        <w:overflowPunct/>
        <w:topLinePunct w:val="0"/>
        <w:autoSpaceDE/>
        <w:autoSpaceDN/>
        <w:bidi w:val="0"/>
        <w:spacing w:line="360" w:lineRule="auto"/>
        <w:textAlignment w:val="auto"/>
        <w:rPr>
          <w:rFonts w:hint="default" w:cs="宋体"/>
          <w:color w:val="auto"/>
          <w:kern w:val="2"/>
          <w:sz w:val="24"/>
          <w:szCs w:val="24"/>
          <w:highlight w:val="none"/>
          <w:lang w:val="en-US" w:eastAsia="zh-CN" w:bidi="ar"/>
        </w:rPr>
      </w:pPr>
      <w:r>
        <w:rPr>
          <w:rFonts w:hint="eastAsia" w:cs="宋体"/>
          <w:color w:val="auto"/>
          <w:kern w:val="2"/>
          <w:sz w:val="24"/>
          <w:szCs w:val="24"/>
          <w:highlight w:val="none"/>
          <w:lang w:val="en-US" w:eastAsia="zh-CN" w:bidi="ar"/>
        </w:rPr>
        <w:t>6.</w:t>
      </w:r>
      <w:r>
        <w:rPr>
          <w:rFonts w:hint="default" w:cs="宋体"/>
          <w:color w:val="auto"/>
          <w:kern w:val="2"/>
          <w:sz w:val="24"/>
          <w:szCs w:val="24"/>
          <w:highlight w:val="none"/>
          <w:lang w:val="en-US" w:eastAsia="zh-CN" w:bidi="ar"/>
        </w:rPr>
        <w:t>任何一方当事人向对方所发出的信件，自信件交邮后的第7日视为送达；发出的短信/传真/微信/电子邮件，自前述电子文件内容在发送方正确填写地址且未被系统退回的情况下，视为进入对方数据电文接收系统即视为送达。若送达日为非工作日, 则视为在下一工作日送达。</w:t>
      </w:r>
    </w:p>
    <w:p w14:paraId="4255C1D3">
      <w:pPr>
        <w:pStyle w:val="22"/>
        <w:keepNext w:val="0"/>
        <w:keepLines w:val="0"/>
        <w:pageBreakBefore w:val="0"/>
        <w:widowControl w:val="0"/>
        <w:kinsoku/>
        <w:wordWrap/>
        <w:overflowPunct/>
        <w:topLinePunct w:val="0"/>
        <w:autoSpaceDE/>
        <w:autoSpaceDN/>
        <w:bidi w:val="0"/>
        <w:spacing w:line="360" w:lineRule="auto"/>
        <w:textAlignment w:val="auto"/>
        <w:rPr>
          <w:rFonts w:hint="eastAsia" w:cs="宋体"/>
          <w:color w:val="auto"/>
          <w:kern w:val="2"/>
          <w:sz w:val="24"/>
          <w:szCs w:val="24"/>
          <w:highlight w:val="none"/>
          <w:lang w:val="en-US" w:eastAsia="zh-CN" w:bidi="ar"/>
        </w:rPr>
      </w:pPr>
      <w:r>
        <w:rPr>
          <w:rFonts w:hint="eastAsia" w:cs="宋体"/>
          <w:color w:val="auto"/>
          <w:kern w:val="2"/>
          <w:sz w:val="24"/>
          <w:szCs w:val="24"/>
          <w:highlight w:val="none"/>
          <w:lang w:val="en-US" w:eastAsia="zh-CN" w:bidi="ar"/>
        </w:rPr>
        <w:t>甲方有效电子邮件地址：</w:t>
      </w:r>
    </w:p>
    <w:p w14:paraId="02CFF649">
      <w:pPr>
        <w:pStyle w:val="22"/>
        <w:keepNext w:val="0"/>
        <w:keepLines w:val="0"/>
        <w:pageBreakBefore w:val="0"/>
        <w:widowControl w:val="0"/>
        <w:kinsoku/>
        <w:wordWrap/>
        <w:overflowPunct/>
        <w:topLinePunct w:val="0"/>
        <w:autoSpaceDE/>
        <w:autoSpaceDN/>
        <w:bidi w:val="0"/>
        <w:spacing w:line="360" w:lineRule="auto"/>
        <w:textAlignment w:val="auto"/>
        <w:rPr>
          <w:rFonts w:hint="eastAsia" w:cs="宋体"/>
          <w:color w:val="auto"/>
          <w:kern w:val="2"/>
          <w:sz w:val="24"/>
          <w:szCs w:val="24"/>
          <w:highlight w:val="none"/>
          <w:lang w:val="en-US" w:eastAsia="zh-CN" w:bidi="ar"/>
        </w:rPr>
      </w:pPr>
      <w:r>
        <w:rPr>
          <w:rFonts w:hint="eastAsia" w:cs="宋体"/>
          <w:color w:val="auto"/>
          <w:kern w:val="2"/>
          <w:sz w:val="24"/>
          <w:szCs w:val="24"/>
          <w:highlight w:val="none"/>
          <w:lang w:val="en-US" w:eastAsia="zh-CN" w:bidi="ar"/>
        </w:rPr>
        <w:t>乙方有效电子邮件地址：</w:t>
      </w:r>
    </w:p>
    <w:p w14:paraId="57072127">
      <w:pPr>
        <w:pStyle w:val="22"/>
        <w:keepNext w:val="0"/>
        <w:keepLines w:val="0"/>
        <w:pageBreakBefore w:val="0"/>
        <w:widowControl w:val="0"/>
        <w:kinsoku/>
        <w:wordWrap/>
        <w:overflowPunct/>
        <w:topLinePunct w:val="0"/>
        <w:autoSpaceDE/>
        <w:autoSpaceDN/>
        <w:bidi w:val="0"/>
        <w:spacing w:line="360" w:lineRule="auto"/>
        <w:textAlignment w:val="auto"/>
        <w:rPr>
          <w:rFonts w:hint="default" w:cs="宋体"/>
          <w:color w:val="auto"/>
          <w:kern w:val="2"/>
          <w:sz w:val="24"/>
          <w:szCs w:val="24"/>
          <w:highlight w:val="none"/>
          <w:lang w:val="en-US" w:eastAsia="zh-CN" w:bidi="ar"/>
        </w:rPr>
      </w:pPr>
      <w:r>
        <w:rPr>
          <w:rFonts w:hint="eastAsia" w:cs="宋体"/>
          <w:color w:val="auto"/>
          <w:kern w:val="2"/>
          <w:sz w:val="24"/>
          <w:szCs w:val="24"/>
          <w:highlight w:val="none"/>
          <w:lang w:val="en-US" w:eastAsia="zh-CN" w:bidi="ar"/>
        </w:rPr>
        <w:t xml:space="preserve">   7.</w:t>
      </w:r>
      <w:r>
        <w:rPr>
          <w:rFonts w:hint="default" w:cs="宋体"/>
          <w:color w:val="auto"/>
          <w:kern w:val="2"/>
          <w:sz w:val="24"/>
          <w:szCs w:val="24"/>
          <w:highlight w:val="none"/>
          <w:lang w:val="en-US" w:eastAsia="zh-CN" w:bidi="ar"/>
        </w:rPr>
        <w:t>本合同</w:t>
      </w:r>
      <w:r>
        <w:rPr>
          <w:rFonts w:hint="eastAsia" w:cs="宋体"/>
          <w:color w:val="auto"/>
          <w:kern w:val="2"/>
          <w:sz w:val="24"/>
          <w:szCs w:val="24"/>
          <w:highlight w:val="none"/>
          <w:lang w:val="en-US" w:eastAsia="zh-CN" w:bidi="ar"/>
        </w:rPr>
        <w:t>记载</w:t>
      </w:r>
      <w:r>
        <w:rPr>
          <w:rFonts w:hint="default" w:cs="宋体"/>
          <w:color w:val="auto"/>
          <w:kern w:val="2"/>
          <w:sz w:val="24"/>
          <w:szCs w:val="24"/>
          <w:highlight w:val="none"/>
          <w:lang w:val="en-US" w:eastAsia="zh-CN" w:bidi="ar"/>
        </w:rPr>
        <w:t>的地址、联系人及电子通信终端亦为双方工作联系往来、法律文书及争议解决时人民法院或仲裁机构的法律文书送达地址，人民法院或仲裁机构的诉讼文书（含裁判文书）向合同任何一方当事人的地址送达的，视为有效送达。当事人对电子通信终端的联系送达适用于争议解决时的送达。</w:t>
      </w:r>
      <w:r>
        <w:rPr>
          <w:rFonts w:hint="eastAsia" w:cs="宋体"/>
          <w:color w:val="auto"/>
          <w:kern w:val="2"/>
          <w:sz w:val="24"/>
          <w:szCs w:val="24"/>
          <w:highlight w:val="none"/>
          <w:lang w:val="en-US" w:eastAsia="zh-CN" w:bidi="ar"/>
        </w:rPr>
        <w:t>本合同记载的送达地址变更的，变更地址的一方应于地址变更之日起3日内通知另一方，否则按照本合同记载的地址送达的，视为有效送达。</w:t>
      </w:r>
    </w:p>
    <w:p w14:paraId="5760B104">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val="en-US"/>
        </w:rPr>
      </w:pPr>
      <w:r>
        <w:rPr>
          <w:rFonts w:hint="eastAsia" w:ascii="宋体" w:hAnsi="宋体" w:cs="宋体"/>
          <w:color w:val="auto"/>
          <w:kern w:val="2"/>
          <w:sz w:val="24"/>
          <w:szCs w:val="24"/>
          <w:highlight w:val="none"/>
          <w:lang w:val="en-US" w:eastAsia="zh-CN" w:bidi="ar"/>
        </w:rPr>
        <w:t>8</w:t>
      </w:r>
      <w:r>
        <w:rPr>
          <w:rFonts w:hint="eastAsia" w:ascii="宋体" w:hAnsi="宋体" w:eastAsia="宋体" w:cs="宋体"/>
          <w:color w:val="auto"/>
          <w:kern w:val="2"/>
          <w:sz w:val="24"/>
          <w:szCs w:val="24"/>
          <w:highlight w:val="none"/>
          <w:lang w:val="en-US" w:eastAsia="zh-CN" w:bidi="ar"/>
        </w:rPr>
        <w:t>．合同一式陆份，中文书写。甲方执肆份，乙方执壹份，壹份由采购代理机构备案。</w:t>
      </w:r>
    </w:p>
    <w:p w14:paraId="4CD17661">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val="en-US"/>
        </w:rPr>
      </w:pPr>
      <w:r>
        <w:rPr>
          <w:rFonts w:hint="eastAsia" w:ascii="宋体" w:hAnsi="宋体" w:cs="宋体"/>
          <w:color w:val="auto"/>
          <w:kern w:val="2"/>
          <w:sz w:val="24"/>
          <w:szCs w:val="24"/>
          <w:highlight w:val="none"/>
          <w:lang w:val="en-US" w:eastAsia="zh-CN" w:bidi="ar"/>
        </w:rPr>
        <w:t>9</w:t>
      </w:r>
      <w:r>
        <w:rPr>
          <w:rFonts w:hint="eastAsia" w:ascii="宋体" w:hAnsi="宋体" w:eastAsia="宋体" w:cs="宋体"/>
          <w:color w:val="auto"/>
          <w:kern w:val="2"/>
          <w:sz w:val="24"/>
          <w:szCs w:val="24"/>
          <w:highlight w:val="none"/>
          <w:lang w:val="en-US" w:eastAsia="zh-CN" w:bidi="ar"/>
        </w:rPr>
        <w:t>．本合同未尽事宜，由双方友好协商解决。</w:t>
      </w:r>
    </w:p>
    <w:p w14:paraId="41F004DA">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kern w:val="2"/>
          <w:sz w:val="24"/>
          <w:szCs w:val="24"/>
          <w:highlight w:val="none"/>
          <w:lang w:val="en-US" w:eastAsia="zh-CN" w:bidi="ar"/>
        </w:rPr>
      </w:pPr>
      <w:r>
        <w:rPr>
          <w:rFonts w:hint="eastAsia" w:ascii="宋体" w:hAnsi="宋体" w:cs="宋体"/>
          <w:color w:val="auto"/>
          <w:kern w:val="2"/>
          <w:sz w:val="24"/>
          <w:szCs w:val="24"/>
          <w:highlight w:val="none"/>
          <w:lang w:val="en-US" w:eastAsia="zh-CN" w:bidi="ar"/>
        </w:rPr>
        <w:t>10</w:t>
      </w:r>
      <w:r>
        <w:rPr>
          <w:rFonts w:hint="eastAsia" w:ascii="宋体" w:hAnsi="宋体" w:eastAsia="宋体" w:cs="宋体"/>
          <w:color w:val="auto"/>
          <w:kern w:val="2"/>
          <w:sz w:val="24"/>
          <w:szCs w:val="24"/>
          <w:highlight w:val="none"/>
          <w:lang w:val="en-US" w:eastAsia="zh-CN" w:bidi="ar"/>
        </w:rPr>
        <w:t>．本合同自双方签署起立即生效。</w:t>
      </w:r>
    </w:p>
    <w:p w14:paraId="08D0A2BB">
      <w:pPr>
        <w:keepNext w:val="0"/>
        <w:keepLines w:val="0"/>
        <w:pageBreakBefore w:val="0"/>
        <w:widowControl w:val="0"/>
        <w:kinsoku/>
        <w:wordWrap/>
        <w:overflowPunct/>
        <w:topLinePunct w:val="0"/>
        <w:autoSpaceDE/>
        <w:autoSpaceDN/>
        <w:bidi w:val="0"/>
        <w:spacing w:line="360" w:lineRule="auto"/>
        <w:textAlignment w:val="auto"/>
        <w:rPr>
          <w:rFonts w:hint="eastAsia" w:ascii="宋体" w:hAnsi="宋体" w:eastAsia="宋体" w:cs="宋体"/>
          <w:color w:val="auto"/>
          <w:kern w:val="2"/>
          <w:sz w:val="24"/>
          <w:szCs w:val="24"/>
          <w:highlight w:val="none"/>
          <w:lang w:val="en-US" w:eastAsia="zh-CN" w:bidi="ar"/>
        </w:rPr>
      </w:pPr>
    </w:p>
    <w:p w14:paraId="44785985">
      <w:pPr>
        <w:pStyle w:val="22"/>
        <w:rPr>
          <w:rFonts w:hint="eastAsia"/>
          <w:color w:val="auto"/>
          <w:highlight w:val="none"/>
          <w:lang w:val="en-US" w:eastAsia="zh-CN"/>
        </w:rPr>
      </w:pPr>
    </w:p>
    <w:tbl>
      <w:tblPr>
        <w:tblStyle w:val="23"/>
        <w:tblW w:w="8895" w:type="dxa"/>
        <w:jc w:val="center"/>
        <w:tblLayout w:type="fixed"/>
        <w:tblCellMar>
          <w:top w:w="0" w:type="dxa"/>
          <w:left w:w="108" w:type="dxa"/>
          <w:bottom w:w="0" w:type="dxa"/>
          <w:right w:w="108" w:type="dxa"/>
        </w:tblCellMar>
      </w:tblPr>
      <w:tblGrid>
        <w:gridCol w:w="4696"/>
        <w:gridCol w:w="4199"/>
      </w:tblGrid>
      <w:tr w14:paraId="31C939C1">
        <w:tblPrEx>
          <w:tblCellMar>
            <w:top w:w="0" w:type="dxa"/>
            <w:left w:w="108" w:type="dxa"/>
            <w:bottom w:w="0" w:type="dxa"/>
            <w:right w:w="108" w:type="dxa"/>
          </w:tblCellMar>
        </w:tblPrEx>
        <w:trPr>
          <w:trHeight w:val="454" w:hRule="atLeast"/>
          <w:jc w:val="center"/>
        </w:trPr>
        <w:tc>
          <w:tcPr>
            <w:tcW w:w="4697" w:type="dxa"/>
            <w:noWrap/>
            <w:vAlign w:val="center"/>
          </w:tcPr>
          <w:p w14:paraId="63C04533">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甲方（盖章）：</w:t>
            </w:r>
          </w:p>
        </w:tc>
        <w:tc>
          <w:tcPr>
            <w:tcW w:w="4200" w:type="dxa"/>
            <w:noWrap/>
            <w:vAlign w:val="center"/>
          </w:tcPr>
          <w:p w14:paraId="65039C8D">
            <w:pPr>
              <w:keepNext w:val="0"/>
              <w:keepLines w:val="0"/>
              <w:widowControl w:val="0"/>
              <w:suppressLineNumbers w:val="0"/>
              <w:tabs>
                <w:tab w:val="left" w:pos="0"/>
              </w:tabs>
              <w:spacing w:before="0" w:beforeAutospacing="0" w:after="0" w:afterAutospacing="0" w:line="360" w:lineRule="auto"/>
              <w:ind w:left="0" w:right="0"/>
              <w:jc w:val="both"/>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 xml:space="preserve">乙方（盖章）： </w:t>
            </w:r>
          </w:p>
        </w:tc>
      </w:tr>
      <w:tr w14:paraId="7C0104BB">
        <w:tblPrEx>
          <w:tblCellMar>
            <w:top w:w="0" w:type="dxa"/>
            <w:left w:w="108" w:type="dxa"/>
            <w:bottom w:w="0" w:type="dxa"/>
            <w:right w:w="108" w:type="dxa"/>
          </w:tblCellMar>
        </w:tblPrEx>
        <w:trPr>
          <w:trHeight w:val="454" w:hRule="atLeast"/>
          <w:jc w:val="center"/>
        </w:trPr>
        <w:tc>
          <w:tcPr>
            <w:tcW w:w="4697" w:type="dxa"/>
            <w:noWrap/>
            <w:vAlign w:val="center"/>
          </w:tcPr>
          <w:p w14:paraId="599BB904">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甲方法定代表或委托代理人：</w:t>
            </w:r>
          </w:p>
        </w:tc>
        <w:tc>
          <w:tcPr>
            <w:tcW w:w="4200" w:type="dxa"/>
            <w:noWrap/>
            <w:vAlign w:val="center"/>
          </w:tcPr>
          <w:p w14:paraId="6B9FC1DB">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乙方法定代表（签字）：</w:t>
            </w:r>
          </w:p>
        </w:tc>
      </w:tr>
      <w:tr w14:paraId="51F710F1">
        <w:tblPrEx>
          <w:tblCellMar>
            <w:top w:w="0" w:type="dxa"/>
            <w:left w:w="108" w:type="dxa"/>
            <w:bottom w:w="0" w:type="dxa"/>
            <w:right w:w="108" w:type="dxa"/>
          </w:tblCellMar>
        </w:tblPrEx>
        <w:trPr>
          <w:trHeight w:val="454" w:hRule="atLeast"/>
          <w:jc w:val="center"/>
        </w:trPr>
        <w:tc>
          <w:tcPr>
            <w:tcW w:w="4697" w:type="dxa"/>
            <w:noWrap/>
            <w:vAlign w:val="center"/>
          </w:tcPr>
          <w:p w14:paraId="2E51780C">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b/>
                <w:color w:val="auto"/>
                <w:sz w:val="24"/>
                <w:szCs w:val="24"/>
                <w:highlight w:val="none"/>
                <w:lang w:val="en-US"/>
              </w:rPr>
            </w:pPr>
          </w:p>
        </w:tc>
        <w:tc>
          <w:tcPr>
            <w:tcW w:w="4200" w:type="dxa"/>
            <w:noWrap/>
            <w:vAlign w:val="center"/>
          </w:tcPr>
          <w:p w14:paraId="77D2031D">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委托代理人：</w:t>
            </w:r>
          </w:p>
        </w:tc>
      </w:tr>
      <w:tr w14:paraId="217C5A6A">
        <w:tblPrEx>
          <w:tblCellMar>
            <w:top w:w="0" w:type="dxa"/>
            <w:left w:w="108" w:type="dxa"/>
            <w:bottom w:w="0" w:type="dxa"/>
            <w:right w:w="108" w:type="dxa"/>
          </w:tblCellMar>
        </w:tblPrEx>
        <w:trPr>
          <w:trHeight w:val="454" w:hRule="atLeast"/>
          <w:jc w:val="center"/>
        </w:trPr>
        <w:tc>
          <w:tcPr>
            <w:tcW w:w="4697" w:type="dxa"/>
            <w:noWrap/>
            <w:vAlign w:val="center"/>
          </w:tcPr>
          <w:p w14:paraId="661B245B">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地 址：</w:t>
            </w:r>
          </w:p>
        </w:tc>
        <w:tc>
          <w:tcPr>
            <w:tcW w:w="4200" w:type="dxa"/>
            <w:noWrap/>
            <w:vAlign w:val="center"/>
          </w:tcPr>
          <w:p w14:paraId="4E0EED47">
            <w:pPr>
              <w:keepNext w:val="0"/>
              <w:keepLines w:val="0"/>
              <w:widowControl w:val="0"/>
              <w:suppressLineNumbers w:val="0"/>
              <w:spacing w:before="0" w:beforeAutospacing="0" w:after="0" w:afterAutospacing="0" w:line="360" w:lineRule="auto"/>
              <w:ind w:left="6480" w:right="0" w:hanging="6480" w:hangingChars="2700"/>
              <w:jc w:val="both"/>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地 址：</w:t>
            </w:r>
          </w:p>
        </w:tc>
      </w:tr>
      <w:tr w14:paraId="7B5F4324">
        <w:tblPrEx>
          <w:tblCellMar>
            <w:top w:w="0" w:type="dxa"/>
            <w:left w:w="108" w:type="dxa"/>
            <w:bottom w:w="0" w:type="dxa"/>
            <w:right w:w="108" w:type="dxa"/>
          </w:tblCellMar>
        </w:tblPrEx>
        <w:trPr>
          <w:trHeight w:val="454" w:hRule="atLeast"/>
          <w:jc w:val="center"/>
        </w:trPr>
        <w:tc>
          <w:tcPr>
            <w:tcW w:w="4697" w:type="dxa"/>
            <w:noWrap/>
            <w:vAlign w:val="center"/>
          </w:tcPr>
          <w:p w14:paraId="181CAD2F">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邮政编码：</w:t>
            </w:r>
          </w:p>
        </w:tc>
        <w:tc>
          <w:tcPr>
            <w:tcW w:w="4200" w:type="dxa"/>
            <w:noWrap/>
            <w:vAlign w:val="center"/>
          </w:tcPr>
          <w:p w14:paraId="500BBE39">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 xml:space="preserve">邮政编码： </w:t>
            </w:r>
          </w:p>
        </w:tc>
      </w:tr>
      <w:tr w14:paraId="2336A9C9">
        <w:tblPrEx>
          <w:tblCellMar>
            <w:top w:w="0" w:type="dxa"/>
            <w:left w:w="108" w:type="dxa"/>
            <w:bottom w:w="0" w:type="dxa"/>
            <w:right w:w="108" w:type="dxa"/>
          </w:tblCellMar>
        </w:tblPrEx>
        <w:trPr>
          <w:trHeight w:val="454" w:hRule="atLeast"/>
          <w:jc w:val="center"/>
        </w:trPr>
        <w:tc>
          <w:tcPr>
            <w:tcW w:w="4697" w:type="dxa"/>
            <w:noWrap/>
            <w:vAlign w:val="center"/>
          </w:tcPr>
          <w:p w14:paraId="29B5D67A">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电话：</w:t>
            </w:r>
          </w:p>
        </w:tc>
        <w:tc>
          <w:tcPr>
            <w:tcW w:w="4200" w:type="dxa"/>
            <w:noWrap/>
            <w:vAlign w:val="center"/>
          </w:tcPr>
          <w:p w14:paraId="7E4DC6B2">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电话：</w:t>
            </w:r>
          </w:p>
        </w:tc>
      </w:tr>
      <w:tr w14:paraId="4C423FA0">
        <w:tblPrEx>
          <w:tblCellMar>
            <w:top w:w="0" w:type="dxa"/>
            <w:left w:w="108" w:type="dxa"/>
            <w:bottom w:w="0" w:type="dxa"/>
            <w:right w:w="108" w:type="dxa"/>
          </w:tblCellMar>
        </w:tblPrEx>
        <w:trPr>
          <w:trHeight w:val="454" w:hRule="atLeast"/>
          <w:jc w:val="center"/>
        </w:trPr>
        <w:tc>
          <w:tcPr>
            <w:tcW w:w="4697" w:type="dxa"/>
            <w:noWrap/>
            <w:vAlign w:val="center"/>
          </w:tcPr>
          <w:p w14:paraId="236A603E">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传真：</w:t>
            </w:r>
          </w:p>
        </w:tc>
        <w:tc>
          <w:tcPr>
            <w:tcW w:w="4200" w:type="dxa"/>
            <w:noWrap/>
            <w:vAlign w:val="center"/>
          </w:tcPr>
          <w:p w14:paraId="0E597990">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传真：</w:t>
            </w:r>
          </w:p>
        </w:tc>
      </w:tr>
      <w:tr w14:paraId="629A5035">
        <w:tblPrEx>
          <w:tblCellMar>
            <w:top w:w="0" w:type="dxa"/>
            <w:left w:w="108" w:type="dxa"/>
            <w:bottom w:w="0" w:type="dxa"/>
            <w:right w:w="108" w:type="dxa"/>
          </w:tblCellMar>
        </w:tblPrEx>
        <w:trPr>
          <w:trHeight w:val="454" w:hRule="atLeast"/>
          <w:jc w:val="center"/>
        </w:trPr>
        <w:tc>
          <w:tcPr>
            <w:tcW w:w="4697" w:type="dxa"/>
            <w:noWrap/>
            <w:vAlign w:val="center"/>
          </w:tcPr>
          <w:p w14:paraId="1C33240E">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开户银行：</w:t>
            </w:r>
          </w:p>
        </w:tc>
        <w:tc>
          <w:tcPr>
            <w:tcW w:w="4200" w:type="dxa"/>
            <w:noWrap/>
            <w:vAlign w:val="center"/>
          </w:tcPr>
          <w:p w14:paraId="6072C9DA">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开户银行：</w:t>
            </w:r>
          </w:p>
        </w:tc>
      </w:tr>
      <w:tr w14:paraId="5A9015A6">
        <w:tblPrEx>
          <w:tblCellMar>
            <w:top w:w="0" w:type="dxa"/>
            <w:left w:w="108" w:type="dxa"/>
            <w:bottom w:w="0" w:type="dxa"/>
            <w:right w:w="108" w:type="dxa"/>
          </w:tblCellMar>
        </w:tblPrEx>
        <w:trPr>
          <w:trHeight w:val="454" w:hRule="atLeast"/>
          <w:jc w:val="center"/>
        </w:trPr>
        <w:tc>
          <w:tcPr>
            <w:tcW w:w="4697" w:type="dxa"/>
            <w:noWrap/>
            <w:vAlign w:val="center"/>
          </w:tcPr>
          <w:p w14:paraId="768C7FF4">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开户账号：</w:t>
            </w:r>
          </w:p>
        </w:tc>
        <w:tc>
          <w:tcPr>
            <w:tcW w:w="4200" w:type="dxa"/>
            <w:noWrap/>
            <w:vAlign w:val="center"/>
          </w:tcPr>
          <w:p w14:paraId="356D21E6">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开户账号：</w:t>
            </w:r>
          </w:p>
        </w:tc>
      </w:tr>
      <w:tr w14:paraId="5F6622DD">
        <w:tblPrEx>
          <w:tblCellMar>
            <w:top w:w="0" w:type="dxa"/>
            <w:left w:w="108" w:type="dxa"/>
            <w:bottom w:w="0" w:type="dxa"/>
            <w:right w:w="108" w:type="dxa"/>
          </w:tblCellMar>
        </w:tblPrEx>
        <w:trPr>
          <w:trHeight w:val="454" w:hRule="atLeast"/>
          <w:jc w:val="center"/>
        </w:trPr>
        <w:tc>
          <w:tcPr>
            <w:tcW w:w="4697" w:type="dxa"/>
            <w:noWrap/>
            <w:vAlign w:val="center"/>
          </w:tcPr>
          <w:p w14:paraId="54BB5696">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签约日期：   年   月 　 日</w:t>
            </w:r>
          </w:p>
        </w:tc>
        <w:tc>
          <w:tcPr>
            <w:tcW w:w="4200" w:type="dxa"/>
            <w:noWrap/>
            <w:vAlign w:val="center"/>
          </w:tcPr>
          <w:p w14:paraId="5A7D17E6">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color w:val="auto"/>
                <w:sz w:val="24"/>
                <w:szCs w:val="24"/>
                <w:highlight w:val="none"/>
                <w:lang w:val="en-US"/>
              </w:rPr>
            </w:pPr>
            <w:r>
              <w:rPr>
                <w:rFonts w:hint="eastAsia" w:ascii="宋体" w:hAnsi="宋体" w:eastAsia="宋体" w:cs="宋体"/>
                <w:color w:val="auto"/>
                <w:kern w:val="2"/>
                <w:sz w:val="24"/>
                <w:szCs w:val="24"/>
                <w:highlight w:val="none"/>
                <w:lang w:val="en-US" w:eastAsia="zh-CN" w:bidi="ar"/>
              </w:rPr>
              <w:t>签约日期：    年   月    日</w:t>
            </w:r>
          </w:p>
        </w:tc>
      </w:tr>
    </w:tbl>
    <w:p w14:paraId="57D52A0E">
      <w:pPr>
        <w:keepNext w:val="0"/>
        <w:keepLines w:val="0"/>
        <w:widowControl/>
        <w:suppressLineNumbers w:val="0"/>
        <w:spacing w:before="0" w:beforeAutospacing="0" w:after="0" w:afterAutospacing="0"/>
        <w:ind w:left="0" w:right="0"/>
        <w:jc w:val="left"/>
        <w:rPr>
          <w:rFonts w:hint="eastAsia" w:ascii="宋体" w:hAnsi="宋体" w:eastAsia="宋体" w:cs="宋体"/>
          <w:b/>
          <w:bCs w:val="0"/>
          <w:color w:val="auto"/>
          <w:kern w:val="2"/>
          <w:sz w:val="24"/>
          <w:szCs w:val="24"/>
          <w:highlight w:val="none"/>
          <w:lang w:val="en-US" w:eastAsia="zh-CN" w:bidi="ar"/>
        </w:rPr>
      </w:pPr>
      <w:r>
        <w:rPr>
          <w:rFonts w:hint="eastAsia" w:ascii="宋体" w:hAnsi="宋体" w:eastAsia="宋体" w:cs="宋体"/>
          <w:b/>
          <w:bCs w:val="0"/>
          <w:color w:val="auto"/>
          <w:kern w:val="2"/>
          <w:sz w:val="24"/>
          <w:szCs w:val="24"/>
          <w:highlight w:val="none"/>
          <w:lang w:val="en-US" w:eastAsia="zh-CN" w:bidi="ar"/>
        </w:rPr>
        <w:t>采购代理机构声明：本合同标的经</w:t>
      </w:r>
      <w:r>
        <w:rPr>
          <w:rFonts w:hint="eastAsia" w:eastAsia="宋体" w:cs="宋体"/>
          <w:b/>
          <w:bCs w:val="0"/>
          <w:color w:val="auto"/>
          <w:kern w:val="2"/>
          <w:sz w:val="24"/>
          <w:szCs w:val="24"/>
          <w:highlight w:val="none"/>
          <w:lang w:val="en-US" w:eastAsia="zh-CN" w:bidi="ar"/>
        </w:rPr>
        <w:t>海南政源招标代理有限公司</w:t>
      </w:r>
      <w:r>
        <w:rPr>
          <w:rFonts w:hint="eastAsia" w:ascii="宋体" w:hAnsi="宋体" w:eastAsia="宋体" w:cs="宋体"/>
          <w:b/>
          <w:bCs w:val="0"/>
          <w:color w:val="auto"/>
          <w:kern w:val="2"/>
          <w:sz w:val="24"/>
          <w:szCs w:val="24"/>
          <w:highlight w:val="none"/>
          <w:lang w:val="en-US" w:eastAsia="zh-CN" w:bidi="ar"/>
        </w:rPr>
        <w:t>依法定程序采购，合同主要条款内容与招投标文件的内容一致。</w:t>
      </w:r>
    </w:p>
    <w:p w14:paraId="5D9E5EC7">
      <w:pPr>
        <w:pStyle w:val="53"/>
        <w:spacing w:before="0" w:beforeAutospacing="0" w:after="0" w:afterAutospacing="0"/>
        <w:rPr>
          <w:rFonts w:hint="eastAsia" w:ascii="宋体" w:hAnsi="宋体" w:eastAsia="宋体" w:cs="宋体"/>
          <w:b/>
          <w:bCs w:val="0"/>
          <w:color w:val="auto"/>
          <w:kern w:val="2"/>
          <w:sz w:val="24"/>
          <w:szCs w:val="24"/>
          <w:highlight w:val="none"/>
          <w:lang w:val="en-US" w:eastAsia="zh-CN" w:bidi="ar"/>
        </w:rPr>
      </w:pPr>
    </w:p>
    <w:p w14:paraId="7959FD43">
      <w:pPr>
        <w:pStyle w:val="53"/>
        <w:spacing w:before="0" w:beforeAutospacing="0" w:after="0" w:afterAutospacing="0"/>
        <w:rPr>
          <w:rFonts w:hint="eastAsia" w:ascii="宋体" w:hAnsi="宋体" w:eastAsia="宋体" w:cs="宋体"/>
          <w:b/>
          <w:bCs w:val="0"/>
          <w:color w:val="auto"/>
          <w:kern w:val="2"/>
          <w:sz w:val="24"/>
          <w:szCs w:val="24"/>
          <w:highlight w:val="none"/>
          <w:lang w:val="en-US" w:eastAsia="zh-CN" w:bidi="ar"/>
        </w:rPr>
      </w:pPr>
      <w:r>
        <w:rPr>
          <w:rFonts w:hint="eastAsia" w:ascii="宋体" w:hAnsi="宋体" w:eastAsia="宋体" w:cs="宋体"/>
          <w:b/>
          <w:bCs w:val="0"/>
          <w:color w:val="auto"/>
          <w:kern w:val="2"/>
          <w:sz w:val="24"/>
          <w:szCs w:val="24"/>
          <w:highlight w:val="none"/>
          <w:lang w:val="en-US" w:eastAsia="zh-CN" w:bidi="ar"/>
        </w:rPr>
        <w:t>采购代理机构：</w:t>
      </w:r>
      <w:r>
        <w:rPr>
          <w:rFonts w:hint="eastAsia" w:cs="宋体"/>
          <w:b/>
          <w:bCs w:val="0"/>
          <w:color w:val="auto"/>
          <w:kern w:val="2"/>
          <w:sz w:val="24"/>
          <w:szCs w:val="24"/>
          <w:highlight w:val="none"/>
          <w:lang w:val="en-US" w:eastAsia="zh-CN" w:bidi="ar"/>
        </w:rPr>
        <w:t>海南政源招标代理有限公司</w:t>
      </w:r>
      <w:r>
        <w:rPr>
          <w:rFonts w:hint="eastAsia" w:ascii="宋体" w:hAnsi="宋体" w:eastAsia="宋体" w:cs="宋体"/>
          <w:b/>
          <w:bCs w:val="0"/>
          <w:color w:val="auto"/>
          <w:kern w:val="2"/>
          <w:sz w:val="24"/>
          <w:szCs w:val="24"/>
          <w:highlight w:val="none"/>
          <w:lang w:val="en-US" w:eastAsia="zh-CN" w:bidi="ar"/>
        </w:rPr>
        <w:t>（盖章）</w:t>
      </w:r>
    </w:p>
    <w:p w14:paraId="3FB3291A">
      <w:pPr>
        <w:pStyle w:val="53"/>
        <w:spacing w:before="0" w:beforeAutospacing="0" w:after="0" w:afterAutospacing="0"/>
        <w:rPr>
          <w:rFonts w:hint="eastAsia" w:ascii="宋体" w:hAnsi="宋体" w:eastAsia="宋体" w:cs="宋体"/>
          <w:b/>
          <w:bCs w:val="0"/>
          <w:color w:val="auto"/>
          <w:kern w:val="2"/>
          <w:sz w:val="24"/>
          <w:szCs w:val="24"/>
          <w:highlight w:val="none"/>
          <w:lang w:val="en-US" w:eastAsia="zh-CN" w:bidi="ar"/>
        </w:rPr>
      </w:pPr>
    </w:p>
    <w:p w14:paraId="517EC49E">
      <w:pPr>
        <w:pStyle w:val="53"/>
        <w:spacing w:before="0" w:beforeAutospacing="0" w:after="0" w:afterAutospacing="0"/>
        <w:rPr>
          <w:rFonts w:hint="eastAsia" w:ascii="宋体" w:hAnsi="宋体" w:eastAsia="宋体" w:cs="宋体"/>
          <w:b/>
          <w:bCs w:val="0"/>
          <w:color w:val="auto"/>
          <w:kern w:val="2"/>
          <w:sz w:val="24"/>
          <w:szCs w:val="24"/>
          <w:highlight w:val="none"/>
          <w:lang w:val="en-US" w:eastAsia="zh-CN" w:bidi="ar"/>
        </w:rPr>
      </w:pPr>
      <w:r>
        <w:rPr>
          <w:rFonts w:hint="eastAsia" w:ascii="宋体" w:hAnsi="宋体" w:eastAsia="宋体" w:cs="宋体"/>
          <w:b/>
          <w:bCs w:val="0"/>
          <w:color w:val="auto"/>
          <w:kern w:val="2"/>
          <w:sz w:val="24"/>
          <w:szCs w:val="24"/>
          <w:highlight w:val="none"/>
          <w:lang w:val="en-US" w:eastAsia="zh-CN" w:bidi="ar"/>
        </w:rPr>
        <w:t>地址：</w:t>
      </w:r>
    </w:p>
    <w:p w14:paraId="16CC7342">
      <w:pPr>
        <w:pStyle w:val="53"/>
        <w:spacing w:before="0" w:beforeAutospacing="0" w:after="0" w:afterAutospacing="0"/>
        <w:rPr>
          <w:rFonts w:hint="eastAsia" w:ascii="宋体" w:hAnsi="宋体" w:eastAsia="宋体" w:cs="宋体"/>
          <w:b/>
          <w:bCs w:val="0"/>
          <w:color w:val="auto"/>
          <w:kern w:val="2"/>
          <w:sz w:val="24"/>
          <w:szCs w:val="24"/>
          <w:highlight w:val="none"/>
          <w:lang w:val="en-US" w:eastAsia="zh-CN" w:bidi="ar"/>
        </w:rPr>
      </w:pPr>
    </w:p>
    <w:p w14:paraId="55154026">
      <w:pPr>
        <w:pStyle w:val="53"/>
        <w:spacing w:before="0" w:beforeAutospacing="0" w:after="0" w:afterAutospacing="0"/>
        <w:rPr>
          <w:rFonts w:hint="eastAsia" w:ascii="宋体" w:hAnsi="宋体" w:eastAsia="宋体" w:cs="宋体"/>
          <w:b/>
          <w:bCs w:val="0"/>
          <w:color w:val="auto"/>
          <w:kern w:val="2"/>
          <w:sz w:val="24"/>
          <w:szCs w:val="24"/>
          <w:highlight w:val="none"/>
          <w:lang w:val="en-US" w:eastAsia="zh-CN" w:bidi="ar"/>
        </w:rPr>
      </w:pPr>
      <w:r>
        <w:rPr>
          <w:rFonts w:hint="eastAsia" w:ascii="宋体" w:hAnsi="宋体" w:eastAsia="宋体" w:cs="宋体"/>
          <w:b/>
          <w:bCs w:val="0"/>
          <w:color w:val="auto"/>
          <w:kern w:val="2"/>
          <w:sz w:val="24"/>
          <w:szCs w:val="24"/>
          <w:highlight w:val="none"/>
          <w:lang w:val="en-US" w:eastAsia="zh-CN" w:bidi="ar"/>
        </w:rPr>
        <w:t>法定（授权）代表人：</w:t>
      </w:r>
      <w:r>
        <w:rPr>
          <w:rFonts w:hint="eastAsia" w:ascii="宋体" w:hAnsi="宋体" w:eastAsia="宋体" w:cs="宋体"/>
          <w:b/>
          <w:bCs w:val="0"/>
          <w:color w:val="auto"/>
          <w:kern w:val="2"/>
          <w:sz w:val="24"/>
          <w:szCs w:val="24"/>
          <w:highlight w:val="none"/>
          <w:lang w:val="en-US" w:eastAsia="zh-CN" w:bidi="ar"/>
        </w:rPr>
        <w:tab/>
      </w:r>
      <w:r>
        <w:rPr>
          <w:rFonts w:hint="eastAsia" w:ascii="宋体" w:hAnsi="宋体" w:eastAsia="宋体" w:cs="宋体"/>
          <w:b/>
          <w:bCs w:val="0"/>
          <w:color w:val="auto"/>
          <w:kern w:val="2"/>
          <w:sz w:val="24"/>
          <w:szCs w:val="24"/>
          <w:highlight w:val="none"/>
          <w:lang w:val="en-US" w:eastAsia="zh-CN" w:bidi="ar"/>
        </w:rPr>
        <w:tab/>
      </w:r>
      <w:r>
        <w:rPr>
          <w:rFonts w:hint="eastAsia" w:ascii="宋体" w:hAnsi="宋体" w:eastAsia="宋体" w:cs="宋体"/>
          <w:b/>
          <w:bCs w:val="0"/>
          <w:color w:val="auto"/>
          <w:kern w:val="2"/>
          <w:sz w:val="24"/>
          <w:szCs w:val="24"/>
          <w:highlight w:val="none"/>
          <w:lang w:val="en-US" w:eastAsia="zh-CN" w:bidi="ar"/>
        </w:rPr>
        <w:tab/>
      </w:r>
      <w:r>
        <w:rPr>
          <w:rFonts w:hint="eastAsia" w:ascii="宋体" w:hAnsi="宋体" w:eastAsia="宋体" w:cs="宋体"/>
          <w:b/>
          <w:bCs w:val="0"/>
          <w:color w:val="auto"/>
          <w:kern w:val="2"/>
          <w:sz w:val="24"/>
          <w:szCs w:val="24"/>
          <w:highlight w:val="none"/>
          <w:lang w:val="en-US" w:eastAsia="zh-CN" w:bidi="ar"/>
        </w:rPr>
        <w:t xml:space="preserve">（签章） 签订日期：    </w:t>
      </w:r>
      <w:r>
        <w:rPr>
          <w:rFonts w:hint="eastAsia" w:ascii="宋体" w:hAnsi="宋体" w:eastAsia="宋体" w:cs="宋体"/>
          <w:b/>
          <w:bCs w:val="0"/>
          <w:color w:val="auto"/>
          <w:kern w:val="2"/>
          <w:sz w:val="24"/>
          <w:szCs w:val="24"/>
          <w:highlight w:val="none"/>
          <w:lang w:val="en-US" w:eastAsia="zh-CN" w:bidi="ar"/>
        </w:rPr>
        <w:tab/>
      </w:r>
      <w:r>
        <w:rPr>
          <w:rFonts w:hint="eastAsia" w:ascii="宋体" w:hAnsi="宋体" w:eastAsia="宋体" w:cs="宋体"/>
          <w:b/>
          <w:bCs w:val="0"/>
          <w:color w:val="auto"/>
          <w:kern w:val="2"/>
          <w:sz w:val="24"/>
          <w:szCs w:val="24"/>
          <w:highlight w:val="none"/>
          <w:lang w:val="en-US" w:eastAsia="zh-CN" w:bidi="ar"/>
        </w:rPr>
        <w:t xml:space="preserve">年 </w:t>
      </w:r>
      <w:r>
        <w:rPr>
          <w:rFonts w:hint="eastAsia" w:ascii="宋体" w:hAnsi="宋体" w:eastAsia="宋体" w:cs="宋体"/>
          <w:b/>
          <w:bCs w:val="0"/>
          <w:color w:val="auto"/>
          <w:kern w:val="2"/>
          <w:sz w:val="24"/>
          <w:szCs w:val="24"/>
          <w:highlight w:val="none"/>
          <w:lang w:val="en-US" w:eastAsia="zh-CN" w:bidi="ar"/>
        </w:rPr>
        <w:tab/>
      </w:r>
      <w:r>
        <w:rPr>
          <w:rFonts w:hint="eastAsia" w:ascii="宋体" w:hAnsi="宋体" w:eastAsia="宋体" w:cs="宋体"/>
          <w:b/>
          <w:bCs w:val="0"/>
          <w:color w:val="auto"/>
          <w:kern w:val="2"/>
          <w:sz w:val="24"/>
          <w:szCs w:val="24"/>
          <w:highlight w:val="none"/>
          <w:lang w:val="en-US" w:eastAsia="zh-CN" w:bidi="ar"/>
        </w:rPr>
        <w:t xml:space="preserve">   月    </w:t>
      </w:r>
      <w:r>
        <w:rPr>
          <w:rFonts w:hint="eastAsia" w:ascii="宋体" w:hAnsi="宋体" w:eastAsia="宋体" w:cs="宋体"/>
          <w:b/>
          <w:bCs w:val="0"/>
          <w:color w:val="auto"/>
          <w:kern w:val="2"/>
          <w:sz w:val="24"/>
          <w:szCs w:val="24"/>
          <w:highlight w:val="none"/>
          <w:lang w:val="en-US" w:eastAsia="zh-CN" w:bidi="ar"/>
        </w:rPr>
        <w:tab/>
      </w:r>
      <w:r>
        <w:rPr>
          <w:rFonts w:hint="eastAsia" w:ascii="宋体" w:hAnsi="宋体" w:eastAsia="宋体" w:cs="宋体"/>
          <w:b/>
          <w:bCs w:val="0"/>
          <w:color w:val="auto"/>
          <w:kern w:val="2"/>
          <w:sz w:val="24"/>
          <w:szCs w:val="24"/>
          <w:highlight w:val="none"/>
          <w:lang w:val="en-US" w:eastAsia="zh-CN" w:bidi="ar"/>
        </w:rPr>
        <w:t>日</w:t>
      </w:r>
    </w:p>
    <w:p w14:paraId="02C42415">
      <w:pPr>
        <w:rPr>
          <w:color w:val="auto"/>
          <w:highlight w:val="none"/>
        </w:rPr>
      </w:pPr>
    </w:p>
    <w:p w14:paraId="7DA60FB2">
      <w:pPr>
        <w:pStyle w:val="19"/>
        <w:spacing w:line="440" w:lineRule="exact"/>
        <w:ind w:firstLine="482" w:firstLineChars="200"/>
        <w:rPr>
          <w:b/>
          <w:bCs/>
          <w:smallCaps/>
          <w:color w:val="auto"/>
          <w:highlight w:val="none"/>
        </w:rPr>
        <w:sectPr>
          <w:headerReference r:id="rId10" w:type="default"/>
          <w:footerReference r:id="rId11" w:type="default"/>
          <w:pgSz w:w="11906" w:h="16838"/>
          <w:pgMar w:top="1417" w:right="1587" w:bottom="1417" w:left="1587" w:header="851" w:footer="992" w:gutter="0"/>
          <w:pgNumType w:start="1"/>
          <w:cols w:space="720" w:num="1"/>
          <w:docGrid w:type="lines" w:linePitch="423" w:charSpace="0"/>
        </w:sectPr>
      </w:pPr>
    </w:p>
    <w:p w14:paraId="1D514847">
      <w:pPr>
        <w:spacing w:before="159" w:after="159" w:line="360" w:lineRule="auto"/>
        <w:jc w:val="center"/>
        <w:outlineLvl w:val="0"/>
        <w:rPr>
          <w:rFonts w:ascii="宋体" w:hAnsi="宋体" w:cs="宋体"/>
          <w:color w:val="auto"/>
          <w:sz w:val="44"/>
          <w:szCs w:val="44"/>
          <w:highlight w:val="none"/>
        </w:rPr>
      </w:pPr>
      <w:bookmarkStart w:id="21" w:name="_Toc23686"/>
      <w:r>
        <w:rPr>
          <w:rStyle w:val="40"/>
          <w:rFonts w:hint="eastAsia"/>
          <w:color w:val="auto"/>
          <w:highlight w:val="none"/>
        </w:rPr>
        <w:t>第四部分  响应文件格式</w:t>
      </w:r>
      <w:bookmarkEnd w:id="21"/>
    </w:p>
    <w:p w14:paraId="7C87A1C9">
      <w:pPr>
        <w:snapToGrid w:val="0"/>
        <w:spacing w:beforeLines="100"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请供应商按照以下文件要求的格式、内容制作响应文件，并按以下顺序编制目录及页码，否则将影响对响应文件的评价：</w:t>
      </w:r>
    </w:p>
    <w:p w14:paraId="610AAEB8">
      <w:pPr>
        <w:snapToGrid w:val="0"/>
        <w:spacing w:beforeLines="50"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1、响应承诺函</w:t>
      </w:r>
    </w:p>
    <w:p w14:paraId="2AF2958A">
      <w:pPr>
        <w:snapToGrid w:val="0"/>
        <w:spacing w:beforeLines="50"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2、法定代表人身份证明</w:t>
      </w:r>
    </w:p>
    <w:p w14:paraId="6F5AC332">
      <w:pPr>
        <w:snapToGrid w:val="0"/>
        <w:spacing w:beforeLines="50"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3、法定代表人授权委托书</w:t>
      </w:r>
    </w:p>
    <w:p w14:paraId="6E498C12">
      <w:pPr>
        <w:snapToGrid w:val="0"/>
        <w:spacing w:beforeLines="50"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4、报价一览表</w:t>
      </w:r>
    </w:p>
    <w:p w14:paraId="5200A44A">
      <w:pPr>
        <w:snapToGrid w:val="0"/>
        <w:spacing w:beforeLines="50"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5、报价明细表</w:t>
      </w:r>
    </w:p>
    <w:p w14:paraId="27614FB3">
      <w:pPr>
        <w:snapToGrid w:val="0"/>
        <w:spacing w:beforeLines="50"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6、商务标偏离表</w:t>
      </w:r>
    </w:p>
    <w:p w14:paraId="0CD931A0">
      <w:pPr>
        <w:snapToGrid w:val="0"/>
        <w:spacing w:beforeLines="50"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7、技术标偏离表</w:t>
      </w:r>
    </w:p>
    <w:p w14:paraId="12C56112">
      <w:pPr>
        <w:snapToGrid w:val="0"/>
        <w:spacing w:beforeLines="50"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8</w:t>
      </w:r>
      <w:r>
        <w:rPr>
          <w:rFonts w:hint="eastAsia" w:ascii="宋体" w:hAnsi="宋体" w:cs="宋体"/>
          <w:color w:val="auto"/>
          <w:sz w:val="24"/>
          <w:highlight w:val="none"/>
        </w:rPr>
        <w:t>、无重大违法行为记录声明</w:t>
      </w:r>
    </w:p>
    <w:p w14:paraId="4D385FA5">
      <w:pPr>
        <w:snapToGrid w:val="0"/>
        <w:spacing w:beforeLines="50" w:line="360" w:lineRule="auto"/>
        <w:ind w:firstLine="480" w:firstLineChars="200"/>
        <w:rPr>
          <w:rFonts w:hint="eastAsia" w:ascii="宋体" w:hAnsi="宋体" w:cs="宋体"/>
          <w:color w:val="auto"/>
          <w:sz w:val="24"/>
          <w:highlight w:val="none"/>
          <w:lang w:eastAsia="zh-CN"/>
        </w:rPr>
      </w:pPr>
      <w:r>
        <w:rPr>
          <w:rFonts w:hint="eastAsia" w:ascii="宋体" w:hAnsi="宋体" w:cs="宋体"/>
          <w:color w:val="auto"/>
          <w:sz w:val="24"/>
          <w:highlight w:val="none"/>
          <w:lang w:val="en-US" w:eastAsia="zh-CN"/>
        </w:rPr>
        <w:t>9</w:t>
      </w:r>
      <w:r>
        <w:rPr>
          <w:rFonts w:hint="eastAsia" w:ascii="宋体" w:hAnsi="宋体" w:cs="宋体"/>
          <w:color w:val="auto"/>
          <w:sz w:val="24"/>
          <w:highlight w:val="none"/>
        </w:rPr>
        <w:t>、中小企业声明函</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货物</w:t>
      </w:r>
      <w:r>
        <w:rPr>
          <w:rFonts w:hint="eastAsia" w:ascii="宋体" w:hAnsi="宋体" w:cs="宋体"/>
          <w:color w:val="auto"/>
          <w:sz w:val="24"/>
          <w:highlight w:val="none"/>
          <w:lang w:eastAsia="zh-CN"/>
        </w:rPr>
        <w:t>）</w:t>
      </w:r>
    </w:p>
    <w:p w14:paraId="3D8E312E">
      <w:pPr>
        <w:snapToGrid w:val="0"/>
        <w:spacing w:beforeLines="50"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10</w:t>
      </w:r>
      <w:r>
        <w:rPr>
          <w:rFonts w:hint="eastAsia" w:ascii="宋体" w:hAnsi="宋体" w:cs="宋体"/>
          <w:color w:val="auto"/>
          <w:sz w:val="24"/>
          <w:highlight w:val="none"/>
        </w:rPr>
        <w:t>、残疾人福利性单位声明函</w:t>
      </w:r>
    </w:p>
    <w:p w14:paraId="4D3A70CF">
      <w:pPr>
        <w:snapToGrid w:val="0"/>
        <w:spacing w:beforeLines="50"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11</w:t>
      </w:r>
      <w:r>
        <w:rPr>
          <w:rFonts w:hint="eastAsia" w:ascii="宋体" w:hAnsi="宋体" w:cs="宋体"/>
          <w:color w:val="auto"/>
          <w:sz w:val="24"/>
          <w:highlight w:val="none"/>
        </w:rPr>
        <w:t>、监狱企业证明文件</w:t>
      </w:r>
    </w:p>
    <w:p w14:paraId="568F4C8F">
      <w:pPr>
        <w:snapToGrid w:val="0"/>
        <w:spacing w:beforeLines="50"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w:t>
      </w:r>
      <w:r>
        <w:rPr>
          <w:rFonts w:hint="eastAsia" w:ascii="宋体" w:hAnsi="宋体" w:cs="宋体"/>
          <w:color w:val="auto"/>
          <w:sz w:val="24"/>
          <w:highlight w:val="none"/>
          <w:lang w:val="en-US" w:eastAsia="zh-CN"/>
        </w:rPr>
        <w:t>2</w:t>
      </w:r>
      <w:r>
        <w:rPr>
          <w:rFonts w:hint="eastAsia" w:ascii="宋体" w:hAnsi="宋体" w:cs="宋体"/>
          <w:color w:val="auto"/>
          <w:sz w:val="24"/>
          <w:highlight w:val="none"/>
        </w:rPr>
        <w:t>、项目方案</w:t>
      </w:r>
    </w:p>
    <w:p w14:paraId="063F5B71">
      <w:pPr>
        <w:snapToGrid w:val="0"/>
        <w:spacing w:beforeLines="50"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w:t>
      </w:r>
      <w:r>
        <w:rPr>
          <w:rFonts w:hint="eastAsia" w:ascii="宋体" w:hAnsi="宋体" w:cs="宋体"/>
          <w:color w:val="auto"/>
          <w:sz w:val="24"/>
          <w:highlight w:val="none"/>
          <w:lang w:val="en-US" w:eastAsia="zh-CN"/>
        </w:rPr>
        <w:t>3</w:t>
      </w:r>
      <w:r>
        <w:rPr>
          <w:rFonts w:hint="eastAsia" w:ascii="宋体" w:hAnsi="宋体" w:cs="宋体"/>
          <w:color w:val="auto"/>
          <w:sz w:val="24"/>
          <w:highlight w:val="none"/>
        </w:rPr>
        <w:t>、申请人的资格要求证明材料</w:t>
      </w:r>
    </w:p>
    <w:p w14:paraId="0A12EFCA">
      <w:pPr>
        <w:snapToGrid w:val="0"/>
        <w:spacing w:beforeLines="50"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w:t>
      </w:r>
      <w:r>
        <w:rPr>
          <w:rFonts w:hint="eastAsia" w:ascii="宋体" w:hAnsi="宋体" w:cs="宋体"/>
          <w:color w:val="auto"/>
          <w:sz w:val="24"/>
          <w:highlight w:val="none"/>
          <w:lang w:val="en-US" w:eastAsia="zh-CN"/>
        </w:rPr>
        <w:t>4</w:t>
      </w:r>
      <w:r>
        <w:rPr>
          <w:rFonts w:hint="eastAsia" w:ascii="宋体" w:hAnsi="宋体" w:cs="宋体"/>
          <w:color w:val="auto"/>
          <w:sz w:val="24"/>
          <w:highlight w:val="none"/>
        </w:rPr>
        <w:t>、供应商认为需要的其它材料</w:t>
      </w:r>
    </w:p>
    <w:p w14:paraId="6024B483">
      <w:pPr>
        <w:snapToGrid w:val="0"/>
        <w:spacing w:line="440" w:lineRule="exact"/>
        <w:rPr>
          <w:rFonts w:ascii="宋体" w:hAnsi="宋体" w:cs="宋体"/>
          <w:color w:val="auto"/>
          <w:sz w:val="24"/>
          <w:highlight w:val="none"/>
        </w:rPr>
      </w:pPr>
    </w:p>
    <w:p w14:paraId="3F3670D7">
      <w:pPr>
        <w:snapToGrid w:val="0"/>
        <w:spacing w:line="440" w:lineRule="exact"/>
        <w:rPr>
          <w:rFonts w:ascii="宋体" w:hAnsi="宋体" w:cs="宋体"/>
          <w:color w:val="auto"/>
          <w:sz w:val="24"/>
          <w:highlight w:val="none"/>
        </w:rPr>
      </w:pPr>
    </w:p>
    <w:p w14:paraId="685EC08C">
      <w:pPr>
        <w:spacing w:line="440" w:lineRule="exact"/>
        <w:jc w:val="left"/>
        <w:rPr>
          <w:rFonts w:ascii="宋体" w:hAnsi="宋体" w:cs="宋体"/>
          <w:color w:val="auto"/>
          <w:sz w:val="24"/>
          <w:highlight w:val="none"/>
        </w:rPr>
      </w:pPr>
    </w:p>
    <w:p w14:paraId="3EA2CA0F">
      <w:pPr>
        <w:pStyle w:val="22"/>
        <w:ind w:firstLine="0" w:firstLineChars="0"/>
        <w:rPr>
          <w:rFonts w:ascii="宋体" w:hAnsi="宋体" w:cs="宋体"/>
          <w:color w:val="auto"/>
          <w:highlight w:val="none"/>
        </w:rPr>
      </w:pPr>
    </w:p>
    <w:p w14:paraId="3059D09C">
      <w:pPr>
        <w:spacing w:line="440" w:lineRule="exact"/>
        <w:jc w:val="left"/>
        <w:rPr>
          <w:rFonts w:ascii="宋体" w:hAnsi="宋体" w:cs="宋体"/>
          <w:color w:val="auto"/>
          <w:sz w:val="24"/>
          <w:highlight w:val="none"/>
        </w:rPr>
      </w:pPr>
    </w:p>
    <w:p w14:paraId="7DF44F45">
      <w:pPr>
        <w:spacing w:line="440" w:lineRule="exact"/>
        <w:jc w:val="left"/>
        <w:rPr>
          <w:rFonts w:ascii="宋体" w:hAnsi="宋体" w:cs="宋体"/>
          <w:color w:val="auto"/>
          <w:sz w:val="24"/>
          <w:highlight w:val="none"/>
        </w:rPr>
      </w:pPr>
    </w:p>
    <w:p w14:paraId="1F81D12F">
      <w:pPr>
        <w:spacing w:line="440" w:lineRule="exact"/>
        <w:jc w:val="left"/>
        <w:rPr>
          <w:rFonts w:ascii="宋体" w:hAnsi="宋体" w:cs="宋体"/>
          <w:color w:val="auto"/>
          <w:sz w:val="24"/>
          <w:highlight w:val="none"/>
        </w:rPr>
      </w:pPr>
    </w:p>
    <w:p w14:paraId="4D564565">
      <w:pPr>
        <w:spacing w:line="440" w:lineRule="exact"/>
        <w:jc w:val="left"/>
        <w:rPr>
          <w:rFonts w:ascii="宋体" w:hAnsi="宋体" w:cs="宋体"/>
          <w:color w:val="auto"/>
          <w:sz w:val="24"/>
          <w:highlight w:val="none"/>
        </w:rPr>
      </w:pPr>
    </w:p>
    <w:p w14:paraId="40E79B54">
      <w:pPr>
        <w:spacing w:line="440" w:lineRule="exact"/>
        <w:jc w:val="left"/>
        <w:rPr>
          <w:rFonts w:ascii="宋体" w:hAnsi="宋体" w:cs="宋体"/>
          <w:color w:val="auto"/>
          <w:sz w:val="24"/>
          <w:highlight w:val="none"/>
        </w:rPr>
      </w:pPr>
    </w:p>
    <w:p w14:paraId="0BA0D084">
      <w:pPr>
        <w:spacing w:line="440" w:lineRule="exact"/>
        <w:jc w:val="left"/>
        <w:rPr>
          <w:rFonts w:ascii="宋体" w:hAnsi="宋体" w:cs="宋体"/>
          <w:color w:val="auto"/>
          <w:sz w:val="24"/>
          <w:highlight w:val="none"/>
        </w:rPr>
      </w:pPr>
    </w:p>
    <w:p w14:paraId="3DD3A004">
      <w:pPr>
        <w:widowControl/>
        <w:spacing w:line="360" w:lineRule="auto"/>
        <w:jc w:val="center"/>
        <w:rPr>
          <w:rFonts w:ascii="宋体" w:hAnsi="宋体" w:cs="宋体"/>
          <w:b/>
          <w:color w:val="auto"/>
          <w:kern w:val="0"/>
          <w:sz w:val="52"/>
          <w:szCs w:val="52"/>
          <w:highlight w:val="none"/>
        </w:rPr>
      </w:pPr>
      <w:r>
        <w:rPr>
          <w:rFonts w:hint="eastAsia" w:ascii="宋体" w:hAnsi="宋体" w:cs="宋体"/>
          <w:b/>
          <w:color w:val="auto"/>
          <w:kern w:val="0"/>
          <w:sz w:val="52"/>
          <w:szCs w:val="52"/>
          <w:highlight w:val="none"/>
        </w:rPr>
        <w:t>响 应 文 件</w:t>
      </w:r>
    </w:p>
    <w:p w14:paraId="34207A16">
      <w:pPr>
        <w:widowControl/>
        <w:spacing w:line="360" w:lineRule="auto"/>
        <w:jc w:val="center"/>
        <w:rPr>
          <w:rFonts w:ascii="宋体" w:hAnsi="宋体" w:cs="宋体"/>
          <w:color w:val="auto"/>
          <w:highlight w:val="none"/>
        </w:rPr>
      </w:pPr>
      <w:r>
        <w:rPr>
          <w:rFonts w:hint="eastAsia" w:ascii="宋体" w:hAnsi="宋体" w:cs="宋体"/>
          <w:b/>
          <w:color w:val="auto"/>
          <w:kern w:val="0"/>
          <w:sz w:val="43"/>
          <w:szCs w:val="43"/>
          <w:highlight w:val="none"/>
        </w:rPr>
        <w:t>（封面）</w:t>
      </w:r>
    </w:p>
    <w:p w14:paraId="12789692">
      <w:pPr>
        <w:spacing w:line="360" w:lineRule="auto"/>
        <w:jc w:val="center"/>
        <w:rPr>
          <w:rFonts w:ascii="宋体" w:hAnsi="宋体" w:cs="宋体"/>
          <w:b/>
          <w:color w:val="auto"/>
          <w:sz w:val="30"/>
          <w:szCs w:val="30"/>
          <w:highlight w:val="none"/>
        </w:rPr>
      </w:pPr>
    </w:p>
    <w:p w14:paraId="50EF4CF4">
      <w:pPr>
        <w:widowControl/>
        <w:spacing w:line="360" w:lineRule="auto"/>
        <w:jc w:val="left"/>
        <w:rPr>
          <w:rFonts w:ascii="宋体" w:hAnsi="宋体" w:cs="宋体"/>
          <w:b/>
          <w:color w:val="auto"/>
          <w:kern w:val="0"/>
          <w:sz w:val="28"/>
          <w:szCs w:val="28"/>
          <w:highlight w:val="none"/>
        </w:rPr>
      </w:pPr>
    </w:p>
    <w:p w14:paraId="22B084D7">
      <w:pPr>
        <w:widowControl/>
        <w:spacing w:line="360" w:lineRule="auto"/>
        <w:jc w:val="left"/>
        <w:rPr>
          <w:rFonts w:ascii="宋体" w:hAnsi="宋体" w:cs="宋体"/>
          <w:b/>
          <w:color w:val="auto"/>
          <w:kern w:val="0"/>
          <w:sz w:val="28"/>
          <w:szCs w:val="28"/>
          <w:highlight w:val="none"/>
        </w:rPr>
      </w:pPr>
    </w:p>
    <w:p w14:paraId="66B9DD43">
      <w:pPr>
        <w:widowControl/>
        <w:spacing w:line="360" w:lineRule="auto"/>
        <w:ind w:firstLine="1405" w:firstLineChars="500"/>
        <w:jc w:val="left"/>
        <w:rPr>
          <w:rFonts w:ascii="宋体" w:hAnsi="宋体" w:cs="宋体"/>
          <w:b/>
          <w:color w:val="auto"/>
          <w:kern w:val="0"/>
          <w:sz w:val="28"/>
          <w:szCs w:val="28"/>
          <w:highlight w:val="none"/>
          <w:u w:val="single"/>
        </w:rPr>
      </w:pPr>
      <w:r>
        <w:rPr>
          <w:rFonts w:hint="eastAsia" w:ascii="宋体" w:hAnsi="宋体" w:cs="宋体"/>
          <w:b/>
          <w:color w:val="auto"/>
          <w:kern w:val="0"/>
          <w:sz w:val="28"/>
          <w:szCs w:val="28"/>
          <w:highlight w:val="none"/>
        </w:rPr>
        <w:t>项目名称：</w:t>
      </w:r>
      <w:r>
        <w:rPr>
          <w:rFonts w:hint="eastAsia" w:ascii="宋体" w:hAnsi="宋体" w:cs="宋体"/>
          <w:b/>
          <w:color w:val="auto"/>
          <w:kern w:val="0"/>
          <w:sz w:val="28"/>
          <w:szCs w:val="28"/>
          <w:highlight w:val="none"/>
          <w:u w:val="single"/>
        </w:rPr>
        <w:t xml:space="preserve"> </w:t>
      </w:r>
      <w:r>
        <w:rPr>
          <w:rFonts w:ascii="宋体" w:hAnsi="宋体" w:cs="宋体"/>
          <w:b/>
          <w:color w:val="auto"/>
          <w:kern w:val="0"/>
          <w:sz w:val="28"/>
          <w:szCs w:val="28"/>
          <w:highlight w:val="none"/>
          <w:u w:val="single"/>
        </w:rPr>
        <w:t xml:space="preserve">                 </w:t>
      </w:r>
    </w:p>
    <w:p w14:paraId="6A0D3C45">
      <w:pPr>
        <w:widowControl/>
        <w:spacing w:line="360" w:lineRule="auto"/>
        <w:ind w:firstLine="1405" w:firstLineChars="500"/>
        <w:jc w:val="left"/>
        <w:rPr>
          <w:rFonts w:ascii="宋体" w:hAnsi="宋体" w:cs="宋体"/>
          <w:b/>
          <w:color w:val="auto"/>
          <w:kern w:val="0"/>
          <w:sz w:val="28"/>
          <w:szCs w:val="28"/>
          <w:highlight w:val="none"/>
          <w:u w:val="single"/>
        </w:rPr>
      </w:pPr>
      <w:r>
        <w:rPr>
          <w:rFonts w:hint="eastAsia" w:ascii="宋体" w:hAnsi="宋体" w:cs="宋体"/>
          <w:b/>
          <w:color w:val="auto"/>
          <w:kern w:val="0"/>
          <w:sz w:val="28"/>
          <w:szCs w:val="28"/>
          <w:highlight w:val="none"/>
        </w:rPr>
        <w:t>项目编号：</w:t>
      </w:r>
      <w:r>
        <w:rPr>
          <w:rFonts w:hint="eastAsia" w:ascii="宋体" w:hAnsi="宋体" w:cs="宋体"/>
          <w:b/>
          <w:color w:val="auto"/>
          <w:kern w:val="0"/>
          <w:sz w:val="28"/>
          <w:szCs w:val="28"/>
          <w:highlight w:val="none"/>
          <w:u w:val="single"/>
        </w:rPr>
        <w:t xml:space="preserve"> </w:t>
      </w:r>
      <w:r>
        <w:rPr>
          <w:rFonts w:ascii="宋体" w:hAnsi="宋体" w:cs="宋体"/>
          <w:b/>
          <w:color w:val="auto"/>
          <w:kern w:val="0"/>
          <w:sz w:val="28"/>
          <w:szCs w:val="28"/>
          <w:highlight w:val="none"/>
          <w:u w:val="single"/>
        </w:rPr>
        <w:t xml:space="preserve">                 </w:t>
      </w:r>
    </w:p>
    <w:p w14:paraId="265FE164">
      <w:pPr>
        <w:spacing w:line="360" w:lineRule="auto"/>
        <w:rPr>
          <w:rFonts w:hint="default" w:ascii="宋体" w:hAnsi="宋体" w:eastAsia="宋体" w:cs="宋体"/>
          <w:b/>
          <w:color w:val="auto"/>
          <w:sz w:val="30"/>
          <w:szCs w:val="30"/>
          <w:highlight w:val="none"/>
          <w:u w:val="single"/>
          <w:lang w:val="en-US" w:eastAsia="zh-CN"/>
        </w:rPr>
      </w:pPr>
      <w:r>
        <w:rPr>
          <w:rFonts w:hint="eastAsia" w:ascii="宋体" w:hAnsi="宋体" w:cs="宋体"/>
          <w:b/>
          <w:color w:val="auto"/>
          <w:sz w:val="30"/>
          <w:szCs w:val="30"/>
          <w:highlight w:val="none"/>
          <w:lang w:val="en-US" w:eastAsia="zh-CN"/>
        </w:rPr>
        <w:t xml:space="preserve">             </w:t>
      </w:r>
      <w:r>
        <w:rPr>
          <w:rFonts w:hint="eastAsia" w:ascii="宋体" w:hAnsi="宋体" w:cs="宋体"/>
          <w:b/>
          <w:color w:val="auto"/>
          <w:kern w:val="0"/>
          <w:sz w:val="28"/>
          <w:szCs w:val="28"/>
          <w:highlight w:val="none"/>
          <w:lang w:val="en-US" w:eastAsia="zh-CN"/>
        </w:rPr>
        <w:t>包号</w:t>
      </w:r>
      <w:r>
        <w:rPr>
          <w:rFonts w:hint="eastAsia" w:ascii="宋体" w:hAnsi="宋体" w:cs="宋体"/>
          <w:b/>
          <w:color w:val="auto"/>
          <w:sz w:val="30"/>
          <w:szCs w:val="30"/>
          <w:highlight w:val="none"/>
          <w:lang w:val="en-US" w:eastAsia="zh-CN"/>
        </w:rPr>
        <w:t>：</w:t>
      </w:r>
      <w:r>
        <w:rPr>
          <w:rFonts w:hint="eastAsia" w:ascii="宋体" w:hAnsi="宋体" w:cs="宋体"/>
          <w:b/>
          <w:color w:val="auto"/>
          <w:sz w:val="30"/>
          <w:szCs w:val="30"/>
          <w:highlight w:val="none"/>
          <w:u w:val="single"/>
          <w:lang w:val="en-US" w:eastAsia="zh-CN"/>
        </w:rPr>
        <w:t xml:space="preserve">                 </w:t>
      </w:r>
    </w:p>
    <w:p w14:paraId="7D8C7A7F">
      <w:pPr>
        <w:rPr>
          <w:rFonts w:ascii="宋体" w:hAnsi="宋体" w:cs="宋体"/>
          <w:color w:val="auto"/>
          <w:highlight w:val="none"/>
        </w:rPr>
      </w:pPr>
    </w:p>
    <w:p w14:paraId="22FA54ED">
      <w:pPr>
        <w:spacing w:line="360" w:lineRule="auto"/>
        <w:jc w:val="center"/>
        <w:rPr>
          <w:rFonts w:ascii="宋体" w:hAnsi="宋体" w:cs="宋体"/>
          <w:b/>
          <w:color w:val="auto"/>
          <w:sz w:val="30"/>
          <w:szCs w:val="30"/>
          <w:highlight w:val="none"/>
        </w:rPr>
      </w:pPr>
      <w:r>
        <w:rPr>
          <w:rFonts w:hint="eastAsia" w:ascii="宋体" w:hAnsi="宋体" w:cs="宋体"/>
          <w:b/>
          <w:color w:val="auto"/>
          <w:sz w:val="30"/>
          <w:szCs w:val="30"/>
          <w:highlight w:val="none"/>
        </w:rPr>
        <w:t>（正本/副本）</w:t>
      </w:r>
    </w:p>
    <w:p w14:paraId="765613D3">
      <w:pPr>
        <w:pStyle w:val="22"/>
        <w:spacing w:line="360" w:lineRule="auto"/>
        <w:rPr>
          <w:rFonts w:ascii="宋体" w:hAnsi="宋体" w:cs="宋体"/>
          <w:color w:val="auto"/>
          <w:highlight w:val="none"/>
        </w:rPr>
      </w:pPr>
    </w:p>
    <w:p w14:paraId="03951A04">
      <w:pPr>
        <w:spacing w:line="360" w:lineRule="auto"/>
        <w:rPr>
          <w:rFonts w:ascii="宋体" w:hAnsi="宋体" w:cs="宋体"/>
          <w:b/>
          <w:color w:val="auto"/>
          <w:sz w:val="30"/>
          <w:szCs w:val="30"/>
          <w:highlight w:val="none"/>
        </w:rPr>
      </w:pPr>
    </w:p>
    <w:p w14:paraId="405FE265">
      <w:pPr>
        <w:widowControl/>
        <w:spacing w:before="159" w:beforeLines="50" w:after="159" w:afterLines="50" w:line="360" w:lineRule="auto"/>
        <w:ind w:firstLine="843" w:firstLineChars="300"/>
        <w:jc w:val="left"/>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供应商名称 ：</w:t>
      </w:r>
      <w:r>
        <w:rPr>
          <w:rFonts w:hint="eastAsia" w:ascii="宋体" w:hAnsi="宋体" w:cs="宋体"/>
          <w:b/>
          <w:color w:val="auto"/>
          <w:kern w:val="0"/>
          <w:sz w:val="28"/>
          <w:szCs w:val="28"/>
          <w:highlight w:val="none"/>
          <w:u w:val="single"/>
        </w:rPr>
        <w:t xml:space="preserve"> </w:t>
      </w:r>
      <w:r>
        <w:rPr>
          <w:rFonts w:ascii="宋体" w:hAnsi="宋体" w:cs="宋体"/>
          <w:b/>
          <w:color w:val="auto"/>
          <w:kern w:val="0"/>
          <w:sz w:val="28"/>
          <w:szCs w:val="28"/>
          <w:highlight w:val="none"/>
          <w:u w:val="single"/>
        </w:rPr>
        <w:t xml:space="preserve">                 </w:t>
      </w:r>
      <w:r>
        <w:rPr>
          <w:rFonts w:hint="eastAsia" w:ascii="宋体" w:hAnsi="宋体" w:cs="宋体"/>
          <w:b/>
          <w:color w:val="auto"/>
          <w:kern w:val="0"/>
          <w:sz w:val="28"/>
          <w:szCs w:val="28"/>
          <w:highlight w:val="none"/>
        </w:rPr>
        <w:t xml:space="preserve">（盖章） </w:t>
      </w:r>
    </w:p>
    <w:p w14:paraId="40CC3055">
      <w:pPr>
        <w:pStyle w:val="22"/>
        <w:spacing w:before="159" w:beforeLines="50" w:after="159" w:afterLines="50" w:line="360" w:lineRule="auto"/>
        <w:ind w:firstLine="843" w:firstLineChars="300"/>
        <w:jc w:val="left"/>
        <w:rPr>
          <w:rFonts w:ascii="宋体" w:hAnsi="宋体" w:cs="宋体"/>
          <w:b/>
          <w:color w:val="auto"/>
          <w:kern w:val="0"/>
          <w:sz w:val="28"/>
          <w:szCs w:val="28"/>
          <w:highlight w:val="none"/>
          <w:u w:val="single"/>
        </w:rPr>
      </w:pPr>
      <w:r>
        <w:rPr>
          <w:rFonts w:hint="eastAsia" w:ascii="宋体" w:hAnsi="宋体" w:cs="宋体"/>
          <w:b/>
          <w:color w:val="auto"/>
          <w:kern w:val="0"/>
          <w:sz w:val="28"/>
          <w:szCs w:val="28"/>
          <w:highlight w:val="none"/>
        </w:rPr>
        <w:t xml:space="preserve">响应代表人： </w:t>
      </w:r>
      <w:r>
        <w:rPr>
          <w:rFonts w:ascii="宋体" w:hAnsi="宋体" w:cs="宋体"/>
          <w:b/>
          <w:color w:val="auto"/>
          <w:kern w:val="0"/>
          <w:sz w:val="28"/>
          <w:szCs w:val="28"/>
          <w:highlight w:val="none"/>
          <w:u w:val="single"/>
        </w:rPr>
        <w:t xml:space="preserve">             </w:t>
      </w:r>
      <w:r>
        <w:rPr>
          <w:rFonts w:hint="eastAsia" w:ascii="宋体" w:hAnsi="宋体" w:cs="宋体"/>
          <w:b/>
          <w:color w:val="auto"/>
          <w:kern w:val="0"/>
          <w:sz w:val="28"/>
          <w:szCs w:val="28"/>
          <w:highlight w:val="none"/>
        </w:rPr>
        <w:t>（签字）</w:t>
      </w:r>
    </w:p>
    <w:p w14:paraId="5B2DFD4C">
      <w:pPr>
        <w:pStyle w:val="22"/>
        <w:spacing w:before="159" w:beforeLines="50" w:after="159" w:afterLines="50" w:line="360" w:lineRule="auto"/>
        <w:ind w:firstLine="843" w:firstLineChars="300"/>
        <w:jc w:val="left"/>
        <w:rPr>
          <w:rFonts w:ascii="宋体" w:hAnsi="宋体" w:cs="宋体"/>
          <w:b/>
          <w:color w:val="auto"/>
          <w:kern w:val="0"/>
          <w:sz w:val="28"/>
          <w:szCs w:val="28"/>
          <w:highlight w:val="none"/>
          <w:u w:val="single"/>
        </w:rPr>
      </w:pPr>
      <w:r>
        <w:rPr>
          <w:rFonts w:hint="eastAsia" w:ascii="宋体" w:hAnsi="宋体" w:cs="宋体"/>
          <w:b/>
          <w:color w:val="auto"/>
          <w:kern w:val="0"/>
          <w:sz w:val="28"/>
          <w:szCs w:val="28"/>
          <w:highlight w:val="none"/>
        </w:rPr>
        <w:t>手      机：</w:t>
      </w:r>
      <w:r>
        <w:rPr>
          <w:rFonts w:hint="eastAsia" w:ascii="宋体" w:hAnsi="宋体" w:cs="宋体"/>
          <w:b/>
          <w:color w:val="auto"/>
          <w:kern w:val="0"/>
          <w:sz w:val="28"/>
          <w:szCs w:val="28"/>
          <w:highlight w:val="none"/>
          <w:u w:val="single"/>
        </w:rPr>
        <w:t xml:space="preserve"> </w:t>
      </w:r>
      <w:r>
        <w:rPr>
          <w:rFonts w:ascii="宋体" w:hAnsi="宋体" w:cs="宋体"/>
          <w:b/>
          <w:color w:val="auto"/>
          <w:kern w:val="0"/>
          <w:sz w:val="28"/>
          <w:szCs w:val="28"/>
          <w:highlight w:val="none"/>
          <w:u w:val="single"/>
        </w:rPr>
        <w:t xml:space="preserve">             </w:t>
      </w:r>
    </w:p>
    <w:p w14:paraId="2B80C2B1">
      <w:pPr>
        <w:pStyle w:val="22"/>
        <w:spacing w:before="159" w:beforeLines="50" w:after="159" w:afterLines="50" w:line="360" w:lineRule="auto"/>
        <w:ind w:firstLine="843" w:firstLineChars="300"/>
        <w:jc w:val="left"/>
        <w:rPr>
          <w:rFonts w:ascii="宋体" w:hAnsi="宋体" w:cs="宋体"/>
          <w:b/>
          <w:color w:val="auto"/>
          <w:sz w:val="28"/>
          <w:szCs w:val="28"/>
          <w:highlight w:val="none"/>
        </w:rPr>
      </w:pPr>
      <w:r>
        <w:rPr>
          <w:rFonts w:hint="eastAsia" w:ascii="宋体" w:hAnsi="宋体" w:cs="宋体"/>
          <w:b/>
          <w:color w:val="auto"/>
          <w:kern w:val="0"/>
          <w:sz w:val="28"/>
          <w:szCs w:val="28"/>
          <w:highlight w:val="none"/>
        </w:rPr>
        <w:t>日      期：</w:t>
      </w:r>
      <w:r>
        <w:rPr>
          <w:rFonts w:hint="eastAsia" w:ascii="宋体" w:hAnsi="宋体" w:cs="宋体"/>
          <w:b/>
          <w:color w:val="auto"/>
          <w:kern w:val="0"/>
          <w:sz w:val="28"/>
          <w:szCs w:val="28"/>
          <w:highlight w:val="none"/>
          <w:u w:val="single"/>
        </w:rPr>
        <w:t xml:space="preserve"> </w:t>
      </w:r>
      <w:r>
        <w:rPr>
          <w:rFonts w:ascii="宋体" w:hAnsi="宋体" w:cs="宋体"/>
          <w:b/>
          <w:color w:val="auto"/>
          <w:kern w:val="0"/>
          <w:sz w:val="28"/>
          <w:szCs w:val="28"/>
          <w:highlight w:val="none"/>
          <w:u w:val="single"/>
        </w:rPr>
        <w:t xml:space="preserve">      </w:t>
      </w:r>
      <w:r>
        <w:rPr>
          <w:rFonts w:hint="eastAsia" w:ascii="宋体" w:hAnsi="宋体" w:cs="宋体"/>
          <w:b/>
          <w:color w:val="auto"/>
          <w:kern w:val="0"/>
          <w:sz w:val="28"/>
          <w:szCs w:val="28"/>
          <w:highlight w:val="none"/>
        </w:rPr>
        <w:t>年</w:t>
      </w:r>
      <w:r>
        <w:rPr>
          <w:rFonts w:hint="eastAsia" w:ascii="宋体" w:hAnsi="宋体" w:cs="宋体"/>
          <w:b/>
          <w:color w:val="auto"/>
          <w:kern w:val="0"/>
          <w:sz w:val="28"/>
          <w:szCs w:val="28"/>
          <w:highlight w:val="none"/>
          <w:u w:val="single"/>
        </w:rPr>
        <w:t xml:space="preserve"> </w:t>
      </w:r>
      <w:r>
        <w:rPr>
          <w:rFonts w:ascii="宋体" w:hAnsi="宋体" w:cs="宋体"/>
          <w:b/>
          <w:color w:val="auto"/>
          <w:kern w:val="0"/>
          <w:sz w:val="28"/>
          <w:szCs w:val="28"/>
          <w:highlight w:val="none"/>
          <w:u w:val="single"/>
        </w:rPr>
        <w:t xml:space="preserve">     </w:t>
      </w:r>
      <w:r>
        <w:rPr>
          <w:rFonts w:hint="eastAsia" w:ascii="宋体" w:hAnsi="宋体" w:cs="宋体"/>
          <w:b/>
          <w:color w:val="auto"/>
          <w:kern w:val="0"/>
          <w:sz w:val="28"/>
          <w:szCs w:val="28"/>
          <w:highlight w:val="none"/>
        </w:rPr>
        <w:t>月</w:t>
      </w:r>
      <w:r>
        <w:rPr>
          <w:rFonts w:hint="eastAsia" w:ascii="宋体" w:hAnsi="宋体" w:cs="宋体"/>
          <w:b/>
          <w:color w:val="auto"/>
          <w:kern w:val="0"/>
          <w:sz w:val="28"/>
          <w:szCs w:val="28"/>
          <w:highlight w:val="none"/>
          <w:u w:val="single"/>
        </w:rPr>
        <w:t xml:space="preserve"> </w:t>
      </w:r>
      <w:r>
        <w:rPr>
          <w:rFonts w:ascii="宋体" w:hAnsi="宋体" w:cs="宋体"/>
          <w:b/>
          <w:color w:val="auto"/>
          <w:kern w:val="0"/>
          <w:sz w:val="28"/>
          <w:szCs w:val="28"/>
          <w:highlight w:val="none"/>
          <w:u w:val="single"/>
        </w:rPr>
        <w:t xml:space="preserve">     </w:t>
      </w:r>
      <w:r>
        <w:rPr>
          <w:rFonts w:hint="eastAsia" w:ascii="宋体" w:hAnsi="宋体" w:cs="宋体"/>
          <w:b/>
          <w:color w:val="auto"/>
          <w:kern w:val="0"/>
          <w:sz w:val="28"/>
          <w:szCs w:val="28"/>
          <w:highlight w:val="none"/>
        </w:rPr>
        <w:t>日</w:t>
      </w:r>
    </w:p>
    <w:p w14:paraId="0C78A344">
      <w:pPr>
        <w:spacing w:line="440" w:lineRule="exact"/>
        <w:jc w:val="center"/>
        <w:outlineLvl w:val="1"/>
        <w:rPr>
          <w:rFonts w:ascii="宋体" w:hAnsi="宋体" w:cs="宋体"/>
          <w:b/>
          <w:color w:val="auto"/>
          <w:sz w:val="24"/>
          <w:highlight w:val="none"/>
        </w:rPr>
      </w:pPr>
      <w:r>
        <w:rPr>
          <w:rFonts w:hint="eastAsia" w:ascii="宋体" w:hAnsi="宋体" w:cs="宋体"/>
          <w:b/>
          <w:color w:val="auto"/>
          <w:sz w:val="30"/>
          <w:szCs w:val="30"/>
          <w:highlight w:val="none"/>
        </w:rPr>
        <w:br w:type="page"/>
      </w:r>
      <w:r>
        <w:rPr>
          <w:rFonts w:hint="eastAsia" w:ascii="宋体" w:hAnsi="宋体" w:cs="宋体"/>
          <w:b/>
          <w:color w:val="auto"/>
          <w:sz w:val="30"/>
          <w:szCs w:val="30"/>
          <w:highlight w:val="none"/>
        </w:rPr>
        <w:t>1、响应承诺函</w:t>
      </w:r>
    </w:p>
    <w:p w14:paraId="6C0FAB0E">
      <w:pPr>
        <w:spacing w:before="159" w:line="440" w:lineRule="exact"/>
        <w:rPr>
          <w:rFonts w:ascii="宋体" w:hAnsi="宋体" w:cs="宋体"/>
          <w:b/>
          <w:bCs/>
          <w:color w:val="auto"/>
          <w:sz w:val="24"/>
          <w:highlight w:val="none"/>
        </w:rPr>
      </w:pPr>
      <w:r>
        <w:rPr>
          <w:rFonts w:hint="eastAsia" w:ascii="宋体" w:hAnsi="宋体" w:cs="宋体"/>
          <w:b/>
          <w:bCs/>
          <w:color w:val="auto"/>
          <w:sz w:val="24"/>
          <w:highlight w:val="none"/>
        </w:rPr>
        <w:t>致：海南政源招标代理有限公司</w:t>
      </w:r>
    </w:p>
    <w:p w14:paraId="50A1D047">
      <w:pPr>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根据贵方</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项目，项目编号为</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u w:val="none"/>
          <w:lang w:val="en-US" w:eastAsia="zh-CN"/>
        </w:rPr>
        <w:t>包号为</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的竞争性磋商公告，正式授权下述签字人姓名：</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职务：</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代表供应商</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（供应商全称），提交纸质响应文件正本</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份，副本</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份。</w:t>
      </w:r>
    </w:p>
    <w:p w14:paraId="496B65E1">
      <w:pPr>
        <w:spacing w:line="440" w:lineRule="exact"/>
        <w:ind w:firstLine="480" w:firstLineChars="200"/>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rPr>
        <w:t>本公司谨此承诺并声明：</w:t>
      </w:r>
      <w:r>
        <w:rPr>
          <w:rFonts w:hint="eastAsia" w:ascii="宋体" w:hAnsi="宋体" w:cs="宋体"/>
          <w:color w:val="auto"/>
          <w:sz w:val="24"/>
          <w:highlight w:val="none"/>
          <w:lang w:val="en-US" w:eastAsia="zh-CN"/>
        </w:rPr>
        <w:t xml:space="preserve"> </w:t>
      </w:r>
    </w:p>
    <w:p w14:paraId="5912A5F4">
      <w:pPr>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1、同意并接受磋商文件的各项条款要求，遵守文件中的各项规定，按磋商文件的要求响应。</w:t>
      </w:r>
    </w:p>
    <w:p w14:paraId="61782C92">
      <w:pPr>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bCs/>
          <w:color w:val="auto"/>
          <w:kern w:val="0"/>
          <w:sz w:val="24"/>
          <w:highlight w:val="none"/>
        </w:rPr>
        <w:t>本响应文件的有效期为从递交响应文件截止日期起计算的</w:t>
      </w:r>
      <w:r>
        <w:rPr>
          <w:rFonts w:hint="eastAsia" w:ascii="宋体" w:hAnsi="宋体" w:cs="宋体"/>
          <w:bCs/>
          <w:color w:val="auto"/>
          <w:kern w:val="0"/>
          <w:sz w:val="24"/>
          <w:highlight w:val="none"/>
          <w:u w:val="single"/>
        </w:rPr>
        <w:t xml:space="preserve">     </w:t>
      </w:r>
      <w:r>
        <w:rPr>
          <w:rFonts w:hint="eastAsia" w:ascii="宋体" w:hAnsi="宋体" w:cs="宋体"/>
          <w:bCs/>
          <w:color w:val="auto"/>
          <w:kern w:val="0"/>
          <w:sz w:val="24"/>
          <w:highlight w:val="none"/>
        </w:rPr>
        <w:t>日历</w:t>
      </w:r>
      <w:r>
        <w:rPr>
          <w:rFonts w:hint="eastAsia" w:ascii="宋体" w:hAnsi="宋体" w:cs="宋体"/>
          <w:bCs/>
          <w:color w:val="auto"/>
          <w:kern w:val="0"/>
          <w:sz w:val="24"/>
          <w:highlight w:val="none"/>
          <w:lang w:val="en-US" w:eastAsia="zh-CN"/>
        </w:rPr>
        <w:t>天</w:t>
      </w:r>
      <w:r>
        <w:rPr>
          <w:rFonts w:hint="eastAsia" w:ascii="宋体" w:hAnsi="宋体" w:cs="宋体"/>
          <w:bCs/>
          <w:color w:val="auto"/>
          <w:kern w:val="0"/>
          <w:sz w:val="24"/>
          <w:highlight w:val="none"/>
        </w:rPr>
        <w:t>，在此期间，本响应文件将始终对我们具有约束力，并可随时被接受</w:t>
      </w:r>
      <w:r>
        <w:rPr>
          <w:rFonts w:hint="eastAsia" w:ascii="宋体" w:hAnsi="宋体" w:cs="宋体"/>
          <w:color w:val="auto"/>
          <w:sz w:val="24"/>
          <w:highlight w:val="none"/>
        </w:rPr>
        <w:t>澄清</w:t>
      </w:r>
      <w:r>
        <w:rPr>
          <w:rFonts w:hint="eastAsia" w:ascii="宋体" w:hAnsi="宋体" w:cs="宋体"/>
          <w:bCs/>
          <w:color w:val="auto"/>
          <w:kern w:val="0"/>
          <w:sz w:val="24"/>
          <w:highlight w:val="none"/>
        </w:rPr>
        <w:t>。如果我方中选，本响应文件在此期间之后将继续保持有效。</w:t>
      </w:r>
    </w:p>
    <w:p w14:paraId="6797B458">
      <w:pPr>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3、我方已经详细地阅读了全部磋商文件及其附件，包括澄清及参考文件。我方已完全清晰理解磋商文件的要求，不存在任何含糊不清和误解之处，同意放弃对这些文件所提出的异议和质疑的权利。</w:t>
      </w:r>
    </w:p>
    <w:p w14:paraId="01AAF79D">
      <w:pPr>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4、我方已毫无保留地向贵方提供一切所需的证明材料。不论在任何时候，将按贵方要求如实提供一切补充材料。</w:t>
      </w:r>
    </w:p>
    <w:p w14:paraId="673B1549">
      <w:pPr>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5、我方承诺在本次响应中提供的一切文件，无论是原件还是复印件均为真实和准确的，绝无任何虚假、伪造和夸大的成份，否则，愿承担相应的后果和法律责任。</w:t>
      </w:r>
    </w:p>
    <w:p w14:paraId="272BFDB4">
      <w:pPr>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6、我方完全服从和尊重磋商小组所作的评审结果，同时清楚理解到响应报价最低并不一定获得成交资格。</w:t>
      </w:r>
    </w:p>
    <w:p w14:paraId="521EDD23">
      <w:pPr>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7</w:t>
      </w:r>
      <w:r>
        <w:rPr>
          <w:rFonts w:hint="eastAsia" w:ascii="宋体" w:hAnsi="宋体" w:cs="宋体"/>
          <w:color w:val="auto"/>
          <w:sz w:val="24"/>
          <w:highlight w:val="none"/>
        </w:rPr>
        <w:t>、我方在参与本次竞争性磋商采购活动中，不以任何不当手段影响、串通、排斥有关当事人或谋取、施予非法利益，如有不当行为，愿承担此行为所造成的不利后果和法律责任。</w:t>
      </w:r>
    </w:p>
    <w:p w14:paraId="50B8D6E3">
      <w:pPr>
        <w:spacing w:before="319" w:after="319"/>
        <w:jc w:val="center"/>
        <w:rPr>
          <w:rFonts w:ascii="宋体" w:hAnsi="宋体" w:cs="宋体"/>
          <w:color w:val="auto"/>
          <w:sz w:val="24"/>
          <w:highlight w:val="none"/>
        </w:rPr>
      </w:pPr>
    </w:p>
    <w:p w14:paraId="686CDD68">
      <w:pPr>
        <w:spacing w:before="319" w:after="319"/>
        <w:jc w:val="center"/>
        <w:rPr>
          <w:rFonts w:ascii="宋体" w:hAnsi="宋体" w:cs="宋体"/>
          <w:color w:val="auto"/>
          <w:sz w:val="24"/>
          <w:highlight w:val="none"/>
        </w:rPr>
      </w:pPr>
      <w:r>
        <w:rPr>
          <w:rFonts w:hint="eastAsia" w:ascii="宋体" w:hAnsi="宋体" w:cs="宋体"/>
          <w:color w:val="auto"/>
          <w:sz w:val="24"/>
          <w:highlight w:val="none"/>
        </w:rPr>
        <w:t xml:space="preserve">                   供应商名称（全称并盖章）：</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u w:val="single"/>
          <w:lang w:val="en-US" w:eastAsia="zh-CN"/>
        </w:rPr>
        <w:t xml:space="preserve">     </w:t>
      </w:r>
      <w:r>
        <w:rPr>
          <w:rFonts w:hint="eastAsia" w:ascii="宋体" w:hAnsi="宋体" w:cs="宋体"/>
          <w:bCs/>
          <w:color w:val="auto"/>
          <w:sz w:val="24"/>
          <w:highlight w:val="none"/>
          <w:u w:val="single"/>
        </w:rPr>
        <w:t xml:space="preserve">   </w:t>
      </w:r>
      <w:r>
        <w:rPr>
          <w:rFonts w:hint="eastAsia" w:ascii="宋体" w:hAnsi="宋体" w:cs="宋体"/>
          <w:color w:val="auto"/>
          <w:sz w:val="24"/>
          <w:highlight w:val="none"/>
        </w:rPr>
        <w:t xml:space="preserve">           </w:t>
      </w:r>
    </w:p>
    <w:p w14:paraId="3108FEFB">
      <w:pPr>
        <w:spacing w:before="319" w:after="319"/>
        <w:jc w:val="center"/>
        <w:rPr>
          <w:rFonts w:ascii="宋体" w:hAnsi="宋体" w:cs="宋体"/>
          <w:color w:val="auto"/>
          <w:sz w:val="24"/>
          <w:highlight w:val="none"/>
          <w:u w:val="single"/>
        </w:rPr>
      </w:pPr>
      <w:r>
        <w:rPr>
          <w:rFonts w:hint="eastAsia" w:ascii="宋体" w:hAnsi="宋体" w:cs="宋体"/>
          <w:color w:val="auto"/>
          <w:sz w:val="24"/>
          <w:highlight w:val="none"/>
        </w:rPr>
        <w:t xml:space="preserve">                       法定代表人或被授权人</w:t>
      </w:r>
      <w:r>
        <w:rPr>
          <w:rFonts w:hint="eastAsia" w:ascii="宋体" w:hAnsi="宋体" w:cs="宋体"/>
          <w:bCs/>
          <w:color w:val="auto"/>
          <w:sz w:val="24"/>
          <w:highlight w:val="none"/>
        </w:rPr>
        <w:t>（签字）</w:t>
      </w:r>
      <w:r>
        <w:rPr>
          <w:rFonts w:hint="eastAsia" w:ascii="宋体" w:hAnsi="宋体" w:cs="宋体"/>
          <w:color w:val="auto"/>
          <w:sz w:val="24"/>
          <w:highlight w:val="none"/>
        </w:rPr>
        <w:t>：</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p>
    <w:p w14:paraId="30DECE68">
      <w:pPr>
        <w:snapToGrid w:val="0"/>
        <w:spacing w:before="319" w:after="319"/>
        <w:jc w:val="right"/>
        <w:rPr>
          <w:rFonts w:ascii="宋体" w:hAnsi="宋体" w:cs="宋体"/>
          <w:b/>
          <w:bCs/>
          <w:color w:val="auto"/>
          <w:sz w:val="24"/>
          <w:highlight w:val="none"/>
        </w:rPr>
      </w:pPr>
      <w:r>
        <w:rPr>
          <w:rFonts w:hint="eastAsia" w:ascii="宋体" w:hAnsi="宋体" w:cs="宋体"/>
          <w:color w:val="auto"/>
          <w:sz w:val="24"/>
          <w:highlight w:val="none"/>
        </w:rPr>
        <w:t xml:space="preserve">                   </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日期：</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w:t>
      </w:r>
    </w:p>
    <w:p w14:paraId="17E80B1D">
      <w:pPr>
        <w:rPr>
          <w:rFonts w:ascii="宋体" w:hAnsi="宋体" w:cs="宋体"/>
          <w:b/>
          <w:bCs/>
          <w:color w:val="auto"/>
          <w:sz w:val="24"/>
          <w:highlight w:val="none"/>
        </w:rPr>
      </w:pPr>
      <w:r>
        <w:rPr>
          <w:rFonts w:ascii="宋体" w:hAnsi="宋体" w:cs="宋体"/>
          <w:b/>
          <w:bCs/>
          <w:color w:val="auto"/>
          <w:sz w:val="24"/>
          <w:highlight w:val="none"/>
        </w:rPr>
        <w:br w:type="page"/>
      </w:r>
    </w:p>
    <w:p w14:paraId="0043C329">
      <w:pPr>
        <w:spacing w:line="440" w:lineRule="exact"/>
        <w:jc w:val="center"/>
        <w:outlineLvl w:val="1"/>
        <w:rPr>
          <w:rFonts w:ascii="宋体" w:hAnsi="宋体" w:cs="宋体"/>
          <w:b/>
          <w:color w:val="auto"/>
          <w:sz w:val="30"/>
          <w:szCs w:val="30"/>
          <w:highlight w:val="none"/>
          <w:lang w:val="zh-CN"/>
        </w:rPr>
      </w:pPr>
      <w:r>
        <w:rPr>
          <w:rFonts w:hint="eastAsia" w:ascii="宋体" w:hAnsi="宋体" w:cs="宋体"/>
          <w:b/>
          <w:color w:val="auto"/>
          <w:sz w:val="30"/>
          <w:szCs w:val="30"/>
          <w:highlight w:val="none"/>
        </w:rPr>
        <w:t>2、法定代表人身份证明</w:t>
      </w:r>
    </w:p>
    <w:p w14:paraId="576CC7DF">
      <w:pPr>
        <w:spacing w:before="159" w:line="480" w:lineRule="auto"/>
        <w:rPr>
          <w:rFonts w:ascii="宋体" w:hAnsi="宋体" w:cs="宋体"/>
          <w:b/>
          <w:bCs/>
          <w:color w:val="auto"/>
          <w:sz w:val="24"/>
          <w:highlight w:val="none"/>
        </w:rPr>
      </w:pPr>
      <w:r>
        <w:rPr>
          <w:rFonts w:hint="eastAsia" w:ascii="宋体" w:hAnsi="宋体" w:cs="宋体"/>
          <w:b/>
          <w:bCs/>
          <w:color w:val="auto"/>
          <w:sz w:val="24"/>
          <w:highlight w:val="none"/>
          <w:lang w:val="zh-CN"/>
        </w:rPr>
        <w:t>致：海南政源招标代理有限公司</w:t>
      </w:r>
    </w:p>
    <w:p w14:paraId="2F6DC181">
      <w:pPr>
        <w:spacing w:line="480" w:lineRule="auto"/>
        <w:ind w:firstLine="480" w:firstLineChars="200"/>
        <w:rPr>
          <w:rFonts w:ascii="宋体" w:hAnsi="宋体" w:cs="宋体"/>
          <w:color w:val="auto"/>
          <w:sz w:val="24"/>
          <w:highlight w:val="none"/>
        </w:rPr>
      </w:pPr>
      <w:r>
        <w:rPr>
          <w:rFonts w:hint="eastAsia" w:ascii="宋体" w:hAnsi="宋体" w:cs="宋体"/>
          <w:color w:val="auto"/>
          <w:sz w:val="24"/>
          <w:highlight w:val="none"/>
          <w:u w:val="single"/>
          <w:lang w:val="zh-CN"/>
        </w:rPr>
        <w:t>（供应商全称）</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lang w:val="zh-CN"/>
        </w:rPr>
        <w:t>在下面签字的姓名：</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性别：</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年龄：</w:t>
      </w:r>
      <w:r>
        <w:rPr>
          <w:rFonts w:hint="eastAsia" w:ascii="宋体" w:hAnsi="宋体" w:cs="宋体"/>
          <w:color w:val="auto"/>
          <w:sz w:val="24"/>
          <w:highlight w:val="none"/>
          <w:u w:val="single"/>
        </w:rPr>
        <w:t xml:space="preserve">        </w:t>
      </w:r>
      <w:r>
        <w:rPr>
          <w:rFonts w:hint="eastAsia" w:ascii="宋体" w:hAnsi="宋体" w:cs="宋体"/>
          <w:color w:val="auto"/>
          <w:sz w:val="24"/>
          <w:highlight w:val="none"/>
          <w:lang w:val="zh-CN"/>
        </w:rPr>
        <w:t>职务：</w:t>
      </w:r>
      <w:r>
        <w:rPr>
          <w:rFonts w:hint="eastAsia" w:ascii="宋体" w:hAnsi="宋体" w:cs="宋体"/>
          <w:color w:val="auto"/>
          <w:sz w:val="24"/>
          <w:highlight w:val="none"/>
          <w:u w:val="single"/>
        </w:rPr>
        <w:t xml:space="preserve">          </w:t>
      </w:r>
      <w:r>
        <w:rPr>
          <w:rFonts w:hint="eastAsia" w:ascii="宋体" w:hAnsi="宋体" w:cs="宋体"/>
          <w:color w:val="auto"/>
          <w:sz w:val="24"/>
          <w:highlight w:val="none"/>
          <w:lang w:val="zh-CN"/>
        </w:rPr>
        <w:t>为本单位的法定代表人</w:t>
      </w:r>
      <w:r>
        <w:rPr>
          <w:rFonts w:hint="eastAsia" w:ascii="宋体" w:hAnsi="宋体" w:cs="宋体"/>
          <w:color w:val="auto"/>
          <w:sz w:val="24"/>
          <w:highlight w:val="none"/>
        </w:rPr>
        <w:t>。</w:t>
      </w:r>
    </w:p>
    <w:p w14:paraId="7B15D0FD">
      <w:pPr>
        <w:pStyle w:val="22"/>
        <w:ind w:firstLine="400"/>
        <w:rPr>
          <w:rFonts w:ascii="宋体" w:hAnsi="宋体" w:cs="宋体"/>
          <w:color w:val="auto"/>
          <w:sz w:val="20"/>
          <w:szCs w:val="22"/>
          <w:highlight w:val="none"/>
        </w:rPr>
      </w:pPr>
    </w:p>
    <w:p w14:paraId="3E340B9E">
      <w:pPr>
        <w:spacing w:before="319" w:after="319" w:line="440" w:lineRule="exact"/>
        <w:ind w:firstLine="638" w:firstLineChars="266"/>
        <w:rPr>
          <w:rFonts w:ascii="宋体" w:hAnsi="宋体" w:cs="宋体"/>
          <w:color w:val="auto"/>
          <w:sz w:val="24"/>
          <w:highlight w:val="none"/>
          <w:u w:val="single"/>
        </w:rPr>
      </w:pPr>
      <w:r>
        <w:rPr>
          <w:rFonts w:hint="eastAsia" w:ascii="宋体" w:hAnsi="宋体" w:cs="宋体"/>
          <w:color w:val="auto"/>
          <w:sz w:val="24"/>
          <w:highlight w:val="none"/>
        </w:rPr>
        <w:t>供  应  商（全称并盖章）：</w:t>
      </w:r>
      <w:r>
        <w:rPr>
          <w:rFonts w:hint="eastAsia" w:ascii="宋体" w:hAnsi="宋体" w:cs="宋体"/>
          <w:color w:val="auto"/>
          <w:sz w:val="24"/>
          <w:highlight w:val="none"/>
          <w:u w:val="single"/>
        </w:rPr>
        <w:t xml:space="preserve">                       </w:t>
      </w:r>
    </w:p>
    <w:p w14:paraId="59723E43">
      <w:pPr>
        <w:spacing w:before="319" w:after="319" w:line="440" w:lineRule="exact"/>
        <w:ind w:firstLine="638" w:firstLineChars="266"/>
        <w:rPr>
          <w:rFonts w:ascii="宋体" w:hAnsi="宋体" w:cs="宋体"/>
          <w:color w:val="auto"/>
          <w:sz w:val="24"/>
          <w:highlight w:val="none"/>
          <w:u w:val="single"/>
        </w:rPr>
      </w:pPr>
      <w:r>
        <w:rPr>
          <w:rFonts w:hint="eastAsia" w:ascii="宋体" w:hAnsi="宋体" w:cs="宋体"/>
          <w:color w:val="auto"/>
          <w:sz w:val="24"/>
          <w:highlight w:val="none"/>
        </w:rPr>
        <w:t>营 业 执 照 号 码：</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p>
    <w:p w14:paraId="07BB0EB5">
      <w:pPr>
        <w:spacing w:before="319" w:after="319" w:line="440" w:lineRule="exact"/>
        <w:ind w:firstLine="638" w:firstLineChars="266"/>
        <w:rPr>
          <w:rFonts w:ascii="宋体" w:hAnsi="宋体" w:cs="宋体"/>
          <w:bCs/>
          <w:color w:val="auto"/>
          <w:sz w:val="24"/>
          <w:highlight w:val="none"/>
          <w:u w:val="single"/>
        </w:rPr>
      </w:pPr>
      <w:r>
        <w:rPr>
          <w:rFonts w:hint="eastAsia" w:ascii="宋体" w:hAnsi="宋体" w:cs="宋体"/>
          <w:color w:val="auto"/>
          <w:sz w:val="24"/>
          <w:highlight w:val="none"/>
        </w:rPr>
        <w:t>法定代表人</w:t>
      </w:r>
      <w:r>
        <w:rPr>
          <w:rFonts w:hint="eastAsia" w:ascii="宋体" w:hAnsi="宋体" w:cs="宋体"/>
          <w:bCs/>
          <w:color w:val="auto"/>
          <w:sz w:val="24"/>
          <w:highlight w:val="none"/>
        </w:rPr>
        <w:t>（签字或加盖个人名章）</w:t>
      </w:r>
      <w:r>
        <w:rPr>
          <w:rFonts w:hint="eastAsia" w:ascii="宋体" w:hAnsi="宋体" w:cs="宋体"/>
          <w:color w:val="auto"/>
          <w:sz w:val="24"/>
          <w:highlight w:val="none"/>
        </w:rPr>
        <w:t>：</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p>
    <w:p w14:paraId="3A8B9700">
      <w:pPr>
        <w:spacing w:before="319" w:after="319" w:line="440" w:lineRule="exact"/>
        <w:ind w:firstLine="638" w:firstLineChars="266"/>
        <w:rPr>
          <w:rFonts w:hint="default" w:ascii="宋体" w:hAnsi="宋体" w:eastAsia="宋体" w:cs="宋体"/>
          <w:color w:val="auto"/>
          <w:sz w:val="24"/>
          <w:highlight w:val="none"/>
          <w:u w:val="single"/>
          <w:lang w:val="en-US" w:eastAsia="zh-CN"/>
        </w:rPr>
      </w:pPr>
      <w:r>
        <w:rPr>
          <w:rFonts w:hint="eastAsia" w:ascii="宋体" w:hAnsi="宋体" w:cs="宋体"/>
          <w:bCs/>
          <w:color w:val="auto"/>
          <w:sz w:val="24"/>
          <w:highlight w:val="none"/>
        </w:rPr>
        <w:t>单  位  性  质：</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u w:val="single"/>
          <w:lang w:val="en-US" w:eastAsia="zh-CN"/>
        </w:rPr>
        <w:t xml:space="preserve">                </w:t>
      </w:r>
    </w:p>
    <w:p w14:paraId="56070617">
      <w:pPr>
        <w:spacing w:before="319" w:after="319" w:line="440" w:lineRule="exact"/>
        <w:ind w:firstLine="638" w:firstLineChars="266"/>
        <w:rPr>
          <w:rFonts w:ascii="宋体" w:hAnsi="宋体" w:cs="宋体"/>
          <w:color w:val="auto"/>
          <w:sz w:val="24"/>
          <w:highlight w:val="none"/>
          <w:u w:val="single"/>
        </w:rPr>
      </w:pPr>
      <w:r>
        <w:rPr>
          <w:rFonts w:hint="eastAsia" w:ascii="宋体" w:hAnsi="宋体" w:cs="宋体"/>
          <w:color w:val="auto"/>
          <w:sz w:val="24"/>
          <w:highlight w:val="none"/>
        </w:rPr>
        <w:t>联  系  电  话：</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p>
    <w:p w14:paraId="12D41549">
      <w:pPr>
        <w:spacing w:before="319" w:after="319" w:line="440" w:lineRule="exact"/>
        <w:ind w:firstLine="638" w:firstLineChars="266"/>
        <w:rPr>
          <w:rFonts w:hint="eastAsia" w:ascii="宋体" w:hAnsi="宋体" w:eastAsia="宋体" w:cs="宋体"/>
          <w:color w:val="auto"/>
          <w:sz w:val="24"/>
          <w:highlight w:val="none"/>
          <w:u w:val="single"/>
          <w:lang w:val="en-US" w:eastAsia="zh-CN"/>
        </w:rPr>
      </w:pPr>
      <w:r>
        <w:rPr>
          <w:rFonts w:hint="eastAsia" w:ascii="宋体" w:hAnsi="宋体" w:cs="宋体"/>
          <w:color w:val="auto"/>
          <w:sz w:val="24"/>
          <w:highlight w:val="none"/>
        </w:rPr>
        <w:t>地          址：</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p>
    <w:p w14:paraId="3D9F7408">
      <w:pPr>
        <w:spacing w:line="440" w:lineRule="exact"/>
        <w:ind w:firstLine="440" w:firstLineChars="200"/>
        <w:rPr>
          <w:rFonts w:ascii="宋体" w:hAnsi="宋体" w:cs="宋体"/>
          <w:color w:val="auto"/>
          <w:sz w:val="22"/>
          <w:highlight w:val="none"/>
        </w:rPr>
      </w:pPr>
      <w:r>
        <w:rPr>
          <w:rFonts w:ascii="宋体" w:hAnsi="宋体" w:eastAsia="宋体" w:cs="宋体"/>
          <w:color w:val="auto"/>
          <w:kern w:val="2"/>
          <w:sz w:val="22"/>
          <w:szCs w:val="22"/>
          <w:highlight w:val="none"/>
          <w:lang w:val="en-US" w:eastAsia="zh-CN" w:bidi="ar-SA"/>
        </w:rPr>
        <w:pict>
          <v:rect id="Rectangle 4" o:spid="_x0000_s1029" o:spt="1" style="position:absolute;left:0pt;margin-left:5.3pt;margin-top:10.15pt;height:126pt;width:440.5pt;z-index:251660288;mso-width-relative:page;mso-height-relative:page;" fillcolor="#FFFFFF" filled="t" stroked="t" coordsize="21600,21600" o:gfxdata="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m9FxJ1QAAAAkBAAAPAAAAAAAAAAEAIAAAACIAAABkcnMvZG93bnJldi54bWxQSwEC&#10;FAAUAAAACACHTuJAZH7FlfcBAAAtBAAADgAAAAAAAAABACAAAAAkAQAAZHJzL2Uyb0RvYy54bWxQ&#10;SwUGAAAAAAYABgBZAQAAjQUAAAAA&#10;">
            <v:path/>
            <v:fill on="t" focussize="0,0"/>
            <v:stroke color="#000000" joinstyle="miter"/>
            <v:imagedata o:title=""/>
            <o:lock v:ext="edit" aspectratio="f"/>
            <v:textbox>
              <w:txbxContent>
                <w:p w14:paraId="011E296D">
                  <w:pPr>
                    <w:ind w:firstLine="3373" w:firstLineChars="1200"/>
                    <w:rPr>
                      <w:rFonts w:ascii="宋体"/>
                      <w:b/>
                      <w:sz w:val="28"/>
                    </w:rPr>
                  </w:pPr>
                  <w:r>
                    <w:rPr>
                      <w:rFonts w:hint="eastAsia" w:ascii="宋体"/>
                      <w:b/>
                      <w:sz w:val="28"/>
                    </w:rPr>
                    <w:t>法定代表人</w:t>
                  </w:r>
                </w:p>
                <w:p w14:paraId="59CC1F16">
                  <w:pPr>
                    <w:jc w:val="center"/>
                    <w:rPr>
                      <w:rFonts w:ascii="宋体"/>
                      <w:b/>
                      <w:sz w:val="28"/>
                    </w:rPr>
                  </w:pPr>
                  <w:r>
                    <w:rPr>
                      <w:rFonts w:hint="eastAsia" w:ascii="宋体"/>
                      <w:b/>
                      <w:sz w:val="28"/>
                    </w:rPr>
                    <w:t>有效身份证明文件粘贴处</w:t>
                  </w:r>
                </w:p>
                <w:p w14:paraId="4590C876">
                  <w:pPr>
                    <w:ind w:left="-1079" w:leftChars="-514"/>
                    <w:jc w:val="center"/>
                    <w:rPr>
                      <w:rFonts w:ascii="宋体"/>
                      <w:b/>
                      <w:sz w:val="28"/>
                    </w:rPr>
                  </w:pPr>
                  <w:r>
                    <w:rPr>
                      <w:rFonts w:hint="eastAsia" w:ascii="宋体"/>
                      <w:b/>
                      <w:sz w:val="28"/>
                    </w:rPr>
                    <w:t xml:space="preserve">        （身份证应提供正反面）</w:t>
                  </w:r>
                </w:p>
              </w:txbxContent>
            </v:textbox>
          </v:rect>
        </w:pict>
      </w:r>
    </w:p>
    <w:p w14:paraId="5A53A9B1">
      <w:pPr>
        <w:spacing w:line="440" w:lineRule="exact"/>
        <w:ind w:firstLine="440" w:firstLineChars="200"/>
        <w:rPr>
          <w:rFonts w:ascii="宋体" w:hAnsi="宋体" w:cs="宋体"/>
          <w:color w:val="auto"/>
          <w:sz w:val="22"/>
          <w:highlight w:val="none"/>
        </w:rPr>
      </w:pPr>
    </w:p>
    <w:p w14:paraId="7F556F6D">
      <w:pPr>
        <w:spacing w:line="440" w:lineRule="exact"/>
        <w:ind w:firstLine="440" w:firstLineChars="200"/>
        <w:rPr>
          <w:rFonts w:ascii="宋体" w:hAnsi="宋体" w:cs="宋体"/>
          <w:color w:val="auto"/>
          <w:sz w:val="22"/>
          <w:highlight w:val="none"/>
        </w:rPr>
      </w:pPr>
    </w:p>
    <w:p w14:paraId="2510FA25">
      <w:pPr>
        <w:spacing w:line="440" w:lineRule="exact"/>
        <w:ind w:firstLine="440" w:firstLineChars="200"/>
        <w:rPr>
          <w:rFonts w:ascii="宋体" w:hAnsi="宋体" w:cs="宋体"/>
          <w:color w:val="auto"/>
          <w:sz w:val="22"/>
          <w:highlight w:val="none"/>
        </w:rPr>
      </w:pPr>
    </w:p>
    <w:p w14:paraId="24EB4D2B">
      <w:pPr>
        <w:spacing w:line="440" w:lineRule="exact"/>
        <w:ind w:firstLine="440" w:firstLineChars="200"/>
        <w:rPr>
          <w:rFonts w:ascii="宋体" w:hAnsi="宋体" w:cs="宋体"/>
          <w:color w:val="auto"/>
          <w:sz w:val="22"/>
          <w:highlight w:val="none"/>
        </w:rPr>
      </w:pPr>
    </w:p>
    <w:p w14:paraId="77C2DFC7">
      <w:pPr>
        <w:spacing w:line="440" w:lineRule="exact"/>
        <w:ind w:firstLine="440" w:firstLineChars="200"/>
        <w:rPr>
          <w:rFonts w:ascii="宋体" w:hAnsi="宋体" w:cs="宋体"/>
          <w:color w:val="auto"/>
          <w:sz w:val="22"/>
          <w:highlight w:val="none"/>
        </w:rPr>
      </w:pPr>
    </w:p>
    <w:p w14:paraId="4C43BD4F">
      <w:pPr>
        <w:spacing w:line="440" w:lineRule="exact"/>
        <w:rPr>
          <w:rFonts w:ascii="宋体" w:hAnsi="宋体" w:cs="宋体"/>
          <w:b/>
          <w:color w:val="auto"/>
          <w:sz w:val="28"/>
          <w:szCs w:val="28"/>
          <w:highlight w:val="none"/>
        </w:rPr>
      </w:pPr>
    </w:p>
    <w:p w14:paraId="43B3E054">
      <w:pPr>
        <w:spacing w:line="440" w:lineRule="exact"/>
        <w:jc w:val="left"/>
        <w:rPr>
          <w:rFonts w:ascii="宋体" w:hAnsi="宋体" w:cs="宋体"/>
          <w:b/>
          <w:color w:val="auto"/>
          <w:sz w:val="24"/>
          <w:highlight w:val="none"/>
        </w:rPr>
      </w:pPr>
      <w:r>
        <w:rPr>
          <w:rFonts w:hint="eastAsia" w:ascii="宋体" w:hAnsi="宋体" w:cs="宋体"/>
          <w:b/>
          <w:color w:val="auto"/>
          <w:sz w:val="24"/>
          <w:highlight w:val="none"/>
        </w:rPr>
        <w:t>特此证明。</w:t>
      </w:r>
    </w:p>
    <w:p w14:paraId="75B6CCE8">
      <w:pPr>
        <w:spacing w:line="440" w:lineRule="exact"/>
        <w:rPr>
          <w:rFonts w:ascii="宋体" w:hAnsi="宋体" w:cs="宋体"/>
          <w:color w:val="auto"/>
          <w:sz w:val="24"/>
          <w:highlight w:val="none"/>
        </w:rPr>
      </w:pPr>
    </w:p>
    <w:p w14:paraId="6DFBD3AD">
      <w:pPr>
        <w:spacing w:line="440" w:lineRule="exact"/>
        <w:jc w:val="right"/>
        <w:rPr>
          <w:rFonts w:ascii="宋体" w:hAnsi="宋体" w:cs="宋体"/>
          <w:b/>
          <w:color w:val="auto"/>
          <w:sz w:val="28"/>
          <w:szCs w:val="28"/>
          <w:highlight w:val="none"/>
        </w:rPr>
      </w:pPr>
      <w:r>
        <w:rPr>
          <w:rFonts w:hint="eastAsia" w:ascii="宋体" w:hAnsi="宋体" w:cs="宋体"/>
          <w:color w:val="auto"/>
          <w:sz w:val="24"/>
          <w:highlight w:val="none"/>
        </w:rPr>
        <w:t xml:space="preserve"> 日期：</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w:t>
      </w:r>
    </w:p>
    <w:p w14:paraId="42371FF8">
      <w:pPr>
        <w:spacing w:line="440" w:lineRule="exact"/>
        <w:ind w:firstLine="3162" w:firstLineChars="1500"/>
        <w:rPr>
          <w:rFonts w:ascii="宋体" w:hAnsi="宋体" w:cs="宋体"/>
          <w:b/>
          <w:bCs/>
          <w:color w:val="auto"/>
          <w:szCs w:val="21"/>
          <w:highlight w:val="none"/>
        </w:rPr>
      </w:pPr>
    </w:p>
    <w:p w14:paraId="7FDA4C1E">
      <w:pPr>
        <w:spacing w:line="440" w:lineRule="exact"/>
        <w:ind w:firstLine="3162" w:firstLineChars="1500"/>
        <w:rPr>
          <w:rFonts w:ascii="宋体" w:hAnsi="宋体" w:cs="宋体"/>
          <w:b/>
          <w:color w:val="auto"/>
          <w:sz w:val="30"/>
          <w:szCs w:val="30"/>
          <w:highlight w:val="none"/>
        </w:rPr>
      </w:pPr>
      <w:r>
        <w:rPr>
          <w:rFonts w:hint="eastAsia" w:ascii="宋体" w:hAnsi="宋体" w:cs="宋体"/>
          <w:b/>
          <w:bCs/>
          <w:color w:val="auto"/>
          <w:szCs w:val="21"/>
          <w:highlight w:val="none"/>
        </w:rPr>
        <w:t>注：本授权书内容不得擅自修改</w:t>
      </w:r>
    </w:p>
    <w:p w14:paraId="5DE2ADD6">
      <w:pPr>
        <w:jc w:val="center"/>
        <w:rPr>
          <w:rFonts w:ascii="宋体" w:hAnsi="宋体" w:cs="宋体"/>
          <w:b/>
          <w:color w:val="auto"/>
          <w:sz w:val="30"/>
          <w:szCs w:val="30"/>
          <w:highlight w:val="none"/>
        </w:rPr>
      </w:pPr>
      <w:r>
        <w:rPr>
          <w:rFonts w:hint="eastAsia" w:ascii="宋体" w:hAnsi="宋体" w:cs="宋体"/>
          <w:b/>
          <w:color w:val="auto"/>
          <w:sz w:val="30"/>
          <w:szCs w:val="30"/>
          <w:highlight w:val="none"/>
        </w:rPr>
        <w:br w:type="page"/>
      </w:r>
      <w:r>
        <w:rPr>
          <w:rFonts w:hint="eastAsia" w:ascii="宋体" w:hAnsi="宋体" w:cs="宋体"/>
          <w:b/>
          <w:color w:val="auto"/>
          <w:sz w:val="30"/>
          <w:szCs w:val="30"/>
          <w:highlight w:val="none"/>
        </w:rPr>
        <w:t>3、法定代表人授权委托书</w:t>
      </w:r>
    </w:p>
    <w:p w14:paraId="6E42823B">
      <w:pPr>
        <w:spacing w:before="159" w:line="440" w:lineRule="exact"/>
        <w:rPr>
          <w:rFonts w:ascii="宋体" w:hAnsi="宋体" w:cs="宋体"/>
          <w:b/>
          <w:bCs/>
          <w:color w:val="auto"/>
          <w:sz w:val="24"/>
          <w:highlight w:val="none"/>
        </w:rPr>
      </w:pPr>
      <w:r>
        <w:rPr>
          <w:rFonts w:hint="eastAsia" w:ascii="宋体" w:hAnsi="宋体" w:cs="宋体"/>
          <w:b/>
          <w:bCs/>
          <w:color w:val="auto"/>
          <w:sz w:val="24"/>
          <w:highlight w:val="none"/>
          <w:lang w:val="zh-CN"/>
        </w:rPr>
        <w:t>致：海南政源招标代理有限公司</w:t>
      </w:r>
    </w:p>
    <w:p w14:paraId="036DCEB3">
      <w:pPr>
        <w:spacing w:line="480" w:lineRule="auto"/>
        <w:ind w:firstLine="480" w:firstLineChars="200"/>
        <w:jc w:val="left"/>
        <w:rPr>
          <w:rFonts w:ascii="宋体" w:hAnsi="宋体" w:cs="宋体"/>
          <w:color w:val="auto"/>
          <w:sz w:val="24"/>
          <w:highlight w:val="none"/>
          <w:lang w:val="zh-CN"/>
        </w:rPr>
      </w:pPr>
      <w:r>
        <w:rPr>
          <w:rFonts w:hint="eastAsia" w:ascii="宋体" w:hAnsi="宋体" w:cs="宋体"/>
          <w:color w:val="auto"/>
          <w:sz w:val="24"/>
          <w:highlight w:val="none"/>
          <w:u w:val="single"/>
          <w:lang w:val="zh-CN"/>
        </w:rPr>
        <w:t>（供应商全称）</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lang w:val="zh-CN"/>
        </w:rPr>
        <w:t>法定代表人</w:t>
      </w:r>
      <w:r>
        <w:rPr>
          <w:rFonts w:hint="eastAsia" w:ascii="宋体" w:hAnsi="宋体" w:cs="宋体"/>
          <w:color w:val="auto"/>
          <w:sz w:val="24"/>
          <w:highlight w:val="none"/>
          <w:u w:val="single"/>
          <w:lang w:val="zh-CN"/>
        </w:rPr>
        <w:t>（姓名）</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lang w:val="zh-CN"/>
        </w:rPr>
        <w:t>授权</w:t>
      </w:r>
      <w:r>
        <w:rPr>
          <w:rFonts w:hint="eastAsia" w:ascii="宋体" w:hAnsi="宋体" w:cs="宋体"/>
          <w:color w:val="auto"/>
          <w:sz w:val="24"/>
          <w:highlight w:val="none"/>
          <w:u w:val="single"/>
        </w:rPr>
        <w:t>（响应代表姓名）</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lang w:val="zh-CN"/>
        </w:rPr>
        <w:t>为响应代表，代表本单位参加贵方组织的</w:t>
      </w:r>
      <w:r>
        <w:rPr>
          <w:rFonts w:hint="eastAsia" w:ascii="宋体" w:hAnsi="宋体" w:cs="宋体"/>
          <w:color w:val="auto"/>
          <w:sz w:val="24"/>
          <w:highlight w:val="none"/>
          <w:u w:val="single"/>
        </w:rPr>
        <w:t xml:space="preserve">            </w:t>
      </w:r>
      <w:r>
        <w:rPr>
          <w:rFonts w:hint="eastAsia" w:ascii="宋体" w:hAnsi="宋体" w:cs="宋体"/>
          <w:color w:val="auto"/>
          <w:sz w:val="24"/>
          <w:highlight w:val="none"/>
          <w:lang w:val="zh-CN"/>
        </w:rPr>
        <w:t>（项目名称）</w:t>
      </w:r>
      <w:r>
        <w:rPr>
          <w:rFonts w:hint="eastAsia" w:ascii="宋体" w:hAnsi="宋体" w:cs="宋体"/>
          <w:color w:val="auto"/>
          <w:sz w:val="24"/>
          <w:highlight w:val="none"/>
        </w:rPr>
        <w:t>项目，（项目</w:t>
      </w:r>
      <w:r>
        <w:rPr>
          <w:rFonts w:hint="eastAsia" w:ascii="宋体" w:hAnsi="宋体" w:cs="宋体"/>
          <w:color w:val="auto"/>
          <w:sz w:val="24"/>
          <w:highlight w:val="none"/>
          <w:lang w:val="zh-CN"/>
        </w:rPr>
        <w:t>编号：</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none"/>
          <w:lang w:eastAsia="zh-CN"/>
        </w:rPr>
        <w:t>；</w:t>
      </w:r>
      <w:r>
        <w:rPr>
          <w:rFonts w:hint="eastAsia" w:ascii="宋体" w:hAnsi="宋体" w:cs="宋体"/>
          <w:color w:val="auto"/>
          <w:sz w:val="24"/>
          <w:highlight w:val="none"/>
          <w:u w:val="none"/>
          <w:lang w:val="en-US" w:eastAsia="zh-CN"/>
        </w:rPr>
        <w:t>包号：</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w:t>
      </w:r>
      <w:r>
        <w:rPr>
          <w:rFonts w:hint="eastAsia" w:ascii="宋体" w:hAnsi="宋体" w:cs="宋体"/>
          <w:color w:val="auto"/>
          <w:sz w:val="24"/>
          <w:highlight w:val="none"/>
          <w:lang w:val="zh-CN"/>
        </w:rPr>
        <w:t>竞争性磋商活动，全权代表本单位处理响应过程的一切事宜，包括但不限于：响应、磋商、签约等。</w:t>
      </w:r>
      <w:r>
        <w:rPr>
          <w:rFonts w:hint="eastAsia" w:ascii="宋体" w:hAnsi="宋体" w:cs="宋体"/>
          <w:color w:val="auto"/>
          <w:sz w:val="24"/>
          <w:highlight w:val="none"/>
        </w:rPr>
        <w:t xml:space="preserve">响应代表在响应过程中所签署的一切文件和处理与之有关的一切事务，本单位均予以认可并对此承担责任。响应代表无转委托权。 </w:t>
      </w:r>
    </w:p>
    <w:p w14:paraId="7BEF7248">
      <w:pPr>
        <w:spacing w:line="480" w:lineRule="auto"/>
        <w:ind w:firstLine="480" w:firstLineChars="200"/>
        <w:rPr>
          <w:rFonts w:ascii="宋体" w:hAnsi="宋体" w:cs="宋体"/>
          <w:color w:val="auto"/>
          <w:highlight w:val="none"/>
        </w:rPr>
      </w:pPr>
      <w:r>
        <w:rPr>
          <w:rFonts w:hint="eastAsia" w:ascii="宋体" w:hAnsi="宋体" w:cs="宋体"/>
          <w:color w:val="auto"/>
          <w:sz w:val="24"/>
          <w:highlight w:val="none"/>
        </w:rPr>
        <w:t>特此授权！本授权书自出具之日起生效。</w:t>
      </w:r>
    </w:p>
    <w:p w14:paraId="58982258">
      <w:pPr>
        <w:spacing w:before="319" w:after="319" w:line="360" w:lineRule="auto"/>
        <w:ind w:firstLine="638" w:firstLineChars="266"/>
        <w:rPr>
          <w:rFonts w:ascii="宋体" w:hAnsi="宋体" w:cs="宋体"/>
          <w:color w:val="auto"/>
          <w:sz w:val="24"/>
          <w:highlight w:val="none"/>
          <w:u w:val="single"/>
        </w:rPr>
      </w:pPr>
      <w:r>
        <w:rPr>
          <w:rFonts w:hint="eastAsia" w:ascii="宋体" w:hAnsi="宋体" w:cs="宋体"/>
          <w:color w:val="auto"/>
          <w:sz w:val="24"/>
          <w:highlight w:val="none"/>
        </w:rPr>
        <w:t>供应商（全称并盖章）：</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p>
    <w:p w14:paraId="2103F5DC">
      <w:pPr>
        <w:spacing w:before="319" w:after="319" w:line="360" w:lineRule="auto"/>
        <w:ind w:firstLine="638" w:firstLineChars="266"/>
        <w:rPr>
          <w:rFonts w:ascii="宋体" w:hAnsi="宋体" w:cs="宋体"/>
          <w:color w:val="auto"/>
          <w:sz w:val="24"/>
          <w:highlight w:val="none"/>
          <w:u w:val="single"/>
        </w:rPr>
      </w:pPr>
      <w:r>
        <w:rPr>
          <w:rFonts w:hint="eastAsia" w:ascii="宋体" w:hAnsi="宋体" w:cs="宋体"/>
          <w:color w:val="auto"/>
          <w:sz w:val="24"/>
          <w:highlight w:val="none"/>
        </w:rPr>
        <w:t>法定代表人</w:t>
      </w:r>
      <w:r>
        <w:rPr>
          <w:rFonts w:hint="eastAsia" w:ascii="宋体" w:hAnsi="宋体" w:cs="宋体"/>
          <w:bCs/>
          <w:color w:val="auto"/>
          <w:sz w:val="24"/>
          <w:highlight w:val="none"/>
        </w:rPr>
        <w:t>（签字或加盖个人名章）</w:t>
      </w:r>
      <w:r>
        <w:rPr>
          <w:rFonts w:hint="eastAsia" w:ascii="宋体" w:hAnsi="宋体" w:cs="宋体"/>
          <w:color w:val="auto"/>
          <w:sz w:val="24"/>
          <w:highlight w:val="none"/>
        </w:rPr>
        <w:t>：</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p>
    <w:p w14:paraId="70C2BAB8">
      <w:pPr>
        <w:spacing w:before="319" w:after="319" w:line="360" w:lineRule="auto"/>
        <w:ind w:firstLine="638" w:firstLineChars="266"/>
        <w:rPr>
          <w:rFonts w:ascii="宋体" w:hAnsi="宋体" w:cs="宋体"/>
          <w:color w:val="auto"/>
          <w:sz w:val="24"/>
          <w:highlight w:val="none"/>
          <w:u w:val="single"/>
        </w:rPr>
      </w:pPr>
      <w:r>
        <w:rPr>
          <w:rFonts w:hint="eastAsia" w:ascii="宋体" w:hAnsi="宋体" w:cs="宋体"/>
          <w:color w:val="auto"/>
          <w:sz w:val="24"/>
          <w:highlight w:val="none"/>
        </w:rPr>
        <w:t>被   授  权  人（</w:t>
      </w:r>
      <w:r>
        <w:rPr>
          <w:rFonts w:hint="eastAsia" w:ascii="宋体" w:hAnsi="宋体" w:cs="宋体"/>
          <w:bCs/>
          <w:color w:val="auto"/>
          <w:sz w:val="24"/>
          <w:highlight w:val="none"/>
        </w:rPr>
        <w:t>签字）</w:t>
      </w:r>
      <w:r>
        <w:rPr>
          <w:rFonts w:hint="eastAsia" w:ascii="宋体" w:hAnsi="宋体" w:cs="宋体"/>
          <w:color w:val="auto"/>
          <w:sz w:val="24"/>
          <w:highlight w:val="none"/>
        </w:rPr>
        <w:t>：</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p>
    <w:p w14:paraId="64A857AF">
      <w:pPr>
        <w:spacing w:before="319" w:after="319" w:line="360" w:lineRule="auto"/>
        <w:ind w:firstLine="638" w:firstLineChars="266"/>
        <w:rPr>
          <w:rFonts w:ascii="宋体" w:hAnsi="宋体" w:cs="宋体"/>
          <w:color w:val="auto"/>
          <w:sz w:val="24"/>
          <w:highlight w:val="none"/>
          <w:u w:val="single"/>
        </w:rPr>
      </w:pPr>
      <w:r>
        <w:rPr>
          <w:rFonts w:hint="eastAsia" w:ascii="宋体" w:hAnsi="宋体" w:cs="宋体"/>
          <w:color w:val="auto"/>
          <w:sz w:val="24"/>
          <w:highlight w:val="none"/>
        </w:rPr>
        <w:t>被 授 权 人 联 系 电 话：</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p>
    <w:p w14:paraId="3BAE81BF">
      <w:pPr>
        <w:spacing w:line="440" w:lineRule="exact"/>
        <w:ind w:firstLine="440" w:firstLineChars="200"/>
        <w:rPr>
          <w:rFonts w:ascii="宋体" w:hAnsi="宋体" w:cs="宋体"/>
          <w:color w:val="auto"/>
          <w:sz w:val="24"/>
          <w:highlight w:val="none"/>
        </w:rPr>
      </w:pPr>
      <w:r>
        <w:rPr>
          <w:rFonts w:ascii="宋体" w:hAnsi="宋体" w:eastAsia="宋体" w:cs="宋体"/>
          <w:color w:val="auto"/>
          <w:kern w:val="2"/>
          <w:sz w:val="22"/>
          <w:szCs w:val="22"/>
          <w:highlight w:val="none"/>
          <w:lang w:val="en-US" w:eastAsia="zh-CN" w:bidi="ar-SA"/>
        </w:rPr>
        <w:pict>
          <v:rect id="Rectangle 5" o:spid="_x0000_s1030" o:spt="1" style="position:absolute;left:0pt;margin-left:0.55pt;margin-top:12.9pt;height:114pt;width:440.5pt;z-index:251661312;mso-width-relative:page;mso-height-relative:page;" fillcolor="#FFFFFF" filled="t" stroked="t" coordsize="21600,21600" o:gfxdata="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FoxOMtIAAAAIAQAADwAAAAAAAAABACAAAAAiAAAAZHJzL2Rvd25yZXYueG1sUEsB&#10;AhQAFAAAAAgAh07iQNyzqWD7AQAALQQAAA4AAAAAAAAAAQAgAAAAIQEAAGRycy9lMm9Eb2MueG1s&#10;UEsFBgAAAAAGAAYAWQEAAI4FAAAAAA==&#10;">
            <v:path/>
            <v:fill on="t" focussize="0,0"/>
            <v:stroke color="#000000" joinstyle="miter"/>
            <v:imagedata o:title=""/>
            <o:lock v:ext="edit" aspectratio="f"/>
            <v:textbox>
              <w:txbxContent>
                <w:p w14:paraId="3F72B47A">
                  <w:pPr>
                    <w:ind w:firstLine="3654" w:firstLineChars="1300"/>
                    <w:rPr>
                      <w:rFonts w:ascii="宋体"/>
                      <w:b/>
                      <w:sz w:val="28"/>
                    </w:rPr>
                  </w:pPr>
                  <w:r>
                    <w:rPr>
                      <w:rFonts w:hint="eastAsia" w:ascii="宋体"/>
                      <w:b/>
                      <w:sz w:val="28"/>
                    </w:rPr>
                    <w:t>被授权人</w:t>
                  </w:r>
                </w:p>
                <w:p w14:paraId="5855F8BE">
                  <w:pPr>
                    <w:jc w:val="center"/>
                    <w:rPr>
                      <w:rFonts w:ascii="宋体"/>
                      <w:b/>
                      <w:sz w:val="28"/>
                    </w:rPr>
                  </w:pPr>
                  <w:r>
                    <w:rPr>
                      <w:rFonts w:hint="eastAsia" w:ascii="宋体"/>
                      <w:b/>
                      <w:sz w:val="28"/>
                    </w:rPr>
                    <w:t>有效身份证明文件粘贴处</w:t>
                  </w:r>
                </w:p>
                <w:p w14:paraId="47A72201">
                  <w:pPr>
                    <w:ind w:left="-1079" w:leftChars="-514"/>
                    <w:jc w:val="center"/>
                    <w:rPr>
                      <w:rFonts w:ascii="宋体"/>
                      <w:b/>
                      <w:sz w:val="28"/>
                    </w:rPr>
                  </w:pPr>
                  <w:r>
                    <w:rPr>
                      <w:rFonts w:hint="eastAsia" w:ascii="宋体"/>
                      <w:b/>
                      <w:sz w:val="28"/>
                    </w:rPr>
                    <w:t xml:space="preserve">   （身份证应提供正反面）</w:t>
                  </w:r>
                </w:p>
              </w:txbxContent>
            </v:textbox>
          </v:rect>
        </w:pict>
      </w:r>
    </w:p>
    <w:p w14:paraId="6E44581B">
      <w:pPr>
        <w:spacing w:line="440" w:lineRule="exact"/>
        <w:ind w:firstLine="480" w:firstLineChars="200"/>
        <w:rPr>
          <w:rFonts w:ascii="宋体" w:hAnsi="宋体" w:cs="宋体"/>
          <w:color w:val="auto"/>
          <w:sz w:val="24"/>
          <w:highlight w:val="none"/>
        </w:rPr>
      </w:pPr>
    </w:p>
    <w:p w14:paraId="3F3F2702">
      <w:pPr>
        <w:spacing w:line="440" w:lineRule="exact"/>
        <w:ind w:firstLine="480" w:firstLineChars="200"/>
        <w:rPr>
          <w:rFonts w:ascii="宋体" w:hAnsi="宋体" w:cs="宋体"/>
          <w:color w:val="auto"/>
          <w:sz w:val="24"/>
          <w:highlight w:val="none"/>
        </w:rPr>
      </w:pPr>
    </w:p>
    <w:p w14:paraId="4661477F">
      <w:pPr>
        <w:spacing w:line="440" w:lineRule="exact"/>
        <w:ind w:firstLine="480" w:firstLineChars="200"/>
        <w:rPr>
          <w:rFonts w:ascii="宋体" w:hAnsi="宋体" w:cs="宋体"/>
          <w:color w:val="auto"/>
          <w:sz w:val="24"/>
          <w:highlight w:val="none"/>
        </w:rPr>
      </w:pPr>
    </w:p>
    <w:p w14:paraId="60450B2C">
      <w:pPr>
        <w:spacing w:line="440" w:lineRule="exact"/>
        <w:ind w:firstLine="480" w:firstLineChars="200"/>
        <w:rPr>
          <w:rFonts w:ascii="宋体" w:hAnsi="宋体" w:cs="宋体"/>
          <w:color w:val="auto"/>
          <w:sz w:val="24"/>
          <w:highlight w:val="none"/>
        </w:rPr>
      </w:pPr>
    </w:p>
    <w:p w14:paraId="1DE7FAF7">
      <w:pPr>
        <w:keepNext w:val="0"/>
        <w:keepLines w:val="0"/>
        <w:pageBreakBefore w:val="0"/>
        <w:widowControl w:val="0"/>
        <w:kinsoku/>
        <w:wordWrap/>
        <w:overflowPunct/>
        <w:topLinePunct w:val="0"/>
        <w:autoSpaceDE/>
        <w:autoSpaceDN/>
        <w:bidi w:val="0"/>
        <w:adjustRightInd/>
        <w:snapToGrid/>
        <w:spacing w:before="460" w:after="319" w:line="440" w:lineRule="exact"/>
        <w:jc w:val="right"/>
        <w:textAlignment w:val="auto"/>
        <w:rPr>
          <w:rFonts w:ascii="宋体" w:hAnsi="宋体" w:cs="宋体"/>
          <w:color w:val="auto"/>
          <w:sz w:val="24"/>
          <w:highlight w:val="none"/>
        </w:rPr>
      </w:pPr>
      <w:r>
        <w:rPr>
          <w:rFonts w:hint="eastAsia" w:ascii="宋体" w:hAnsi="宋体" w:cs="宋体"/>
          <w:color w:val="auto"/>
          <w:sz w:val="24"/>
          <w:highlight w:val="none"/>
        </w:rPr>
        <w:t>日期：</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w:t>
      </w:r>
    </w:p>
    <w:p w14:paraId="2AD1087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cs="宋体"/>
          <w:b/>
          <w:bCs/>
          <w:color w:val="auto"/>
          <w:sz w:val="22"/>
          <w:highlight w:val="none"/>
        </w:rPr>
      </w:pPr>
      <w:r>
        <w:rPr>
          <w:rFonts w:hint="eastAsia" w:ascii="宋体" w:hAnsi="宋体" w:cs="宋体"/>
          <w:b/>
          <w:bCs/>
          <w:color w:val="auto"/>
          <w:sz w:val="22"/>
          <w:highlight w:val="none"/>
        </w:rPr>
        <w:t>注：供应商的法定代表人参加开标会及签署响应文件，则不需要提交本授权委托书。</w:t>
      </w:r>
    </w:p>
    <w:p w14:paraId="419D2C5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cs="宋体"/>
          <w:b/>
          <w:bCs/>
          <w:color w:val="auto"/>
          <w:sz w:val="24"/>
          <w:highlight w:val="none"/>
        </w:rPr>
      </w:pPr>
      <w:r>
        <w:rPr>
          <w:rFonts w:hint="eastAsia" w:ascii="宋体" w:hAnsi="宋体" w:cs="宋体"/>
          <w:b/>
          <w:bCs/>
          <w:color w:val="auto"/>
          <w:szCs w:val="21"/>
          <w:highlight w:val="none"/>
        </w:rPr>
        <w:t>（本授权书内容不得擅自修改）</w:t>
      </w:r>
    </w:p>
    <w:p w14:paraId="1C229B6C">
      <w:pPr>
        <w:rPr>
          <w:rFonts w:ascii="宋体" w:hAnsi="宋体" w:cs="宋体"/>
          <w:b/>
          <w:bCs/>
          <w:color w:val="auto"/>
          <w:sz w:val="24"/>
          <w:highlight w:val="none"/>
        </w:rPr>
      </w:pPr>
    </w:p>
    <w:p w14:paraId="2E69A278">
      <w:pPr>
        <w:spacing w:line="440" w:lineRule="exact"/>
        <w:jc w:val="center"/>
        <w:outlineLvl w:val="1"/>
        <w:rPr>
          <w:rFonts w:ascii="宋体" w:cs="宋体"/>
          <w:b/>
          <w:color w:val="auto"/>
          <w:sz w:val="30"/>
          <w:szCs w:val="30"/>
          <w:highlight w:val="none"/>
        </w:rPr>
      </w:pPr>
      <w:bookmarkStart w:id="22" w:name="_Toc14000"/>
      <w:r>
        <w:rPr>
          <w:rFonts w:hint="eastAsia" w:ascii="宋体" w:cs="宋体"/>
          <w:b/>
          <w:bCs/>
          <w:color w:val="auto"/>
          <w:sz w:val="30"/>
          <w:szCs w:val="30"/>
          <w:highlight w:val="none"/>
        </w:rPr>
        <w:t>4、</w:t>
      </w:r>
      <w:r>
        <w:rPr>
          <w:rFonts w:hint="eastAsia" w:ascii="宋体" w:cs="宋体"/>
          <w:b/>
          <w:color w:val="auto"/>
          <w:sz w:val="30"/>
          <w:szCs w:val="30"/>
          <w:highlight w:val="none"/>
        </w:rPr>
        <w:t>报价一览表</w:t>
      </w:r>
      <w:bookmarkEnd w:id="22"/>
    </w:p>
    <w:p w14:paraId="7BBBC05B">
      <w:pPr>
        <w:spacing w:after="159" w:line="440" w:lineRule="exact"/>
        <w:jc w:val="center"/>
        <w:rPr>
          <w:rFonts w:ascii="宋体" w:cs="宋体"/>
          <w:color w:val="auto"/>
          <w:sz w:val="24"/>
          <w:highlight w:val="none"/>
        </w:rPr>
      </w:pPr>
      <w:r>
        <w:rPr>
          <w:rFonts w:hint="eastAsia" w:ascii="宋体" w:cs="宋体"/>
          <w:color w:val="auto"/>
          <w:sz w:val="24"/>
          <w:highlight w:val="none"/>
        </w:rPr>
        <w:t>（独立信封另密封一份）</w:t>
      </w:r>
    </w:p>
    <w:tbl>
      <w:tblPr>
        <w:tblStyle w:val="23"/>
        <w:tblW w:w="91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5"/>
        <w:gridCol w:w="7161"/>
      </w:tblGrid>
      <w:tr w14:paraId="6FEB5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2025" w:type="dxa"/>
            <w:vAlign w:val="center"/>
          </w:tcPr>
          <w:p w14:paraId="7C0C6E71">
            <w:pPr>
              <w:spacing w:line="360" w:lineRule="exact"/>
              <w:jc w:val="center"/>
              <w:rPr>
                <w:rFonts w:ascii="宋体" w:cs="宋体"/>
                <w:b/>
                <w:bCs/>
                <w:color w:val="auto"/>
                <w:sz w:val="24"/>
                <w:highlight w:val="none"/>
              </w:rPr>
            </w:pPr>
            <w:r>
              <w:rPr>
                <w:rFonts w:hint="eastAsia" w:ascii="宋体" w:cs="宋体"/>
                <w:b/>
                <w:bCs/>
                <w:color w:val="auto"/>
                <w:sz w:val="24"/>
                <w:highlight w:val="none"/>
              </w:rPr>
              <w:t>项目名称</w:t>
            </w:r>
          </w:p>
        </w:tc>
        <w:tc>
          <w:tcPr>
            <w:tcW w:w="7161" w:type="dxa"/>
          </w:tcPr>
          <w:p w14:paraId="248D9862">
            <w:pPr>
              <w:spacing w:before="159" w:after="159" w:line="360" w:lineRule="exact"/>
              <w:jc w:val="center"/>
              <w:rPr>
                <w:rFonts w:ascii="宋体" w:cs="宋体"/>
                <w:b/>
                <w:bCs/>
                <w:color w:val="auto"/>
                <w:sz w:val="24"/>
                <w:highlight w:val="none"/>
              </w:rPr>
            </w:pPr>
          </w:p>
        </w:tc>
      </w:tr>
      <w:tr w14:paraId="65CAD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2025" w:type="dxa"/>
            <w:vAlign w:val="center"/>
          </w:tcPr>
          <w:p w14:paraId="61FA9053">
            <w:pPr>
              <w:spacing w:line="360" w:lineRule="exact"/>
              <w:jc w:val="center"/>
              <w:rPr>
                <w:rFonts w:ascii="宋体" w:cs="宋体"/>
                <w:b/>
                <w:bCs/>
                <w:color w:val="auto"/>
                <w:sz w:val="24"/>
                <w:highlight w:val="none"/>
              </w:rPr>
            </w:pPr>
            <w:r>
              <w:rPr>
                <w:rFonts w:hint="eastAsia" w:ascii="宋体" w:cs="宋体"/>
                <w:b/>
                <w:bCs/>
                <w:color w:val="auto"/>
                <w:sz w:val="24"/>
                <w:highlight w:val="none"/>
              </w:rPr>
              <w:t>项目编号</w:t>
            </w:r>
          </w:p>
        </w:tc>
        <w:tc>
          <w:tcPr>
            <w:tcW w:w="7161" w:type="dxa"/>
          </w:tcPr>
          <w:p w14:paraId="09742B66">
            <w:pPr>
              <w:spacing w:before="159" w:after="159" w:line="360" w:lineRule="exact"/>
              <w:jc w:val="center"/>
              <w:rPr>
                <w:rFonts w:ascii="宋体" w:cs="宋体"/>
                <w:b/>
                <w:bCs/>
                <w:color w:val="auto"/>
                <w:sz w:val="24"/>
                <w:highlight w:val="none"/>
              </w:rPr>
            </w:pPr>
          </w:p>
        </w:tc>
      </w:tr>
      <w:tr w14:paraId="4B98C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2025" w:type="dxa"/>
            <w:vAlign w:val="center"/>
          </w:tcPr>
          <w:p w14:paraId="5ADB7C95">
            <w:pPr>
              <w:spacing w:line="360" w:lineRule="exact"/>
              <w:jc w:val="center"/>
              <w:rPr>
                <w:rFonts w:hint="eastAsia" w:ascii="宋体" w:eastAsia="宋体" w:cs="宋体"/>
                <w:b/>
                <w:bCs/>
                <w:color w:val="auto"/>
                <w:sz w:val="24"/>
                <w:highlight w:val="none"/>
                <w:lang w:val="en-US" w:eastAsia="zh-CN"/>
              </w:rPr>
            </w:pPr>
            <w:r>
              <w:rPr>
                <w:rFonts w:hint="eastAsia" w:ascii="宋体" w:cs="宋体"/>
                <w:b/>
                <w:bCs/>
                <w:color w:val="auto"/>
                <w:sz w:val="24"/>
                <w:highlight w:val="none"/>
                <w:lang w:val="en-US" w:eastAsia="zh-CN"/>
              </w:rPr>
              <w:t>包号</w:t>
            </w:r>
          </w:p>
        </w:tc>
        <w:tc>
          <w:tcPr>
            <w:tcW w:w="7161" w:type="dxa"/>
          </w:tcPr>
          <w:p w14:paraId="1CED423F">
            <w:pPr>
              <w:spacing w:before="159" w:after="159" w:line="360" w:lineRule="exact"/>
              <w:jc w:val="center"/>
              <w:rPr>
                <w:rFonts w:ascii="宋体" w:cs="宋体"/>
                <w:b/>
                <w:bCs/>
                <w:color w:val="auto"/>
                <w:sz w:val="24"/>
                <w:highlight w:val="none"/>
              </w:rPr>
            </w:pPr>
          </w:p>
        </w:tc>
      </w:tr>
      <w:tr w14:paraId="6A362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25" w:type="dxa"/>
            <w:vAlign w:val="center"/>
          </w:tcPr>
          <w:p w14:paraId="10771C3E">
            <w:pPr>
              <w:spacing w:before="319" w:after="319" w:line="440" w:lineRule="exact"/>
              <w:jc w:val="center"/>
              <w:rPr>
                <w:rFonts w:ascii="宋体" w:cs="宋体"/>
                <w:b/>
                <w:bCs/>
                <w:color w:val="auto"/>
                <w:sz w:val="24"/>
                <w:highlight w:val="none"/>
              </w:rPr>
            </w:pPr>
            <w:r>
              <w:rPr>
                <w:rFonts w:hint="eastAsia" w:ascii="宋体" w:cs="宋体"/>
                <w:b/>
                <w:bCs/>
                <w:color w:val="auto"/>
                <w:sz w:val="24"/>
                <w:highlight w:val="none"/>
              </w:rPr>
              <w:t>报价总计</w:t>
            </w:r>
          </w:p>
          <w:p w14:paraId="1CCE97C5">
            <w:pPr>
              <w:spacing w:before="319" w:after="319" w:line="440" w:lineRule="exact"/>
              <w:jc w:val="center"/>
              <w:rPr>
                <w:rFonts w:ascii="宋体" w:cs="宋体"/>
                <w:b/>
                <w:bCs/>
                <w:color w:val="auto"/>
                <w:sz w:val="24"/>
                <w:highlight w:val="none"/>
              </w:rPr>
            </w:pPr>
            <w:r>
              <w:rPr>
                <w:rFonts w:hint="eastAsia" w:ascii="宋体" w:cs="宋体"/>
                <w:b/>
                <w:bCs/>
                <w:color w:val="auto"/>
                <w:sz w:val="24"/>
                <w:highlight w:val="none"/>
              </w:rPr>
              <w:t>（人民币/元）</w:t>
            </w:r>
          </w:p>
        </w:tc>
        <w:tc>
          <w:tcPr>
            <w:tcW w:w="7161" w:type="dxa"/>
          </w:tcPr>
          <w:p w14:paraId="164FD15C">
            <w:pPr>
              <w:spacing w:before="319" w:after="319" w:line="440" w:lineRule="exact"/>
              <w:rPr>
                <w:rFonts w:ascii="宋体" w:cs="宋体"/>
                <w:color w:val="auto"/>
                <w:sz w:val="24"/>
                <w:highlight w:val="none"/>
                <w:u w:val="single"/>
              </w:rPr>
            </w:pPr>
            <w:r>
              <w:rPr>
                <w:rFonts w:hint="eastAsia" w:ascii="宋体" w:cs="宋体"/>
                <w:color w:val="auto"/>
                <w:sz w:val="24"/>
                <w:highlight w:val="none"/>
              </w:rPr>
              <w:t>（大写）：</w:t>
            </w:r>
          </w:p>
          <w:p w14:paraId="0549C699">
            <w:pPr>
              <w:spacing w:before="319" w:after="319" w:line="440" w:lineRule="exact"/>
              <w:rPr>
                <w:rFonts w:ascii="宋体" w:cs="宋体"/>
                <w:color w:val="auto"/>
                <w:sz w:val="24"/>
                <w:highlight w:val="none"/>
              </w:rPr>
            </w:pPr>
            <w:r>
              <w:rPr>
                <w:rFonts w:hint="eastAsia" w:ascii="宋体" w:cs="宋体"/>
                <w:color w:val="auto"/>
                <w:sz w:val="24"/>
                <w:highlight w:val="none"/>
              </w:rPr>
              <w:t>（小写）：</w:t>
            </w:r>
          </w:p>
        </w:tc>
      </w:tr>
      <w:tr w14:paraId="01EA3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2025" w:type="dxa"/>
            <w:vAlign w:val="center"/>
          </w:tcPr>
          <w:p w14:paraId="7BBAFE46">
            <w:pPr>
              <w:spacing w:line="440" w:lineRule="exact"/>
              <w:jc w:val="center"/>
              <w:rPr>
                <w:rFonts w:ascii="宋体" w:cs="宋体"/>
                <w:b/>
                <w:bCs/>
                <w:color w:val="auto"/>
                <w:sz w:val="24"/>
                <w:highlight w:val="none"/>
              </w:rPr>
            </w:pPr>
            <w:r>
              <w:rPr>
                <w:rFonts w:ascii="宋体" w:cs="宋体"/>
                <w:b/>
                <w:bCs/>
                <w:color w:val="auto"/>
                <w:sz w:val="24"/>
                <w:highlight w:val="none"/>
              </w:rPr>
              <w:t>合同履行期限</w:t>
            </w:r>
          </w:p>
          <w:p w14:paraId="2CBA53F5">
            <w:pPr>
              <w:spacing w:line="440" w:lineRule="exact"/>
              <w:jc w:val="center"/>
              <w:rPr>
                <w:rFonts w:ascii="宋体" w:cs="宋体"/>
                <w:b/>
                <w:bCs/>
                <w:color w:val="auto"/>
                <w:sz w:val="24"/>
                <w:highlight w:val="none"/>
              </w:rPr>
            </w:pPr>
            <w:r>
              <w:rPr>
                <w:rFonts w:ascii="宋体" w:cs="宋体"/>
                <w:b/>
                <w:bCs/>
                <w:color w:val="auto"/>
                <w:sz w:val="24"/>
                <w:highlight w:val="none"/>
              </w:rPr>
              <w:t>（</w:t>
            </w:r>
            <w:r>
              <w:rPr>
                <w:rFonts w:hint="eastAsia" w:ascii="宋体" w:cs="宋体"/>
                <w:b/>
                <w:bCs/>
                <w:color w:val="auto"/>
                <w:sz w:val="24"/>
                <w:highlight w:val="none"/>
              </w:rPr>
              <w:t>交付期</w:t>
            </w:r>
            <w:r>
              <w:rPr>
                <w:rFonts w:ascii="宋体" w:cs="宋体"/>
                <w:b/>
                <w:bCs/>
                <w:color w:val="auto"/>
                <w:sz w:val="24"/>
                <w:highlight w:val="none"/>
              </w:rPr>
              <w:t>）</w:t>
            </w:r>
          </w:p>
        </w:tc>
        <w:tc>
          <w:tcPr>
            <w:tcW w:w="7161" w:type="dxa"/>
          </w:tcPr>
          <w:p w14:paraId="51EF36E4">
            <w:pPr>
              <w:spacing w:before="159" w:after="159" w:line="440" w:lineRule="exact"/>
              <w:rPr>
                <w:rFonts w:ascii="宋体" w:cs="宋体"/>
                <w:color w:val="auto"/>
                <w:sz w:val="24"/>
                <w:highlight w:val="none"/>
              </w:rPr>
            </w:pPr>
          </w:p>
        </w:tc>
      </w:tr>
      <w:tr w14:paraId="5EDAD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25" w:type="dxa"/>
            <w:vAlign w:val="center"/>
          </w:tcPr>
          <w:p w14:paraId="5D13979C">
            <w:pPr>
              <w:spacing w:line="440" w:lineRule="exact"/>
              <w:jc w:val="center"/>
              <w:rPr>
                <w:rFonts w:ascii="宋体" w:cs="宋体"/>
                <w:b/>
                <w:bCs/>
                <w:color w:val="auto"/>
                <w:sz w:val="24"/>
                <w:highlight w:val="none"/>
              </w:rPr>
            </w:pPr>
            <w:r>
              <w:rPr>
                <w:rFonts w:hint="eastAsia" w:ascii="宋体" w:cs="宋体"/>
                <w:b/>
                <w:bCs/>
                <w:color w:val="auto"/>
                <w:sz w:val="24"/>
                <w:highlight w:val="none"/>
              </w:rPr>
              <w:t>备    注</w:t>
            </w:r>
          </w:p>
        </w:tc>
        <w:tc>
          <w:tcPr>
            <w:tcW w:w="7161" w:type="dxa"/>
          </w:tcPr>
          <w:p w14:paraId="6EEB957D">
            <w:pPr>
              <w:spacing w:before="159" w:after="159" w:line="440" w:lineRule="exact"/>
              <w:rPr>
                <w:rFonts w:ascii="宋体" w:cs="宋体"/>
                <w:color w:val="auto"/>
                <w:sz w:val="24"/>
                <w:highlight w:val="none"/>
              </w:rPr>
            </w:pPr>
            <w:r>
              <w:rPr>
                <w:rFonts w:hint="eastAsia" w:ascii="宋体" w:cs="宋体"/>
                <w:b/>
                <w:bCs/>
                <w:color w:val="auto"/>
                <w:sz w:val="24"/>
                <w:highlight w:val="none"/>
              </w:rPr>
              <w:t>项目预算包含</w:t>
            </w:r>
            <w:r>
              <w:rPr>
                <w:rFonts w:hint="eastAsia" w:ascii="宋体" w:cs="宋体"/>
                <w:b/>
                <w:bCs/>
                <w:color w:val="auto"/>
                <w:sz w:val="24"/>
                <w:highlight w:val="none"/>
                <w:lang w:val="en-US" w:eastAsia="zh-CN"/>
              </w:rPr>
              <w:t>运输</w:t>
            </w:r>
            <w:r>
              <w:rPr>
                <w:rFonts w:hint="eastAsia" w:ascii="宋体" w:cs="宋体"/>
                <w:b/>
                <w:bCs/>
                <w:color w:val="auto"/>
                <w:sz w:val="24"/>
                <w:highlight w:val="none"/>
              </w:rPr>
              <w:t>费、安装调试费、税金等一切费用。</w:t>
            </w:r>
          </w:p>
        </w:tc>
      </w:tr>
    </w:tbl>
    <w:p w14:paraId="72C60A24">
      <w:pPr>
        <w:spacing w:line="440" w:lineRule="exact"/>
        <w:ind w:firstLine="480" w:firstLineChars="200"/>
        <w:rPr>
          <w:rFonts w:ascii="宋体" w:cs="宋体"/>
          <w:color w:val="auto"/>
          <w:sz w:val="24"/>
          <w:highlight w:val="none"/>
        </w:rPr>
      </w:pPr>
      <w:r>
        <w:rPr>
          <w:rFonts w:hint="eastAsia" w:ascii="宋体" w:cs="宋体"/>
          <w:color w:val="auto"/>
          <w:sz w:val="24"/>
          <w:highlight w:val="none"/>
        </w:rPr>
        <w:t>注：</w:t>
      </w:r>
    </w:p>
    <w:p w14:paraId="7F4428F6">
      <w:pPr>
        <w:spacing w:line="440" w:lineRule="exact"/>
        <w:ind w:firstLine="480" w:firstLineChars="200"/>
        <w:rPr>
          <w:rFonts w:ascii="宋体" w:cs="宋体"/>
          <w:color w:val="auto"/>
          <w:sz w:val="24"/>
          <w:highlight w:val="none"/>
        </w:rPr>
      </w:pPr>
      <w:r>
        <w:rPr>
          <w:rFonts w:hint="eastAsia" w:ascii="宋体" w:cs="宋体"/>
          <w:color w:val="auto"/>
          <w:sz w:val="24"/>
          <w:highlight w:val="none"/>
        </w:rPr>
        <w:t>1、本项目投标报价按采购预算金额进行报价，超过预算金额的报价无效投标处理。</w:t>
      </w:r>
    </w:p>
    <w:p w14:paraId="543B9EFA">
      <w:pPr>
        <w:spacing w:line="440" w:lineRule="exact"/>
        <w:ind w:firstLine="480" w:firstLineChars="200"/>
        <w:rPr>
          <w:rFonts w:ascii="宋体" w:cs="宋体"/>
          <w:color w:val="auto"/>
          <w:sz w:val="24"/>
          <w:highlight w:val="none"/>
        </w:rPr>
      </w:pPr>
      <w:r>
        <w:rPr>
          <w:rFonts w:hint="eastAsia" w:ascii="宋体" w:cs="宋体"/>
          <w:color w:val="auto"/>
          <w:sz w:val="24"/>
          <w:highlight w:val="none"/>
        </w:rPr>
        <w:t>2、以上报价必须包含完成该项目所有费用，所有价格均应以人民币报价，金额单位为元。</w:t>
      </w:r>
    </w:p>
    <w:p w14:paraId="03B3EF72">
      <w:pPr>
        <w:spacing w:line="440" w:lineRule="exact"/>
        <w:ind w:firstLine="480" w:firstLineChars="200"/>
        <w:rPr>
          <w:rFonts w:ascii="宋体" w:cs="宋体"/>
          <w:color w:val="auto"/>
          <w:sz w:val="24"/>
          <w:highlight w:val="none"/>
        </w:rPr>
      </w:pPr>
      <w:r>
        <w:rPr>
          <w:rFonts w:hint="eastAsia" w:ascii="宋体" w:cs="宋体"/>
          <w:color w:val="auto"/>
          <w:sz w:val="24"/>
          <w:highlight w:val="none"/>
        </w:rPr>
        <w:t>3、其中交付期（服务期）须满足竞争性磋商文件要求。</w:t>
      </w:r>
    </w:p>
    <w:p w14:paraId="29D467E8">
      <w:pPr>
        <w:spacing w:line="440" w:lineRule="exact"/>
        <w:ind w:firstLine="480" w:firstLineChars="200"/>
        <w:rPr>
          <w:rFonts w:ascii="宋体" w:cs="宋体"/>
          <w:color w:val="auto"/>
          <w:sz w:val="24"/>
          <w:highlight w:val="none"/>
        </w:rPr>
      </w:pPr>
      <w:r>
        <w:rPr>
          <w:rFonts w:hint="eastAsia" w:ascii="宋体" w:cs="宋体"/>
          <w:color w:val="auto"/>
          <w:sz w:val="24"/>
          <w:highlight w:val="none"/>
        </w:rPr>
        <w:t>4、供应商须按要求填写所有信息，不得随意更改本表格样式。</w:t>
      </w:r>
    </w:p>
    <w:p w14:paraId="4CBDCB47">
      <w:pPr>
        <w:spacing w:line="440" w:lineRule="exact"/>
        <w:rPr>
          <w:rFonts w:ascii="宋体" w:cs="宋体"/>
          <w:color w:val="auto"/>
          <w:sz w:val="24"/>
          <w:highlight w:val="none"/>
        </w:rPr>
      </w:pPr>
    </w:p>
    <w:p w14:paraId="497EEEB0">
      <w:pPr>
        <w:pStyle w:val="22"/>
        <w:ind w:firstLine="560"/>
        <w:rPr>
          <w:color w:val="auto"/>
          <w:highlight w:val="none"/>
        </w:rPr>
      </w:pPr>
    </w:p>
    <w:p w14:paraId="58D75CCF">
      <w:pPr>
        <w:spacing w:before="319" w:after="319"/>
        <w:jc w:val="center"/>
        <w:rPr>
          <w:rFonts w:hint="default" w:ascii="宋体" w:eastAsia="宋体" w:cs="宋体"/>
          <w:bCs/>
          <w:color w:val="auto"/>
          <w:sz w:val="24"/>
          <w:highlight w:val="none"/>
          <w:u w:val="single"/>
          <w:lang w:val="en-US" w:eastAsia="zh-CN"/>
        </w:rPr>
      </w:pPr>
      <w:r>
        <w:rPr>
          <w:rFonts w:hint="eastAsia" w:ascii="宋体" w:cs="宋体"/>
          <w:color w:val="auto"/>
          <w:sz w:val="24"/>
          <w:highlight w:val="none"/>
        </w:rPr>
        <w:t xml:space="preserve">              供应商（全称并盖章）：</w:t>
      </w:r>
      <w:r>
        <w:rPr>
          <w:rFonts w:hint="eastAsia" w:ascii="宋体" w:cs="宋体"/>
          <w:color w:val="auto"/>
          <w:sz w:val="24"/>
          <w:highlight w:val="none"/>
          <w:u w:val="single"/>
          <w:lang w:val="en-US" w:eastAsia="zh-CN"/>
        </w:rPr>
        <w:t xml:space="preserve">                  </w:t>
      </w:r>
    </w:p>
    <w:p w14:paraId="1AF782B8">
      <w:pPr>
        <w:snapToGrid w:val="0"/>
        <w:spacing w:before="319" w:after="319"/>
        <w:jc w:val="center"/>
        <w:rPr>
          <w:rFonts w:hint="default" w:ascii="宋体" w:eastAsia="宋体" w:cs="宋体"/>
          <w:color w:val="auto"/>
          <w:sz w:val="24"/>
          <w:highlight w:val="none"/>
          <w:u w:val="single"/>
          <w:lang w:val="en-US" w:eastAsia="zh-CN"/>
        </w:rPr>
      </w:pPr>
      <w:r>
        <w:rPr>
          <w:rFonts w:hint="eastAsia"/>
          <w:color w:val="auto"/>
          <w:sz w:val="24"/>
          <w:highlight w:val="none"/>
        </w:rPr>
        <w:t xml:space="preserve">           法定代表人或被授权人</w:t>
      </w:r>
      <w:r>
        <w:rPr>
          <w:rFonts w:hint="eastAsia" w:ascii="宋体" w:cs="宋体"/>
          <w:bCs/>
          <w:color w:val="auto"/>
          <w:sz w:val="24"/>
          <w:highlight w:val="none"/>
        </w:rPr>
        <w:t>（签字）</w:t>
      </w:r>
      <w:r>
        <w:rPr>
          <w:rFonts w:hint="eastAsia"/>
          <w:color w:val="auto"/>
          <w:sz w:val="24"/>
          <w:highlight w:val="none"/>
        </w:rPr>
        <w:t>：</w:t>
      </w:r>
      <w:r>
        <w:rPr>
          <w:rFonts w:hint="eastAsia"/>
          <w:color w:val="auto"/>
          <w:sz w:val="24"/>
          <w:highlight w:val="none"/>
          <w:u w:val="single"/>
          <w:lang w:val="en-US" w:eastAsia="zh-CN"/>
        </w:rPr>
        <w:t xml:space="preserve">               </w:t>
      </w:r>
    </w:p>
    <w:p w14:paraId="1F5D3056">
      <w:pPr>
        <w:snapToGrid w:val="0"/>
        <w:spacing w:before="319" w:after="319"/>
        <w:jc w:val="right"/>
        <w:rPr>
          <w:rFonts w:hint="eastAsia" w:ascii="宋体" w:cs="宋体"/>
          <w:color w:val="auto"/>
          <w:sz w:val="24"/>
          <w:highlight w:val="none"/>
        </w:rPr>
      </w:pPr>
      <w:r>
        <w:rPr>
          <w:rFonts w:hint="eastAsia" w:ascii="宋体" w:cs="宋体"/>
          <w:color w:val="auto"/>
          <w:sz w:val="24"/>
          <w:highlight w:val="none"/>
        </w:rPr>
        <w:t>日期：</w:t>
      </w:r>
      <w:r>
        <w:rPr>
          <w:rFonts w:hint="eastAsia" w:ascii="宋体" w:cs="宋体"/>
          <w:color w:val="auto"/>
          <w:sz w:val="24"/>
          <w:highlight w:val="none"/>
          <w:u w:val="single"/>
          <w:lang w:val="en-US" w:eastAsia="zh-CN"/>
        </w:rPr>
        <w:t xml:space="preserve">       </w:t>
      </w:r>
      <w:r>
        <w:rPr>
          <w:rFonts w:hint="eastAsia" w:ascii="宋体" w:cs="宋体"/>
          <w:color w:val="auto"/>
          <w:sz w:val="24"/>
          <w:highlight w:val="none"/>
        </w:rPr>
        <w:t>年</w:t>
      </w:r>
      <w:r>
        <w:rPr>
          <w:rFonts w:hint="eastAsia" w:ascii="宋体" w:cs="宋体"/>
          <w:color w:val="auto"/>
          <w:sz w:val="24"/>
          <w:highlight w:val="none"/>
          <w:u w:val="single"/>
          <w:lang w:val="en-US" w:eastAsia="zh-CN"/>
        </w:rPr>
        <w:t xml:space="preserve">      </w:t>
      </w:r>
      <w:r>
        <w:rPr>
          <w:rFonts w:hint="eastAsia" w:ascii="宋体" w:cs="宋体"/>
          <w:color w:val="auto"/>
          <w:sz w:val="24"/>
          <w:highlight w:val="none"/>
        </w:rPr>
        <w:t>月</w:t>
      </w:r>
      <w:r>
        <w:rPr>
          <w:rFonts w:hint="eastAsia" w:ascii="宋体" w:cs="宋体"/>
          <w:color w:val="auto"/>
          <w:sz w:val="24"/>
          <w:highlight w:val="none"/>
          <w:u w:val="single"/>
          <w:lang w:val="en-US" w:eastAsia="zh-CN"/>
        </w:rPr>
        <w:t xml:space="preserve">      </w:t>
      </w:r>
      <w:r>
        <w:rPr>
          <w:rFonts w:hint="eastAsia" w:ascii="宋体" w:cs="宋体"/>
          <w:color w:val="auto"/>
          <w:sz w:val="24"/>
          <w:highlight w:val="none"/>
        </w:rPr>
        <w:t>日</w:t>
      </w:r>
    </w:p>
    <w:p w14:paraId="27B1686C">
      <w:pPr>
        <w:rPr>
          <w:rFonts w:hint="eastAsia" w:ascii="宋体" w:cs="宋体"/>
          <w:color w:val="auto"/>
          <w:sz w:val="24"/>
          <w:highlight w:val="none"/>
        </w:rPr>
      </w:pPr>
      <w:r>
        <w:rPr>
          <w:rFonts w:hint="eastAsia" w:ascii="宋体" w:cs="宋体"/>
          <w:color w:val="auto"/>
          <w:sz w:val="24"/>
          <w:highlight w:val="none"/>
        </w:rPr>
        <w:br w:type="page"/>
      </w:r>
    </w:p>
    <w:p w14:paraId="140AE0E6">
      <w:pPr>
        <w:spacing w:line="440" w:lineRule="exact"/>
        <w:jc w:val="center"/>
        <w:outlineLvl w:val="1"/>
        <w:rPr>
          <w:rFonts w:hint="eastAsia" w:ascii="宋体" w:hAnsi="宋体" w:cs="宋体"/>
          <w:b/>
          <w:bCs/>
          <w:color w:val="auto"/>
          <w:kern w:val="0"/>
          <w:sz w:val="24"/>
          <w:highlight w:val="none"/>
        </w:rPr>
      </w:pPr>
      <w:r>
        <w:rPr>
          <w:rFonts w:hint="eastAsia" w:ascii="宋体" w:hAnsi="宋体" w:cs="宋体"/>
          <w:b/>
          <w:bCs/>
          <w:color w:val="auto"/>
          <w:kern w:val="0"/>
          <w:sz w:val="30"/>
          <w:szCs w:val="30"/>
          <w:highlight w:val="none"/>
        </w:rPr>
        <w:t>5、</w:t>
      </w:r>
      <w:r>
        <w:rPr>
          <w:rFonts w:hint="eastAsia" w:ascii="宋体" w:hAnsi="宋体" w:eastAsia="宋体" w:cs="宋体"/>
          <w:b/>
          <w:color w:val="auto"/>
          <w:sz w:val="30"/>
          <w:szCs w:val="30"/>
          <w:highlight w:val="none"/>
        </w:rPr>
        <w:t>报价</w:t>
      </w:r>
      <w:r>
        <w:rPr>
          <w:rFonts w:hint="eastAsia" w:ascii="宋体" w:hAnsi="宋体" w:cs="宋体"/>
          <w:b/>
          <w:bCs/>
          <w:color w:val="auto"/>
          <w:kern w:val="0"/>
          <w:sz w:val="30"/>
          <w:szCs w:val="30"/>
          <w:highlight w:val="none"/>
        </w:rPr>
        <w:t>明细表</w:t>
      </w:r>
    </w:p>
    <w:tbl>
      <w:tblPr>
        <w:tblStyle w:val="23"/>
        <w:tblpPr w:leftFromText="180" w:rightFromText="180" w:vertAnchor="text" w:horzAnchor="page" w:tblpX="1181" w:tblpY="632"/>
        <w:tblOverlap w:val="never"/>
        <w:tblW w:w="97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241"/>
        <w:gridCol w:w="1834"/>
        <w:gridCol w:w="1140"/>
        <w:gridCol w:w="1035"/>
        <w:gridCol w:w="1305"/>
        <w:gridCol w:w="1531"/>
        <w:gridCol w:w="791"/>
      </w:tblGrid>
      <w:tr w14:paraId="56207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80" w:type="dxa"/>
            <w:gridSpan w:val="2"/>
            <w:tcBorders>
              <w:top w:val="single" w:color="auto" w:sz="4" w:space="0"/>
              <w:left w:val="single" w:color="auto" w:sz="4" w:space="0"/>
              <w:bottom w:val="single" w:color="auto" w:sz="4" w:space="0"/>
              <w:right w:val="single" w:color="auto" w:sz="4" w:space="0"/>
            </w:tcBorders>
            <w:shd w:val="clear" w:color="auto" w:fill="D9D9D9"/>
            <w:noWrap w:val="0"/>
            <w:vAlign w:val="center"/>
          </w:tcPr>
          <w:p w14:paraId="642E0194">
            <w:pPr>
              <w:spacing w:before="95" w:beforeLines="30" w:after="95" w:afterLines="30" w:line="440" w:lineRule="exact"/>
              <w:jc w:val="center"/>
              <w:rPr>
                <w:rFonts w:hint="eastAsia" w:ascii="宋体" w:hAnsi="宋体" w:cs="宋体"/>
                <w:b/>
                <w:color w:val="auto"/>
                <w:sz w:val="24"/>
                <w:highlight w:val="none"/>
                <w:lang w:val="en-GB"/>
              </w:rPr>
            </w:pPr>
            <w:r>
              <w:rPr>
                <w:rFonts w:hint="eastAsia" w:ascii="宋体" w:hAnsi="宋体" w:cs="宋体"/>
                <w:b/>
                <w:color w:val="auto"/>
                <w:sz w:val="24"/>
                <w:highlight w:val="none"/>
                <w:lang w:val="en-GB"/>
              </w:rPr>
              <w:t>项目名称</w:t>
            </w:r>
          </w:p>
        </w:tc>
        <w:tc>
          <w:tcPr>
            <w:tcW w:w="7636" w:type="dxa"/>
            <w:gridSpan w:val="6"/>
            <w:tcBorders>
              <w:top w:val="single" w:color="auto" w:sz="4" w:space="0"/>
              <w:left w:val="single" w:color="auto" w:sz="4" w:space="0"/>
              <w:bottom w:val="single" w:color="auto" w:sz="4" w:space="0"/>
              <w:right w:val="single" w:color="auto" w:sz="4" w:space="0"/>
            </w:tcBorders>
            <w:shd w:val="clear" w:color="auto" w:fill="D9D9D9"/>
            <w:noWrap w:val="0"/>
            <w:vAlign w:val="center"/>
          </w:tcPr>
          <w:p w14:paraId="44BB70D9">
            <w:pPr>
              <w:spacing w:before="95" w:beforeLines="30" w:after="95" w:afterLines="30" w:line="440" w:lineRule="exact"/>
              <w:jc w:val="center"/>
              <w:rPr>
                <w:rFonts w:hint="eastAsia" w:ascii="宋体" w:hAnsi="宋体" w:cs="宋体"/>
                <w:b/>
                <w:color w:val="auto"/>
                <w:sz w:val="24"/>
                <w:highlight w:val="none"/>
                <w:lang w:val="en-GB"/>
              </w:rPr>
            </w:pPr>
          </w:p>
        </w:tc>
      </w:tr>
      <w:tr w14:paraId="76B7F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80" w:type="dxa"/>
            <w:gridSpan w:val="2"/>
            <w:tcBorders>
              <w:top w:val="single" w:color="auto" w:sz="4" w:space="0"/>
              <w:left w:val="single" w:color="auto" w:sz="4" w:space="0"/>
              <w:bottom w:val="single" w:color="auto" w:sz="4" w:space="0"/>
              <w:right w:val="single" w:color="auto" w:sz="4" w:space="0"/>
            </w:tcBorders>
            <w:shd w:val="clear" w:color="auto" w:fill="D9D9D9"/>
            <w:noWrap w:val="0"/>
            <w:vAlign w:val="center"/>
          </w:tcPr>
          <w:p w14:paraId="4332275F">
            <w:pPr>
              <w:spacing w:before="95" w:beforeLines="30" w:after="95" w:afterLines="30" w:line="440" w:lineRule="exact"/>
              <w:jc w:val="center"/>
              <w:rPr>
                <w:rFonts w:hint="eastAsia" w:ascii="宋体" w:hAnsi="宋体" w:cs="宋体"/>
                <w:b/>
                <w:color w:val="auto"/>
                <w:sz w:val="24"/>
                <w:highlight w:val="none"/>
                <w:lang w:val="en-GB"/>
              </w:rPr>
            </w:pPr>
            <w:r>
              <w:rPr>
                <w:rFonts w:hint="eastAsia" w:ascii="宋体" w:hAnsi="宋体" w:cs="宋体"/>
                <w:b/>
                <w:color w:val="auto"/>
                <w:sz w:val="24"/>
                <w:highlight w:val="none"/>
                <w:lang w:val="en-GB"/>
              </w:rPr>
              <w:t>项目编号</w:t>
            </w:r>
          </w:p>
        </w:tc>
        <w:tc>
          <w:tcPr>
            <w:tcW w:w="7636" w:type="dxa"/>
            <w:gridSpan w:val="6"/>
            <w:tcBorders>
              <w:top w:val="single" w:color="auto" w:sz="4" w:space="0"/>
              <w:left w:val="single" w:color="auto" w:sz="4" w:space="0"/>
              <w:bottom w:val="single" w:color="auto" w:sz="4" w:space="0"/>
              <w:right w:val="single" w:color="auto" w:sz="4" w:space="0"/>
            </w:tcBorders>
            <w:shd w:val="clear" w:color="auto" w:fill="D9D9D9"/>
            <w:noWrap w:val="0"/>
            <w:vAlign w:val="center"/>
          </w:tcPr>
          <w:p w14:paraId="4E1B717E">
            <w:pPr>
              <w:spacing w:before="95" w:beforeLines="30" w:after="95" w:afterLines="30" w:line="440" w:lineRule="exact"/>
              <w:jc w:val="center"/>
              <w:rPr>
                <w:rFonts w:hint="eastAsia" w:ascii="宋体" w:hAnsi="宋体" w:cs="宋体"/>
                <w:b/>
                <w:color w:val="auto"/>
                <w:sz w:val="24"/>
                <w:highlight w:val="none"/>
                <w:lang w:val="en-GB"/>
              </w:rPr>
            </w:pPr>
          </w:p>
        </w:tc>
      </w:tr>
      <w:tr w14:paraId="4687D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80" w:type="dxa"/>
            <w:gridSpan w:val="2"/>
            <w:tcBorders>
              <w:top w:val="single" w:color="auto" w:sz="4" w:space="0"/>
              <w:left w:val="single" w:color="auto" w:sz="4" w:space="0"/>
              <w:bottom w:val="single" w:color="auto" w:sz="4" w:space="0"/>
              <w:right w:val="single" w:color="auto" w:sz="4" w:space="0"/>
            </w:tcBorders>
            <w:shd w:val="clear" w:color="auto" w:fill="D9D9D9"/>
            <w:noWrap w:val="0"/>
            <w:vAlign w:val="center"/>
          </w:tcPr>
          <w:p w14:paraId="7AFD62C1">
            <w:pPr>
              <w:spacing w:before="95" w:beforeLines="30" w:after="95" w:afterLines="30" w:line="440" w:lineRule="exact"/>
              <w:jc w:val="center"/>
              <w:rPr>
                <w:rFonts w:hint="eastAsia" w:ascii="宋体" w:hAnsi="宋体" w:eastAsia="宋体" w:cs="宋体"/>
                <w:b/>
                <w:color w:val="auto"/>
                <w:sz w:val="24"/>
                <w:highlight w:val="none"/>
                <w:lang w:val="en-US" w:eastAsia="zh-CN"/>
              </w:rPr>
            </w:pPr>
            <w:r>
              <w:rPr>
                <w:rFonts w:hint="eastAsia" w:ascii="宋体" w:hAnsi="宋体" w:cs="宋体"/>
                <w:b/>
                <w:color w:val="auto"/>
                <w:sz w:val="24"/>
                <w:highlight w:val="none"/>
                <w:lang w:val="en-US" w:eastAsia="zh-CN"/>
              </w:rPr>
              <w:t>包号</w:t>
            </w:r>
          </w:p>
        </w:tc>
        <w:tc>
          <w:tcPr>
            <w:tcW w:w="7636" w:type="dxa"/>
            <w:gridSpan w:val="6"/>
            <w:tcBorders>
              <w:top w:val="single" w:color="auto" w:sz="4" w:space="0"/>
              <w:left w:val="single" w:color="auto" w:sz="4" w:space="0"/>
              <w:bottom w:val="single" w:color="auto" w:sz="4" w:space="0"/>
              <w:right w:val="single" w:color="auto" w:sz="4" w:space="0"/>
            </w:tcBorders>
            <w:shd w:val="clear" w:color="auto" w:fill="D9D9D9"/>
            <w:noWrap w:val="0"/>
            <w:vAlign w:val="center"/>
          </w:tcPr>
          <w:p w14:paraId="40778276">
            <w:pPr>
              <w:spacing w:before="95" w:beforeLines="30" w:after="95" w:afterLines="30" w:line="440" w:lineRule="exact"/>
              <w:jc w:val="center"/>
              <w:rPr>
                <w:rFonts w:hint="eastAsia" w:ascii="宋体" w:hAnsi="宋体" w:cs="宋体"/>
                <w:b/>
                <w:color w:val="auto"/>
                <w:sz w:val="24"/>
                <w:highlight w:val="none"/>
                <w:lang w:val="en-GB"/>
              </w:rPr>
            </w:pPr>
          </w:p>
        </w:tc>
      </w:tr>
      <w:tr w14:paraId="357FD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9" w:type="dxa"/>
            <w:tcBorders>
              <w:top w:val="single" w:color="auto" w:sz="4" w:space="0"/>
              <w:left w:val="single" w:color="auto" w:sz="4" w:space="0"/>
              <w:bottom w:val="single" w:color="auto" w:sz="4" w:space="0"/>
              <w:right w:val="single" w:color="auto" w:sz="4" w:space="0"/>
            </w:tcBorders>
            <w:shd w:val="clear" w:color="auto" w:fill="D9D9D9"/>
            <w:noWrap w:val="0"/>
            <w:vAlign w:val="center"/>
          </w:tcPr>
          <w:p w14:paraId="01CE116D">
            <w:pPr>
              <w:pStyle w:val="32"/>
              <w:spacing w:before="95" w:beforeLines="30" w:after="95" w:afterLines="30" w:line="440" w:lineRule="exact"/>
              <w:jc w:val="center"/>
              <w:rPr>
                <w:rFonts w:ascii="宋体" w:hAnsi="宋体" w:cs="宋体"/>
                <w:b/>
                <w:bCs w:val="0"/>
                <w:color w:val="auto"/>
                <w:spacing w:val="0"/>
                <w:kern w:val="2"/>
                <w:szCs w:val="24"/>
                <w:highlight w:val="none"/>
                <w:lang w:val="en-GB"/>
              </w:rPr>
            </w:pPr>
            <w:r>
              <w:rPr>
                <w:rFonts w:hint="eastAsia" w:ascii="宋体" w:hAnsi="宋体" w:cs="宋体"/>
                <w:b/>
                <w:bCs w:val="0"/>
                <w:color w:val="auto"/>
                <w:spacing w:val="0"/>
                <w:kern w:val="2"/>
                <w:szCs w:val="24"/>
                <w:highlight w:val="none"/>
                <w:lang w:val="en-GB"/>
              </w:rPr>
              <w:t>序号</w:t>
            </w:r>
          </w:p>
        </w:tc>
        <w:tc>
          <w:tcPr>
            <w:tcW w:w="1241" w:type="dxa"/>
            <w:tcBorders>
              <w:top w:val="single" w:color="auto" w:sz="4" w:space="0"/>
              <w:left w:val="single" w:color="auto" w:sz="4" w:space="0"/>
              <w:bottom w:val="single" w:color="auto" w:sz="4" w:space="0"/>
              <w:right w:val="single" w:color="auto" w:sz="4" w:space="0"/>
            </w:tcBorders>
            <w:shd w:val="clear" w:color="auto" w:fill="D9D9D9"/>
            <w:noWrap w:val="0"/>
            <w:vAlign w:val="center"/>
          </w:tcPr>
          <w:p w14:paraId="3AECEA3C">
            <w:pPr>
              <w:spacing w:before="95" w:beforeLines="30" w:after="95" w:afterLines="30" w:line="440" w:lineRule="exact"/>
              <w:jc w:val="center"/>
              <w:rPr>
                <w:rFonts w:hint="eastAsia" w:ascii="宋体" w:hAnsi="宋体" w:eastAsia="宋体" w:cs="宋体"/>
                <w:b/>
                <w:color w:val="auto"/>
                <w:sz w:val="24"/>
                <w:highlight w:val="none"/>
                <w:lang w:val="en-GB" w:eastAsia="zh-CN"/>
              </w:rPr>
            </w:pPr>
            <w:r>
              <w:rPr>
                <w:rFonts w:hint="eastAsia" w:ascii="宋体" w:hAnsi="宋体" w:cs="宋体"/>
                <w:b/>
                <w:color w:val="auto"/>
                <w:sz w:val="24"/>
                <w:highlight w:val="none"/>
              </w:rPr>
              <w:t>品目</w:t>
            </w:r>
            <w:r>
              <w:rPr>
                <w:rFonts w:hint="eastAsia" w:ascii="宋体" w:hAnsi="宋体" w:cs="宋体"/>
                <w:b/>
                <w:color w:val="auto"/>
                <w:sz w:val="24"/>
                <w:highlight w:val="none"/>
                <w:lang w:eastAsia="zh-CN"/>
              </w:rPr>
              <w:t>名称</w:t>
            </w:r>
          </w:p>
        </w:tc>
        <w:tc>
          <w:tcPr>
            <w:tcW w:w="1834" w:type="dxa"/>
            <w:tcBorders>
              <w:top w:val="single" w:color="auto" w:sz="4" w:space="0"/>
              <w:left w:val="single" w:color="auto" w:sz="4" w:space="0"/>
              <w:bottom w:val="single" w:color="auto" w:sz="4" w:space="0"/>
              <w:right w:val="single" w:color="auto" w:sz="4" w:space="0"/>
            </w:tcBorders>
            <w:shd w:val="clear" w:color="auto" w:fill="D9D9D9"/>
            <w:noWrap w:val="0"/>
            <w:vAlign w:val="top"/>
          </w:tcPr>
          <w:p w14:paraId="3C5612D1">
            <w:pPr>
              <w:spacing w:before="95" w:beforeLines="30" w:after="95" w:afterLines="30" w:line="440" w:lineRule="exact"/>
              <w:jc w:val="center"/>
              <w:rPr>
                <w:rFonts w:hint="eastAsia" w:ascii="宋体" w:hAnsi="宋体" w:eastAsia="宋体" w:cs="宋体"/>
                <w:b/>
                <w:color w:val="auto"/>
                <w:sz w:val="24"/>
                <w:highlight w:val="none"/>
                <w:lang w:val="en-GB" w:eastAsia="zh-CN"/>
              </w:rPr>
            </w:pPr>
            <w:r>
              <w:rPr>
                <w:rFonts w:hint="eastAsia" w:ascii="宋体" w:hAnsi="宋体" w:cs="宋体"/>
                <w:b/>
                <w:color w:val="auto"/>
                <w:sz w:val="24"/>
                <w:highlight w:val="none"/>
                <w:lang w:val="en-GB" w:eastAsia="zh-CN"/>
              </w:rPr>
              <w:t>品牌型号</w:t>
            </w:r>
          </w:p>
        </w:tc>
        <w:tc>
          <w:tcPr>
            <w:tcW w:w="1140" w:type="dxa"/>
            <w:tcBorders>
              <w:top w:val="single" w:color="auto" w:sz="4" w:space="0"/>
              <w:left w:val="single" w:color="auto" w:sz="4" w:space="0"/>
              <w:bottom w:val="single" w:color="auto" w:sz="4" w:space="0"/>
              <w:right w:val="single" w:color="auto" w:sz="4" w:space="0"/>
            </w:tcBorders>
            <w:shd w:val="clear" w:color="auto" w:fill="D9D9D9"/>
            <w:noWrap w:val="0"/>
            <w:vAlign w:val="center"/>
          </w:tcPr>
          <w:p w14:paraId="4959B2A3">
            <w:pPr>
              <w:spacing w:before="95" w:beforeLines="30" w:after="95" w:afterLines="30" w:line="440" w:lineRule="exact"/>
              <w:jc w:val="center"/>
              <w:rPr>
                <w:rFonts w:ascii="宋体" w:hAnsi="宋体" w:cs="宋体"/>
                <w:b/>
                <w:color w:val="auto"/>
                <w:sz w:val="24"/>
                <w:highlight w:val="none"/>
                <w:lang w:val="en-GB"/>
              </w:rPr>
            </w:pPr>
            <w:r>
              <w:rPr>
                <w:rFonts w:hint="eastAsia" w:ascii="宋体" w:hAnsi="宋体" w:cs="宋体"/>
                <w:b/>
                <w:color w:val="auto"/>
                <w:sz w:val="24"/>
                <w:highlight w:val="none"/>
                <w:lang w:val="en-GB"/>
              </w:rPr>
              <w:t>数量</w:t>
            </w:r>
          </w:p>
        </w:tc>
        <w:tc>
          <w:tcPr>
            <w:tcW w:w="1035" w:type="dxa"/>
            <w:tcBorders>
              <w:top w:val="single" w:color="auto" w:sz="4" w:space="0"/>
              <w:left w:val="single" w:color="auto" w:sz="4" w:space="0"/>
              <w:bottom w:val="single" w:color="auto" w:sz="4" w:space="0"/>
              <w:right w:val="single" w:color="auto" w:sz="4" w:space="0"/>
            </w:tcBorders>
            <w:shd w:val="clear" w:color="auto" w:fill="D9D9D9"/>
            <w:noWrap w:val="0"/>
            <w:vAlign w:val="center"/>
          </w:tcPr>
          <w:p w14:paraId="29E1B08B">
            <w:pPr>
              <w:spacing w:before="95" w:beforeLines="30" w:after="95" w:afterLines="30" w:line="440" w:lineRule="exact"/>
              <w:jc w:val="center"/>
              <w:rPr>
                <w:rFonts w:ascii="宋体" w:hAnsi="宋体" w:cs="宋体"/>
                <w:b/>
                <w:color w:val="auto"/>
                <w:sz w:val="24"/>
                <w:highlight w:val="none"/>
                <w:lang w:val="en-GB"/>
              </w:rPr>
            </w:pPr>
            <w:r>
              <w:rPr>
                <w:rFonts w:hint="eastAsia" w:ascii="宋体" w:hAnsi="宋体" w:cs="宋体"/>
                <w:b/>
                <w:color w:val="auto"/>
                <w:sz w:val="24"/>
                <w:highlight w:val="none"/>
                <w:lang w:val="en-GB"/>
              </w:rPr>
              <w:t>单位</w:t>
            </w:r>
          </w:p>
        </w:tc>
        <w:tc>
          <w:tcPr>
            <w:tcW w:w="1305" w:type="dxa"/>
            <w:tcBorders>
              <w:top w:val="single" w:color="auto" w:sz="4" w:space="0"/>
              <w:left w:val="single" w:color="auto" w:sz="4" w:space="0"/>
              <w:bottom w:val="single" w:color="auto" w:sz="4" w:space="0"/>
              <w:right w:val="single" w:color="auto" w:sz="4" w:space="0"/>
            </w:tcBorders>
            <w:shd w:val="clear" w:color="auto" w:fill="D9D9D9"/>
            <w:noWrap w:val="0"/>
            <w:vAlign w:val="center"/>
          </w:tcPr>
          <w:p w14:paraId="386288DE">
            <w:pPr>
              <w:spacing w:before="95" w:beforeLines="30" w:after="95" w:afterLines="30" w:line="440" w:lineRule="exact"/>
              <w:jc w:val="center"/>
              <w:rPr>
                <w:rFonts w:ascii="宋体" w:hAnsi="宋体" w:cs="宋体"/>
                <w:b/>
                <w:color w:val="auto"/>
                <w:sz w:val="24"/>
                <w:highlight w:val="none"/>
                <w:lang w:val="en-GB"/>
              </w:rPr>
            </w:pPr>
            <w:r>
              <w:rPr>
                <w:rFonts w:hint="eastAsia" w:ascii="宋体" w:hAnsi="宋体" w:cs="宋体"/>
                <w:b/>
                <w:color w:val="auto"/>
                <w:sz w:val="24"/>
                <w:highlight w:val="none"/>
                <w:lang w:val="en-GB"/>
              </w:rPr>
              <w:t>单价（元）</w:t>
            </w:r>
          </w:p>
        </w:tc>
        <w:tc>
          <w:tcPr>
            <w:tcW w:w="1531" w:type="dxa"/>
            <w:tcBorders>
              <w:top w:val="single" w:color="auto" w:sz="4" w:space="0"/>
              <w:left w:val="single" w:color="auto" w:sz="4" w:space="0"/>
              <w:bottom w:val="single" w:color="auto" w:sz="4" w:space="0"/>
              <w:right w:val="single" w:color="auto" w:sz="4" w:space="0"/>
            </w:tcBorders>
            <w:shd w:val="clear" w:color="auto" w:fill="D9D9D9"/>
            <w:noWrap w:val="0"/>
            <w:vAlign w:val="center"/>
          </w:tcPr>
          <w:p w14:paraId="530ED5B2">
            <w:pPr>
              <w:spacing w:before="95" w:beforeLines="30" w:after="95" w:afterLines="30" w:line="440" w:lineRule="exact"/>
              <w:jc w:val="center"/>
              <w:rPr>
                <w:rFonts w:ascii="宋体" w:hAnsi="宋体" w:cs="宋体"/>
                <w:b/>
                <w:color w:val="auto"/>
                <w:sz w:val="24"/>
                <w:highlight w:val="none"/>
                <w:lang w:val="en-GB"/>
              </w:rPr>
            </w:pPr>
            <w:r>
              <w:rPr>
                <w:rFonts w:hint="eastAsia" w:ascii="宋体" w:hAnsi="宋体" w:cs="宋体"/>
                <w:b/>
                <w:color w:val="auto"/>
                <w:sz w:val="24"/>
                <w:highlight w:val="none"/>
                <w:lang w:val="en-GB"/>
              </w:rPr>
              <w:t>总价（元）</w:t>
            </w:r>
          </w:p>
        </w:tc>
        <w:tc>
          <w:tcPr>
            <w:tcW w:w="791" w:type="dxa"/>
            <w:tcBorders>
              <w:top w:val="single" w:color="auto" w:sz="4" w:space="0"/>
              <w:left w:val="single" w:color="auto" w:sz="4" w:space="0"/>
              <w:bottom w:val="single" w:color="auto" w:sz="4" w:space="0"/>
              <w:right w:val="single" w:color="auto" w:sz="4" w:space="0"/>
            </w:tcBorders>
            <w:shd w:val="clear" w:color="auto" w:fill="D9D9D9"/>
            <w:noWrap w:val="0"/>
            <w:vAlign w:val="center"/>
          </w:tcPr>
          <w:p w14:paraId="69D61F41">
            <w:pPr>
              <w:spacing w:before="95" w:beforeLines="30" w:after="95" w:afterLines="30" w:line="440" w:lineRule="exact"/>
              <w:jc w:val="center"/>
              <w:rPr>
                <w:rFonts w:hint="eastAsia" w:ascii="宋体" w:hAnsi="宋体" w:cs="宋体"/>
                <w:b/>
                <w:color w:val="auto"/>
                <w:sz w:val="24"/>
                <w:highlight w:val="none"/>
                <w:lang w:val="en-GB"/>
              </w:rPr>
            </w:pPr>
            <w:r>
              <w:rPr>
                <w:rFonts w:hint="eastAsia" w:ascii="宋体" w:hAnsi="宋体" w:cs="宋体"/>
                <w:b/>
                <w:color w:val="auto"/>
                <w:sz w:val="24"/>
                <w:highlight w:val="none"/>
              </w:rPr>
              <w:t>备注</w:t>
            </w:r>
          </w:p>
        </w:tc>
      </w:tr>
      <w:tr w14:paraId="60748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9" w:type="dxa"/>
            <w:tcBorders>
              <w:top w:val="single" w:color="auto" w:sz="4" w:space="0"/>
              <w:left w:val="single" w:color="auto" w:sz="4" w:space="0"/>
              <w:bottom w:val="single" w:color="auto" w:sz="4" w:space="0"/>
              <w:right w:val="single" w:color="auto" w:sz="4" w:space="0"/>
            </w:tcBorders>
            <w:noWrap w:val="0"/>
            <w:vAlign w:val="center"/>
          </w:tcPr>
          <w:p w14:paraId="3D105C6A">
            <w:pPr>
              <w:spacing w:before="95" w:beforeLines="30" w:after="95" w:afterLines="30" w:line="440" w:lineRule="exact"/>
              <w:jc w:val="center"/>
              <w:rPr>
                <w:rFonts w:ascii="宋体" w:hAnsi="宋体" w:cs="宋体"/>
                <w:b/>
                <w:bCs/>
                <w:color w:val="auto"/>
                <w:sz w:val="24"/>
                <w:highlight w:val="none"/>
                <w:lang w:val="en-GB"/>
              </w:rPr>
            </w:pPr>
            <w:r>
              <w:rPr>
                <w:rFonts w:hint="eastAsia" w:ascii="宋体" w:hAnsi="宋体" w:cs="宋体"/>
                <w:b/>
                <w:bCs/>
                <w:color w:val="auto"/>
                <w:sz w:val="24"/>
                <w:highlight w:val="none"/>
                <w:lang w:val="en-GB"/>
              </w:rPr>
              <w:t>1</w:t>
            </w:r>
          </w:p>
        </w:tc>
        <w:tc>
          <w:tcPr>
            <w:tcW w:w="1241" w:type="dxa"/>
            <w:tcBorders>
              <w:top w:val="single" w:color="auto" w:sz="4" w:space="0"/>
              <w:left w:val="single" w:color="auto" w:sz="4" w:space="0"/>
              <w:bottom w:val="single" w:color="auto" w:sz="4" w:space="0"/>
              <w:right w:val="single" w:color="auto" w:sz="4" w:space="0"/>
            </w:tcBorders>
            <w:noWrap w:val="0"/>
            <w:vAlign w:val="center"/>
          </w:tcPr>
          <w:p w14:paraId="6DF525AE">
            <w:pPr>
              <w:spacing w:before="95" w:beforeLines="30" w:after="95" w:afterLines="30" w:line="440" w:lineRule="exact"/>
              <w:jc w:val="center"/>
              <w:rPr>
                <w:rFonts w:hint="eastAsia" w:ascii="宋体" w:hAnsi="宋体" w:eastAsia="宋体" w:cs="宋体"/>
                <w:bCs/>
                <w:color w:val="auto"/>
                <w:sz w:val="24"/>
                <w:highlight w:val="none"/>
                <w:lang w:val="en-US" w:eastAsia="zh-CN"/>
              </w:rPr>
            </w:pPr>
          </w:p>
        </w:tc>
        <w:tc>
          <w:tcPr>
            <w:tcW w:w="1834" w:type="dxa"/>
            <w:tcBorders>
              <w:top w:val="single" w:color="auto" w:sz="4" w:space="0"/>
              <w:left w:val="single" w:color="auto" w:sz="4" w:space="0"/>
              <w:bottom w:val="single" w:color="auto" w:sz="4" w:space="0"/>
              <w:right w:val="single" w:color="auto" w:sz="4" w:space="0"/>
            </w:tcBorders>
            <w:noWrap w:val="0"/>
            <w:vAlign w:val="top"/>
          </w:tcPr>
          <w:p w14:paraId="54CA84C0">
            <w:pPr>
              <w:spacing w:before="95" w:beforeLines="30" w:after="95" w:afterLines="30" w:line="440" w:lineRule="exact"/>
              <w:jc w:val="center"/>
              <w:rPr>
                <w:rFonts w:ascii="宋体" w:hAnsi="宋体" w:cs="宋体"/>
                <w:bCs/>
                <w:color w:val="auto"/>
                <w:sz w:val="24"/>
                <w:highlight w:val="none"/>
                <w:lang w:val="en-GB"/>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14:paraId="42867ED0">
            <w:pPr>
              <w:spacing w:before="95" w:beforeLines="30" w:after="95" w:afterLines="30" w:line="440" w:lineRule="exact"/>
              <w:jc w:val="center"/>
              <w:rPr>
                <w:rFonts w:ascii="宋体" w:hAnsi="宋体" w:cs="宋体"/>
                <w:bCs/>
                <w:color w:val="auto"/>
                <w:sz w:val="24"/>
                <w:highlight w:val="none"/>
                <w:lang w:val="en-GB"/>
              </w:rPr>
            </w:pPr>
          </w:p>
        </w:tc>
        <w:tc>
          <w:tcPr>
            <w:tcW w:w="1035" w:type="dxa"/>
            <w:tcBorders>
              <w:top w:val="single" w:color="auto" w:sz="4" w:space="0"/>
              <w:left w:val="single" w:color="auto" w:sz="4" w:space="0"/>
              <w:bottom w:val="single" w:color="auto" w:sz="4" w:space="0"/>
              <w:right w:val="single" w:color="auto" w:sz="4" w:space="0"/>
            </w:tcBorders>
            <w:noWrap w:val="0"/>
            <w:vAlign w:val="center"/>
          </w:tcPr>
          <w:p w14:paraId="4DF8A935">
            <w:pPr>
              <w:spacing w:before="95" w:beforeLines="30" w:after="95" w:afterLines="30" w:line="440" w:lineRule="exact"/>
              <w:jc w:val="center"/>
              <w:rPr>
                <w:rFonts w:ascii="宋体" w:hAnsi="宋体" w:cs="宋体"/>
                <w:bCs/>
                <w:color w:val="auto"/>
                <w:sz w:val="24"/>
                <w:highlight w:val="none"/>
                <w:lang w:val="en-GB"/>
              </w:rPr>
            </w:pPr>
          </w:p>
        </w:tc>
        <w:tc>
          <w:tcPr>
            <w:tcW w:w="1305" w:type="dxa"/>
            <w:tcBorders>
              <w:top w:val="single" w:color="auto" w:sz="4" w:space="0"/>
              <w:left w:val="single" w:color="auto" w:sz="4" w:space="0"/>
              <w:bottom w:val="single" w:color="auto" w:sz="4" w:space="0"/>
              <w:right w:val="single" w:color="auto" w:sz="4" w:space="0"/>
            </w:tcBorders>
            <w:noWrap w:val="0"/>
            <w:vAlign w:val="center"/>
          </w:tcPr>
          <w:p w14:paraId="57EA6317">
            <w:pPr>
              <w:spacing w:before="95" w:beforeLines="30" w:after="95" w:afterLines="30" w:line="440" w:lineRule="exact"/>
              <w:jc w:val="center"/>
              <w:rPr>
                <w:rFonts w:ascii="宋体" w:hAnsi="宋体" w:cs="宋体"/>
                <w:bCs/>
                <w:color w:val="auto"/>
                <w:sz w:val="24"/>
                <w:highlight w:val="none"/>
                <w:lang w:val="en-GB"/>
              </w:rPr>
            </w:pPr>
          </w:p>
        </w:tc>
        <w:tc>
          <w:tcPr>
            <w:tcW w:w="1531" w:type="dxa"/>
            <w:tcBorders>
              <w:top w:val="single" w:color="auto" w:sz="4" w:space="0"/>
              <w:left w:val="single" w:color="auto" w:sz="4" w:space="0"/>
              <w:bottom w:val="single" w:color="auto" w:sz="4" w:space="0"/>
              <w:right w:val="single" w:color="auto" w:sz="4" w:space="0"/>
            </w:tcBorders>
            <w:noWrap w:val="0"/>
            <w:vAlign w:val="center"/>
          </w:tcPr>
          <w:p w14:paraId="11943795">
            <w:pPr>
              <w:spacing w:before="95" w:beforeLines="30" w:after="95" w:afterLines="30" w:line="440" w:lineRule="exact"/>
              <w:jc w:val="center"/>
              <w:rPr>
                <w:rFonts w:ascii="宋体" w:hAnsi="宋体" w:cs="宋体"/>
                <w:bCs/>
                <w:color w:val="auto"/>
                <w:sz w:val="24"/>
                <w:highlight w:val="none"/>
                <w:lang w:val="en-GB"/>
              </w:rPr>
            </w:pPr>
          </w:p>
        </w:tc>
        <w:tc>
          <w:tcPr>
            <w:tcW w:w="791" w:type="dxa"/>
            <w:tcBorders>
              <w:top w:val="single" w:color="auto" w:sz="4" w:space="0"/>
              <w:left w:val="single" w:color="auto" w:sz="4" w:space="0"/>
              <w:bottom w:val="single" w:color="auto" w:sz="4" w:space="0"/>
              <w:right w:val="single" w:color="auto" w:sz="4" w:space="0"/>
            </w:tcBorders>
            <w:noWrap w:val="0"/>
            <w:vAlign w:val="center"/>
          </w:tcPr>
          <w:p w14:paraId="6A9C9E9A">
            <w:pPr>
              <w:spacing w:before="95" w:beforeLines="30" w:after="95" w:afterLines="30" w:line="440" w:lineRule="exact"/>
              <w:jc w:val="center"/>
              <w:rPr>
                <w:rFonts w:ascii="宋体" w:hAnsi="宋体" w:cs="宋体"/>
                <w:bCs/>
                <w:color w:val="auto"/>
                <w:sz w:val="24"/>
                <w:highlight w:val="none"/>
                <w:lang w:val="en-GB"/>
              </w:rPr>
            </w:pPr>
          </w:p>
        </w:tc>
      </w:tr>
      <w:tr w14:paraId="3E71A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9" w:type="dxa"/>
            <w:tcBorders>
              <w:top w:val="single" w:color="auto" w:sz="4" w:space="0"/>
              <w:left w:val="single" w:color="auto" w:sz="4" w:space="0"/>
              <w:bottom w:val="single" w:color="auto" w:sz="4" w:space="0"/>
              <w:right w:val="single" w:color="auto" w:sz="4" w:space="0"/>
            </w:tcBorders>
            <w:noWrap w:val="0"/>
            <w:vAlign w:val="center"/>
          </w:tcPr>
          <w:p w14:paraId="6B9BBE1F">
            <w:pPr>
              <w:spacing w:before="95" w:beforeLines="30" w:after="95" w:afterLines="30" w:line="440" w:lineRule="exact"/>
              <w:jc w:val="center"/>
              <w:rPr>
                <w:rFonts w:ascii="宋体" w:hAnsi="宋体" w:cs="宋体"/>
                <w:b/>
                <w:bCs/>
                <w:color w:val="auto"/>
                <w:sz w:val="24"/>
                <w:highlight w:val="none"/>
                <w:lang w:val="en-GB"/>
              </w:rPr>
            </w:pPr>
            <w:r>
              <w:rPr>
                <w:rFonts w:hint="eastAsia" w:ascii="宋体" w:hAnsi="宋体" w:cs="宋体"/>
                <w:b/>
                <w:bCs/>
                <w:color w:val="auto"/>
                <w:sz w:val="24"/>
                <w:highlight w:val="none"/>
                <w:lang w:val="en-GB"/>
              </w:rPr>
              <w:t>2</w:t>
            </w:r>
          </w:p>
        </w:tc>
        <w:tc>
          <w:tcPr>
            <w:tcW w:w="1241" w:type="dxa"/>
            <w:tcBorders>
              <w:top w:val="single" w:color="auto" w:sz="4" w:space="0"/>
              <w:left w:val="single" w:color="auto" w:sz="4" w:space="0"/>
              <w:bottom w:val="single" w:color="auto" w:sz="4" w:space="0"/>
              <w:right w:val="single" w:color="auto" w:sz="4" w:space="0"/>
            </w:tcBorders>
            <w:noWrap w:val="0"/>
            <w:vAlign w:val="center"/>
          </w:tcPr>
          <w:p w14:paraId="0B7F0314">
            <w:pPr>
              <w:spacing w:before="95" w:beforeLines="30" w:after="95" w:afterLines="30" w:line="440" w:lineRule="exact"/>
              <w:jc w:val="center"/>
              <w:rPr>
                <w:rFonts w:ascii="宋体" w:hAnsi="宋体" w:cs="宋体"/>
                <w:bCs/>
                <w:color w:val="auto"/>
                <w:sz w:val="24"/>
                <w:highlight w:val="none"/>
                <w:lang w:val="en-GB"/>
              </w:rPr>
            </w:pPr>
          </w:p>
        </w:tc>
        <w:tc>
          <w:tcPr>
            <w:tcW w:w="1834" w:type="dxa"/>
            <w:tcBorders>
              <w:top w:val="single" w:color="auto" w:sz="4" w:space="0"/>
              <w:left w:val="single" w:color="auto" w:sz="4" w:space="0"/>
              <w:bottom w:val="single" w:color="auto" w:sz="4" w:space="0"/>
              <w:right w:val="single" w:color="auto" w:sz="4" w:space="0"/>
            </w:tcBorders>
            <w:noWrap w:val="0"/>
            <w:vAlign w:val="top"/>
          </w:tcPr>
          <w:p w14:paraId="53B55B80">
            <w:pPr>
              <w:spacing w:before="95" w:beforeLines="30" w:after="95" w:afterLines="30" w:line="440" w:lineRule="exact"/>
              <w:jc w:val="center"/>
              <w:rPr>
                <w:rFonts w:ascii="宋体" w:hAnsi="宋体" w:cs="宋体"/>
                <w:bCs/>
                <w:color w:val="auto"/>
                <w:sz w:val="24"/>
                <w:highlight w:val="none"/>
                <w:lang w:val="en-GB"/>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14:paraId="2E033033">
            <w:pPr>
              <w:spacing w:before="95" w:beforeLines="30" w:after="95" w:afterLines="30" w:line="440" w:lineRule="exact"/>
              <w:jc w:val="center"/>
              <w:rPr>
                <w:rFonts w:ascii="宋体" w:hAnsi="宋体" w:cs="宋体"/>
                <w:bCs/>
                <w:color w:val="auto"/>
                <w:sz w:val="24"/>
                <w:highlight w:val="none"/>
                <w:lang w:val="en-GB"/>
              </w:rPr>
            </w:pPr>
          </w:p>
        </w:tc>
        <w:tc>
          <w:tcPr>
            <w:tcW w:w="1035" w:type="dxa"/>
            <w:tcBorders>
              <w:top w:val="single" w:color="auto" w:sz="4" w:space="0"/>
              <w:left w:val="single" w:color="auto" w:sz="4" w:space="0"/>
              <w:bottom w:val="single" w:color="auto" w:sz="4" w:space="0"/>
              <w:right w:val="single" w:color="auto" w:sz="4" w:space="0"/>
            </w:tcBorders>
            <w:noWrap w:val="0"/>
            <w:vAlign w:val="center"/>
          </w:tcPr>
          <w:p w14:paraId="376C931A">
            <w:pPr>
              <w:spacing w:before="95" w:beforeLines="30" w:after="95" w:afterLines="30" w:line="440" w:lineRule="exact"/>
              <w:jc w:val="center"/>
              <w:rPr>
                <w:rFonts w:ascii="宋体" w:hAnsi="宋体" w:cs="宋体"/>
                <w:bCs/>
                <w:color w:val="auto"/>
                <w:sz w:val="24"/>
                <w:highlight w:val="none"/>
                <w:lang w:val="en-GB"/>
              </w:rPr>
            </w:pPr>
          </w:p>
        </w:tc>
        <w:tc>
          <w:tcPr>
            <w:tcW w:w="1305" w:type="dxa"/>
            <w:tcBorders>
              <w:top w:val="single" w:color="auto" w:sz="4" w:space="0"/>
              <w:left w:val="single" w:color="auto" w:sz="4" w:space="0"/>
              <w:bottom w:val="single" w:color="auto" w:sz="4" w:space="0"/>
              <w:right w:val="single" w:color="auto" w:sz="4" w:space="0"/>
            </w:tcBorders>
            <w:noWrap w:val="0"/>
            <w:vAlign w:val="center"/>
          </w:tcPr>
          <w:p w14:paraId="29B99BED">
            <w:pPr>
              <w:spacing w:before="95" w:beforeLines="30" w:after="95" w:afterLines="30" w:line="440" w:lineRule="exact"/>
              <w:jc w:val="center"/>
              <w:rPr>
                <w:rFonts w:ascii="宋体" w:hAnsi="宋体" w:cs="宋体"/>
                <w:bCs/>
                <w:color w:val="auto"/>
                <w:sz w:val="24"/>
                <w:highlight w:val="none"/>
                <w:lang w:val="en-GB"/>
              </w:rPr>
            </w:pPr>
          </w:p>
        </w:tc>
        <w:tc>
          <w:tcPr>
            <w:tcW w:w="1531" w:type="dxa"/>
            <w:tcBorders>
              <w:top w:val="single" w:color="auto" w:sz="4" w:space="0"/>
              <w:left w:val="single" w:color="auto" w:sz="4" w:space="0"/>
              <w:bottom w:val="single" w:color="auto" w:sz="4" w:space="0"/>
              <w:right w:val="single" w:color="auto" w:sz="4" w:space="0"/>
            </w:tcBorders>
            <w:noWrap w:val="0"/>
            <w:vAlign w:val="center"/>
          </w:tcPr>
          <w:p w14:paraId="61932F8D">
            <w:pPr>
              <w:spacing w:before="95" w:beforeLines="30" w:after="95" w:afterLines="30" w:line="440" w:lineRule="exact"/>
              <w:jc w:val="center"/>
              <w:rPr>
                <w:rFonts w:ascii="宋体" w:hAnsi="宋体" w:cs="宋体"/>
                <w:bCs/>
                <w:color w:val="auto"/>
                <w:sz w:val="24"/>
                <w:highlight w:val="none"/>
                <w:lang w:val="en-GB"/>
              </w:rPr>
            </w:pPr>
          </w:p>
        </w:tc>
        <w:tc>
          <w:tcPr>
            <w:tcW w:w="791" w:type="dxa"/>
            <w:tcBorders>
              <w:top w:val="single" w:color="auto" w:sz="4" w:space="0"/>
              <w:left w:val="single" w:color="auto" w:sz="4" w:space="0"/>
              <w:bottom w:val="single" w:color="auto" w:sz="4" w:space="0"/>
              <w:right w:val="single" w:color="auto" w:sz="4" w:space="0"/>
            </w:tcBorders>
            <w:noWrap w:val="0"/>
            <w:vAlign w:val="center"/>
          </w:tcPr>
          <w:p w14:paraId="43D9ACC3">
            <w:pPr>
              <w:spacing w:before="95" w:beforeLines="30" w:after="95" w:afterLines="30" w:line="440" w:lineRule="exact"/>
              <w:jc w:val="center"/>
              <w:rPr>
                <w:rFonts w:ascii="宋体" w:hAnsi="宋体" w:cs="宋体"/>
                <w:bCs/>
                <w:color w:val="auto"/>
                <w:sz w:val="24"/>
                <w:highlight w:val="none"/>
                <w:lang w:val="en-GB"/>
              </w:rPr>
            </w:pPr>
          </w:p>
        </w:tc>
      </w:tr>
      <w:tr w14:paraId="6D82C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9" w:type="dxa"/>
            <w:tcBorders>
              <w:top w:val="single" w:color="auto" w:sz="4" w:space="0"/>
              <w:left w:val="single" w:color="auto" w:sz="4" w:space="0"/>
              <w:bottom w:val="single" w:color="auto" w:sz="4" w:space="0"/>
              <w:right w:val="single" w:color="auto" w:sz="4" w:space="0"/>
            </w:tcBorders>
            <w:noWrap w:val="0"/>
            <w:vAlign w:val="center"/>
          </w:tcPr>
          <w:p w14:paraId="3E8B51D7">
            <w:pPr>
              <w:spacing w:before="95" w:beforeLines="30" w:after="95" w:afterLines="30" w:line="440" w:lineRule="exact"/>
              <w:jc w:val="center"/>
              <w:rPr>
                <w:rFonts w:ascii="宋体" w:hAnsi="宋体" w:cs="宋体"/>
                <w:b/>
                <w:bCs/>
                <w:color w:val="auto"/>
                <w:sz w:val="24"/>
                <w:highlight w:val="none"/>
                <w:lang w:val="en-GB"/>
              </w:rPr>
            </w:pPr>
            <w:r>
              <w:rPr>
                <w:rFonts w:hint="eastAsia" w:ascii="宋体" w:hAnsi="宋体" w:cs="宋体"/>
                <w:b/>
                <w:bCs/>
                <w:color w:val="auto"/>
                <w:sz w:val="24"/>
                <w:highlight w:val="none"/>
                <w:lang w:val="en-GB"/>
              </w:rPr>
              <w:t>3</w:t>
            </w:r>
          </w:p>
        </w:tc>
        <w:tc>
          <w:tcPr>
            <w:tcW w:w="1241" w:type="dxa"/>
            <w:tcBorders>
              <w:top w:val="single" w:color="auto" w:sz="4" w:space="0"/>
              <w:left w:val="single" w:color="auto" w:sz="4" w:space="0"/>
              <w:bottom w:val="single" w:color="auto" w:sz="4" w:space="0"/>
              <w:right w:val="single" w:color="auto" w:sz="4" w:space="0"/>
            </w:tcBorders>
            <w:noWrap w:val="0"/>
            <w:vAlign w:val="center"/>
          </w:tcPr>
          <w:p w14:paraId="174D92F1">
            <w:pPr>
              <w:spacing w:before="95" w:beforeLines="30" w:after="95" w:afterLines="30" w:line="440" w:lineRule="exact"/>
              <w:jc w:val="center"/>
              <w:rPr>
                <w:rFonts w:hint="eastAsia" w:ascii="宋体" w:hAnsi="宋体" w:eastAsia="宋体" w:cs="宋体"/>
                <w:bCs/>
                <w:color w:val="auto"/>
                <w:sz w:val="24"/>
                <w:highlight w:val="none"/>
                <w:lang w:eastAsia="zh-CN"/>
              </w:rPr>
            </w:pPr>
          </w:p>
        </w:tc>
        <w:tc>
          <w:tcPr>
            <w:tcW w:w="1834" w:type="dxa"/>
            <w:tcBorders>
              <w:top w:val="single" w:color="auto" w:sz="4" w:space="0"/>
              <w:left w:val="single" w:color="auto" w:sz="4" w:space="0"/>
              <w:bottom w:val="single" w:color="auto" w:sz="4" w:space="0"/>
              <w:right w:val="single" w:color="auto" w:sz="4" w:space="0"/>
            </w:tcBorders>
            <w:noWrap w:val="0"/>
            <w:vAlign w:val="top"/>
          </w:tcPr>
          <w:p w14:paraId="50EF6EA6">
            <w:pPr>
              <w:spacing w:before="95" w:beforeLines="30" w:after="95" w:afterLines="30" w:line="440" w:lineRule="exact"/>
              <w:jc w:val="center"/>
              <w:rPr>
                <w:rFonts w:ascii="宋体" w:hAnsi="宋体" w:cs="宋体"/>
                <w:bCs/>
                <w:color w:val="auto"/>
                <w:sz w:val="24"/>
                <w:highlight w:val="none"/>
                <w:lang w:val="en-GB"/>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14:paraId="649B4313">
            <w:pPr>
              <w:spacing w:before="95" w:beforeLines="30" w:after="95" w:afterLines="30" w:line="440" w:lineRule="exact"/>
              <w:jc w:val="center"/>
              <w:rPr>
                <w:rFonts w:ascii="宋体" w:hAnsi="宋体" w:cs="宋体"/>
                <w:bCs/>
                <w:color w:val="auto"/>
                <w:sz w:val="24"/>
                <w:highlight w:val="none"/>
                <w:lang w:val="en-GB"/>
              </w:rPr>
            </w:pPr>
          </w:p>
        </w:tc>
        <w:tc>
          <w:tcPr>
            <w:tcW w:w="1035" w:type="dxa"/>
            <w:tcBorders>
              <w:top w:val="single" w:color="auto" w:sz="4" w:space="0"/>
              <w:left w:val="single" w:color="auto" w:sz="4" w:space="0"/>
              <w:bottom w:val="single" w:color="auto" w:sz="4" w:space="0"/>
              <w:right w:val="single" w:color="auto" w:sz="4" w:space="0"/>
            </w:tcBorders>
            <w:noWrap w:val="0"/>
            <w:vAlign w:val="center"/>
          </w:tcPr>
          <w:p w14:paraId="7250F8DF">
            <w:pPr>
              <w:spacing w:before="95" w:beforeLines="30" w:after="95" w:afterLines="30" w:line="440" w:lineRule="exact"/>
              <w:jc w:val="center"/>
              <w:rPr>
                <w:rFonts w:ascii="宋体" w:hAnsi="宋体" w:cs="宋体"/>
                <w:bCs/>
                <w:color w:val="auto"/>
                <w:sz w:val="24"/>
                <w:highlight w:val="none"/>
                <w:lang w:val="en-GB"/>
              </w:rPr>
            </w:pPr>
          </w:p>
        </w:tc>
        <w:tc>
          <w:tcPr>
            <w:tcW w:w="1305" w:type="dxa"/>
            <w:tcBorders>
              <w:top w:val="single" w:color="auto" w:sz="4" w:space="0"/>
              <w:left w:val="single" w:color="auto" w:sz="4" w:space="0"/>
              <w:bottom w:val="single" w:color="auto" w:sz="4" w:space="0"/>
              <w:right w:val="single" w:color="auto" w:sz="4" w:space="0"/>
            </w:tcBorders>
            <w:noWrap w:val="0"/>
            <w:vAlign w:val="center"/>
          </w:tcPr>
          <w:p w14:paraId="53070A81">
            <w:pPr>
              <w:spacing w:before="95" w:beforeLines="30" w:after="95" w:afterLines="30" w:line="440" w:lineRule="exact"/>
              <w:jc w:val="center"/>
              <w:rPr>
                <w:rFonts w:ascii="宋体" w:hAnsi="宋体" w:cs="宋体"/>
                <w:bCs/>
                <w:color w:val="auto"/>
                <w:sz w:val="24"/>
                <w:highlight w:val="none"/>
                <w:lang w:val="en-GB"/>
              </w:rPr>
            </w:pPr>
          </w:p>
        </w:tc>
        <w:tc>
          <w:tcPr>
            <w:tcW w:w="1531" w:type="dxa"/>
            <w:tcBorders>
              <w:top w:val="single" w:color="auto" w:sz="4" w:space="0"/>
              <w:left w:val="single" w:color="auto" w:sz="4" w:space="0"/>
              <w:bottom w:val="single" w:color="auto" w:sz="4" w:space="0"/>
              <w:right w:val="single" w:color="auto" w:sz="4" w:space="0"/>
            </w:tcBorders>
            <w:noWrap w:val="0"/>
            <w:vAlign w:val="center"/>
          </w:tcPr>
          <w:p w14:paraId="6C7CE37E">
            <w:pPr>
              <w:spacing w:before="95" w:beforeLines="30" w:after="95" w:afterLines="30" w:line="440" w:lineRule="exact"/>
              <w:jc w:val="center"/>
              <w:rPr>
                <w:rFonts w:ascii="宋体" w:hAnsi="宋体" w:cs="宋体"/>
                <w:bCs/>
                <w:color w:val="auto"/>
                <w:sz w:val="24"/>
                <w:highlight w:val="none"/>
                <w:lang w:val="en-GB"/>
              </w:rPr>
            </w:pPr>
          </w:p>
        </w:tc>
        <w:tc>
          <w:tcPr>
            <w:tcW w:w="791" w:type="dxa"/>
            <w:tcBorders>
              <w:top w:val="single" w:color="auto" w:sz="4" w:space="0"/>
              <w:left w:val="single" w:color="auto" w:sz="4" w:space="0"/>
              <w:bottom w:val="single" w:color="auto" w:sz="4" w:space="0"/>
              <w:right w:val="single" w:color="auto" w:sz="4" w:space="0"/>
            </w:tcBorders>
            <w:noWrap w:val="0"/>
            <w:vAlign w:val="center"/>
          </w:tcPr>
          <w:p w14:paraId="14F7CD24">
            <w:pPr>
              <w:spacing w:before="95" w:beforeLines="30" w:after="95" w:afterLines="30" w:line="440" w:lineRule="exact"/>
              <w:jc w:val="center"/>
              <w:rPr>
                <w:rFonts w:ascii="宋体" w:hAnsi="宋体" w:cs="宋体"/>
                <w:bCs/>
                <w:color w:val="auto"/>
                <w:sz w:val="24"/>
                <w:highlight w:val="none"/>
                <w:lang w:val="en-GB"/>
              </w:rPr>
            </w:pPr>
          </w:p>
        </w:tc>
      </w:tr>
      <w:tr w14:paraId="7ED18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9" w:type="dxa"/>
            <w:tcBorders>
              <w:top w:val="single" w:color="auto" w:sz="4" w:space="0"/>
              <w:left w:val="single" w:color="auto" w:sz="4" w:space="0"/>
              <w:bottom w:val="single" w:color="auto" w:sz="4" w:space="0"/>
              <w:right w:val="single" w:color="auto" w:sz="4" w:space="0"/>
            </w:tcBorders>
            <w:noWrap w:val="0"/>
            <w:vAlign w:val="center"/>
          </w:tcPr>
          <w:p w14:paraId="65E2DEC5">
            <w:pPr>
              <w:spacing w:before="95" w:beforeLines="30" w:after="95" w:afterLines="30" w:line="440" w:lineRule="exact"/>
              <w:jc w:val="center"/>
              <w:rPr>
                <w:rFonts w:hint="default" w:ascii="宋体" w:hAnsi="宋体" w:eastAsia="宋体" w:cs="宋体"/>
                <w:b/>
                <w:bCs/>
                <w:color w:val="auto"/>
                <w:sz w:val="24"/>
                <w:highlight w:val="none"/>
                <w:lang w:val="en-US" w:eastAsia="zh-CN"/>
              </w:rPr>
            </w:pPr>
            <w:r>
              <w:rPr>
                <w:rFonts w:hint="eastAsia" w:ascii="宋体" w:hAnsi="宋体" w:cs="宋体"/>
                <w:b/>
                <w:bCs/>
                <w:color w:val="auto"/>
                <w:sz w:val="24"/>
                <w:highlight w:val="none"/>
                <w:lang w:val="en-US" w:eastAsia="zh-CN"/>
              </w:rPr>
              <w:t>...</w:t>
            </w:r>
          </w:p>
        </w:tc>
        <w:tc>
          <w:tcPr>
            <w:tcW w:w="1241" w:type="dxa"/>
            <w:tcBorders>
              <w:top w:val="single" w:color="auto" w:sz="4" w:space="0"/>
              <w:left w:val="single" w:color="auto" w:sz="4" w:space="0"/>
              <w:bottom w:val="single" w:color="auto" w:sz="4" w:space="0"/>
              <w:right w:val="single" w:color="auto" w:sz="4" w:space="0"/>
            </w:tcBorders>
            <w:noWrap w:val="0"/>
            <w:vAlign w:val="center"/>
          </w:tcPr>
          <w:p w14:paraId="4BA6486F">
            <w:pPr>
              <w:spacing w:before="95" w:beforeLines="30" w:after="95" w:afterLines="30" w:line="440" w:lineRule="exact"/>
              <w:jc w:val="center"/>
              <w:rPr>
                <w:rFonts w:ascii="宋体" w:hAnsi="宋体" w:cs="宋体"/>
                <w:bCs/>
                <w:color w:val="auto"/>
                <w:sz w:val="24"/>
                <w:highlight w:val="none"/>
              </w:rPr>
            </w:pPr>
          </w:p>
        </w:tc>
        <w:tc>
          <w:tcPr>
            <w:tcW w:w="1834" w:type="dxa"/>
            <w:tcBorders>
              <w:top w:val="single" w:color="auto" w:sz="4" w:space="0"/>
              <w:left w:val="single" w:color="auto" w:sz="4" w:space="0"/>
              <w:bottom w:val="single" w:color="auto" w:sz="4" w:space="0"/>
              <w:right w:val="single" w:color="auto" w:sz="4" w:space="0"/>
            </w:tcBorders>
            <w:noWrap w:val="0"/>
            <w:vAlign w:val="top"/>
          </w:tcPr>
          <w:p w14:paraId="0982EA5D">
            <w:pPr>
              <w:spacing w:before="95" w:beforeLines="30" w:after="95" w:afterLines="30" w:line="440" w:lineRule="exact"/>
              <w:jc w:val="center"/>
              <w:rPr>
                <w:rFonts w:ascii="宋体" w:hAnsi="宋体" w:cs="宋体"/>
                <w:bCs/>
                <w:color w:val="auto"/>
                <w:sz w:val="24"/>
                <w:highlight w:val="none"/>
                <w:lang w:val="en-GB"/>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14:paraId="28C8A487">
            <w:pPr>
              <w:spacing w:before="95" w:beforeLines="30" w:after="95" w:afterLines="30" w:line="440" w:lineRule="exact"/>
              <w:jc w:val="center"/>
              <w:rPr>
                <w:rFonts w:ascii="宋体" w:hAnsi="宋体" w:cs="宋体"/>
                <w:bCs/>
                <w:color w:val="auto"/>
                <w:sz w:val="24"/>
                <w:highlight w:val="none"/>
                <w:lang w:val="en-GB"/>
              </w:rPr>
            </w:pPr>
          </w:p>
        </w:tc>
        <w:tc>
          <w:tcPr>
            <w:tcW w:w="1035" w:type="dxa"/>
            <w:tcBorders>
              <w:top w:val="single" w:color="auto" w:sz="4" w:space="0"/>
              <w:left w:val="single" w:color="auto" w:sz="4" w:space="0"/>
              <w:bottom w:val="single" w:color="auto" w:sz="4" w:space="0"/>
              <w:right w:val="single" w:color="auto" w:sz="4" w:space="0"/>
            </w:tcBorders>
            <w:noWrap w:val="0"/>
            <w:vAlign w:val="center"/>
          </w:tcPr>
          <w:p w14:paraId="39B0EB4B">
            <w:pPr>
              <w:spacing w:before="95" w:beforeLines="30" w:after="95" w:afterLines="30" w:line="440" w:lineRule="exact"/>
              <w:jc w:val="center"/>
              <w:rPr>
                <w:rFonts w:ascii="宋体" w:hAnsi="宋体" w:cs="宋体"/>
                <w:bCs/>
                <w:color w:val="auto"/>
                <w:sz w:val="24"/>
                <w:highlight w:val="none"/>
                <w:lang w:val="en-GB"/>
              </w:rPr>
            </w:pPr>
          </w:p>
        </w:tc>
        <w:tc>
          <w:tcPr>
            <w:tcW w:w="1305" w:type="dxa"/>
            <w:tcBorders>
              <w:top w:val="single" w:color="auto" w:sz="4" w:space="0"/>
              <w:left w:val="single" w:color="auto" w:sz="4" w:space="0"/>
              <w:bottom w:val="single" w:color="auto" w:sz="4" w:space="0"/>
              <w:right w:val="single" w:color="auto" w:sz="4" w:space="0"/>
            </w:tcBorders>
            <w:noWrap w:val="0"/>
            <w:vAlign w:val="center"/>
          </w:tcPr>
          <w:p w14:paraId="39440B93">
            <w:pPr>
              <w:spacing w:before="95" w:beforeLines="30" w:after="95" w:afterLines="30" w:line="440" w:lineRule="exact"/>
              <w:jc w:val="center"/>
              <w:rPr>
                <w:rFonts w:ascii="宋体" w:hAnsi="宋体" w:cs="宋体"/>
                <w:bCs/>
                <w:color w:val="auto"/>
                <w:sz w:val="24"/>
                <w:highlight w:val="none"/>
                <w:lang w:val="en-GB"/>
              </w:rPr>
            </w:pPr>
          </w:p>
        </w:tc>
        <w:tc>
          <w:tcPr>
            <w:tcW w:w="1531" w:type="dxa"/>
            <w:tcBorders>
              <w:top w:val="single" w:color="auto" w:sz="4" w:space="0"/>
              <w:left w:val="single" w:color="auto" w:sz="4" w:space="0"/>
              <w:bottom w:val="single" w:color="auto" w:sz="4" w:space="0"/>
              <w:right w:val="single" w:color="auto" w:sz="4" w:space="0"/>
            </w:tcBorders>
            <w:noWrap w:val="0"/>
            <w:vAlign w:val="center"/>
          </w:tcPr>
          <w:p w14:paraId="1952398F">
            <w:pPr>
              <w:spacing w:before="95" w:beforeLines="30" w:after="95" w:afterLines="30" w:line="440" w:lineRule="exact"/>
              <w:jc w:val="center"/>
              <w:rPr>
                <w:rFonts w:ascii="宋体" w:hAnsi="宋体" w:cs="宋体"/>
                <w:bCs/>
                <w:color w:val="auto"/>
                <w:sz w:val="24"/>
                <w:highlight w:val="none"/>
                <w:lang w:val="en-GB"/>
              </w:rPr>
            </w:pPr>
          </w:p>
        </w:tc>
        <w:tc>
          <w:tcPr>
            <w:tcW w:w="791" w:type="dxa"/>
            <w:tcBorders>
              <w:top w:val="single" w:color="auto" w:sz="4" w:space="0"/>
              <w:left w:val="single" w:color="auto" w:sz="4" w:space="0"/>
              <w:bottom w:val="single" w:color="auto" w:sz="4" w:space="0"/>
              <w:right w:val="single" w:color="auto" w:sz="4" w:space="0"/>
            </w:tcBorders>
            <w:noWrap w:val="0"/>
            <w:vAlign w:val="center"/>
          </w:tcPr>
          <w:p w14:paraId="29A9446C">
            <w:pPr>
              <w:spacing w:before="95" w:beforeLines="30" w:after="95" w:afterLines="30" w:line="440" w:lineRule="exact"/>
              <w:jc w:val="center"/>
              <w:rPr>
                <w:rFonts w:ascii="宋体" w:hAnsi="宋体" w:cs="宋体"/>
                <w:bCs/>
                <w:color w:val="auto"/>
                <w:sz w:val="24"/>
                <w:highlight w:val="none"/>
                <w:lang w:val="en-GB"/>
              </w:rPr>
            </w:pPr>
          </w:p>
        </w:tc>
      </w:tr>
      <w:tr w14:paraId="63053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trPr>
        <w:tc>
          <w:tcPr>
            <w:tcW w:w="3914" w:type="dxa"/>
            <w:gridSpan w:val="3"/>
            <w:tcBorders>
              <w:top w:val="single" w:color="auto" w:sz="4" w:space="0"/>
              <w:left w:val="single" w:color="auto" w:sz="4" w:space="0"/>
              <w:bottom w:val="single" w:color="auto" w:sz="4" w:space="0"/>
              <w:right w:val="single" w:color="auto" w:sz="4" w:space="0"/>
            </w:tcBorders>
            <w:noWrap w:val="0"/>
            <w:vAlign w:val="center"/>
          </w:tcPr>
          <w:p w14:paraId="77C1BAA7">
            <w:pPr>
              <w:spacing w:before="319" w:beforeLines="100" w:after="319" w:afterLines="100" w:line="440" w:lineRule="exact"/>
              <w:jc w:val="center"/>
              <w:rPr>
                <w:rFonts w:ascii="宋体" w:hAnsi="宋体" w:cs="宋体"/>
                <w:color w:val="auto"/>
                <w:sz w:val="24"/>
                <w:highlight w:val="none"/>
                <w:lang w:val="en-GB"/>
              </w:rPr>
            </w:pPr>
            <w:r>
              <w:rPr>
                <w:rFonts w:hint="eastAsia" w:ascii="宋体" w:hAnsi="宋体" w:cs="宋体"/>
                <w:b/>
                <w:bCs/>
                <w:color w:val="auto"/>
                <w:sz w:val="24"/>
                <w:highlight w:val="none"/>
                <w:lang w:val="en-GB"/>
              </w:rPr>
              <w:t>投标报价总计</w:t>
            </w:r>
          </w:p>
        </w:tc>
        <w:tc>
          <w:tcPr>
            <w:tcW w:w="5802" w:type="dxa"/>
            <w:gridSpan w:val="5"/>
            <w:tcBorders>
              <w:top w:val="single" w:color="auto" w:sz="4" w:space="0"/>
              <w:left w:val="single" w:color="auto" w:sz="4" w:space="0"/>
              <w:bottom w:val="single" w:color="auto" w:sz="4" w:space="0"/>
              <w:right w:val="single" w:color="auto" w:sz="4" w:space="0"/>
            </w:tcBorders>
            <w:noWrap w:val="0"/>
            <w:vAlign w:val="center"/>
          </w:tcPr>
          <w:p w14:paraId="79CC9413">
            <w:pPr>
              <w:spacing w:before="319" w:beforeLines="100" w:after="319" w:afterLines="100" w:line="440" w:lineRule="exact"/>
              <w:rPr>
                <w:rFonts w:ascii="宋体" w:hAnsi="宋体" w:cs="宋体"/>
                <w:color w:val="auto"/>
                <w:sz w:val="24"/>
                <w:highlight w:val="none"/>
                <w:u w:val="single"/>
                <w:lang w:val="en-GB"/>
              </w:rPr>
            </w:pPr>
            <w:r>
              <w:rPr>
                <w:rFonts w:hint="eastAsia" w:ascii="宋体" w:hAnsi="宋体" w:cs="宋体"/>
                <w:color w:val="auto"/>
                <w:sz w:val="24"/>
                <w:highlight w:val="none"/>
                <w:lang w:val="en-GB"/>
              </w:rPr>
              <w:t>（大写）：</w:t>
            </w:r>
            <w:r>
              <w:rPr>
                <w:rFonts w:hint="eastAsia" w:ascii="宋体" w:hAnsi="宋体" w:cs="宋体"/>
                <w:color w:val="auto"/>
                <w:sz w:val="24"/>
                <w:highlight w:val="none"/>
                <w:u w:val="single"/>
                <w:lang w:val="en-GB"/>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GB"/>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GB"/>
              </w:rPr>
              <w:t xml:space="preserve">      </w:t>
            </w:r>
          </w:p>
          <w:p w14:paraId="19CC59A5">
            <w:pPr>
              <w:spacing w:before="319" w:beforeLines="100" w:after="319" w:afterLines="100" w:line="440" w:lineRule="exact"/>
              <w:rPr>
                <w:rFonts w:hint="eastAsia" w:ascii="宋体" w:hAnsi="宋体" w:cs="宋体"/>
                <w:color w:val="auto"/>
                <w:sz w:val="24"/>
                <w:highlight w:val="none"/>
                <w:lang w:val="en-GB"/>
              </w:rPr>
            </w:pPr>
            <w:r>
              <w:rPr>
                <w:rFonts w:hint="eastAsia" w:ascii="宋体" w:hAnsi="宋体" w:cs="宋体"/>
                <w:color w:val="auto"/>
                <w:sz w:val="24"/>
                <w:highlight w:val="none"/>
                <w:lang w:val="en-GB"/>
              </w:rPr>
              <w:t>（小写）：</w:t>
            </w:r>
            <w:r>
              <w:rPr>
                <w:rFonts w:hint="eastAsia" w:ascii="宋体" w:hAnsi="宋体" w:cs="宋体"/>
                <w:color w:val="auto"/>
                <w:sz w:val="24"/>
                <w:highlight w:val="none"/>
                <w:u w:val="single"/>
                <w:lang w:val="en-GB"/>
              </w:rPr>
              <w:t xml:space="preserve">   </w:t>
            </w:r>
            <w:r>
              <w:rPr>
                <w:rFonts w:hint="eastAsia" w:ascii="宋体" w:hAnsi="宋体" w:cs="宋体"/>
                <w:color w:val="auto"/>
                <w:sz w:val="24"/>
                <w:highlight w:val="none"/>
                <w:u w:val="single"/>
              </w:rPr>
              <w:t xml:space="preserve">                                </w:t>
            </w:r>
          </w:p>
        </w:tc>
      </w:tr>
    </w:tbl>
    <w:p w14:paraId="6F9E5C29">
      <w:pPr>
        <w:spacing w:before="159" w:beforeLines="50" w:after="159" w:afterLines="50" w:line="440" w:lineRule="exact"/>
        <w:rPr>
          <w:rFonts w:hint="eastAsia" w:ascii="宋体" w:hAnsi="宋体" w:cs="宋体"/>
          <w:b/>
          <w:bCs/>
          <w:color w:val="auto"/>
          <w:sz w:val="24"/>
          <w:highlight w:val="none"/>
          <w:lang w:val="en-GB"/>
        </w:rPr>
      </w:pPr>
      <w:r>
        <w:rPr>
          <w:rFonts w:hint="eastAsia" w:ascii="宋体" w:hAnsi="宋体" w:cs="宋体"/>
          <w:b/>
          <w:bCs/>
          <w:color w:val="auto"/>
          <w:sz w:val="24"/>
          <w:highlight w:val="none"/>
          <w:lang w:val="en-GB"/>
        </w:rPr>
        <w:t>注：</w:t>
      </w:r>
    </w:p>
    <w:p w14:paraId="0DFA63A7">
      <w:pPr>
        <w:spacing w:before="159" w:beforeLines="50" w:after="159" w:afterLines="50" w:line="440" w:lineRule="exact"/>
        <w:ind w:firstLine="480" w:firstLineChars="200"/>
        <w:rPr>
          <w:rFonts w:hint="eastAsia" w:ascii="宋体" w:hAnsi="宋体" w:cs="宋体"/>
          <w:color w:val="auto"/>
          <w:sz w:val="24"/>
          <w:highlight w:val="none"/>
          <w:lang w:val="en-GB"/>
        </w:rPr>
      </w:pPr>
      <w:r>
        <w:rPr>
          <w:rFonts w:hint="eastAsia" w:ascii="宋体" w:hAnsi="宋体" w:cs="宋体"/>
          <w:color w:val="auto"/>
          <w:sz w:val="24"/>
          <w:highlight w:val="none"/>
        </w:rPr>
        <w:t>1、</w:t>
      </w:r>
      <w:r>
        <w:rPr>
          <w:rFonts w:hint="eastAsia" w:ascii="宋体" w:hAnsi="宋体" w:cs="宋体"/>
          <w:color w:val="auto"/>
          <w:sz w:val="24"/>
          <w:highlight w:val="none"/>
          <w:lang w:val="en-GB"/>
        </w:rPr>
        <w:t>供应商必须按“报价明细表”的格式详细报出总价的各个组成部分的报价。</w:t>
      </w:r>
    </w:p>
    <w:p w14:paraId="17591F48">
      <w:pPr>
        <w:spacing w:before="159" w:beforeLines="50" w:after="159" w:afterLines="50" w:line="440" w:lineRule="exact"/>
        <w:ind w:firstLine="480" w:firstLineChars="200"/>
        <w:rPr>
          <w:rFonts w:hint="eastAsia" w:ascii="宋体" w:hAnsi="宋体" w:cs="宋体"/>
          <w:color w:val="auto"/>
          <w:sz w:val="24"/>
          <w:highlight w:val="none"/>
          <w:lang w:val="en-GB"/>
        </w:rPr>
      </w:pPr>
      <w:r>
        <w:rPr>
          <w:rFonts w:hint="eastAsia" w:ascii="宋体" w:hAnsi="宋体" w:cs="宋体"/>
          <w:color w:val="auto"/>
          <w:sz w:val="24"/>
          <w:highlight w:val="none"/>
          <w:lang w:val="en-GB"/>
        </w:rPr>
        <w:t>2、</w:t>
      </w:r>
      <w:r>
        <w:rPr>
          <w:rFonts w:hint="eastAsia" w:ascii="宋体" w:hAnsi="宋体" w:cs="宋体"/>
          <w:color w:val="auto"/>
          <w:sz w:val="24"/>
          <w:highlight w:val="none"/>
        </w:rPr>
        <w:t>“报价明细表”各分项报价合计应当与“报价一览表”报价合计相等。</w:t>
      </w:r>
    </w:p>
    <w:p w14:paraId="4470618C">
      <w:pPr>
        <w:spacing w:before="159" w:beforeLines="50" w:after="159" w:afterLines="50" w:line="44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3、如果按单价计算的结果与总价不一致，以单价为准修正总价。</w:t>
      </w:r>
    </w:p>
    <w:p w14:paraId="04C5106D">
      <w:pPr>
        <w:spacing w:line="440" w:lineRule="exact"/>
        <w:ind w:firstLine="480" w:firstLineChars="200"/>
        <w:rPr>
          <w:rFonts w:hint="eastAsia" w:ascii="宋体" w:hAnsi="宋体" w:cs="宋体"/>
          <w:color w:val="auto"/>
          <w:sz w:val="24"/>
          <w:highlight w:val="none"/>
          <w:lang w:val="en-GB"/>
        </w:rPr>
      </w:pPr>
      <w:r>
        <w:rPr>
          <w:rFonts w:hint="eastAsia" w:ascii="宋体" w:hAnsi="宋体" w:cs="宋体"/>
          <w:color w:val="auto"/>
          <w:sz w:val="24"/>
          <w:highlight w:val="none"/>
          <w:lang w:val="en-GB"/>
        </w:rPr>
        <w:t>4、供应商须按要求填写所有信息，不得随意更改本表格样式。</w:t>
      </w:r>
    </w:p>
    <w:p w14:paraId="4BA2C87A">
      <w:pPr>
        <w:pStyle w:val="22"/>
        <w:ind w:firstLine="560"/>
        <w:rPr>
          <w:rFonts w:hint="eastAsia"/>
          <w:color w:val="auto"/>
          <w:highlight w:val="none"/>
          <w:lang w:val="en-GB"/>
        </w:rPr>
      </w:pPr>
    </w:p>
    <w:p w14:paraId="0DA40D47">
      <w:pPr>
        <w:pStyle w:val="22"/>
        <w:ind w:firstLine="482"/>
        <w:rPr>
          <w:rFonts w:hint="eastAsia" w:eastAsia="宋体" w:cs="宋体"/>
          <w:b/>
          <w:bCs/>
          <w:color w:val="auto"/>
          <w:sz w:val="24"/>
          <w:highlight w:val="none"/>
          <w:lang w:val="en-US" w:eastAsia="zh-CN"/>
        </w:rPr>
      </w:pPr>
    </w:p>
    <w:p w14:paraId="5FB867ED">
      <w:pPr>
        <w:spacing w:before="319" w:beforeLines="100" w:after="319" w:afterLines="100"/>
        <w:jc w:val="center"/>
        <w:rPr>
          <w:rFonts w:hint="eastAsia" w:ascii="宋体" w:hAnsi="宋体" w:cs="宋体"/>
          <w:bCs/>
          <w:color w:val="auto"/>
          <w:sz w:val="24"/>
          <w:highlight w:val="none"/>
          <w:lang w:val="en-GB"/>
        </w:rPr>
      </w:pPr>
      <w:r>
        <w:rPr>
          <w:rFonts w:hint="eastAsia" w:ascii="宋体" w:hAnsi="宋体" w:cs="宋体"/>
          <w:color w:val="auto"/>
          <w:sz w:val="24"/>
          <w:highlight w:val="none"/>
        </w:rPr>
        <w:t xml:space="preserve">                  </w:t>
      </w:r>
      <w:r>
        <w:rPr>
          <w:rFonts w:hint="eastAsia" w:ascii="宋体" w:hAnsi="宋体" w:cs="宋体"/>
          <w:color w:val="auto"/>
          <w:sz w:val="24"/>
          <w:highlight w:val="none"/>
          <w:lang w:val="en-GB"/>
        </w:rPr>
        <w:t>供应商（全称并盖章）：</w:t>
      </w:r>
      <w:r>
        <w:rPr>
          <w:rFonts w:hint="eastAsia" w:ascii="宋体" w:hAnsi="宋体" w:cs="宋体"/>
          <w:color w:val="auto"/>
          <w:sz w:val="24"/>
          <w:highlight w:val="none"/>
          <w:u w:val="single"/>
          <w:lang w:val="en-GB"/>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GB"/>
        </w:rPr>
        <w:t xml:space="preserve"> </w:t>
      </w:r>
      <w:r>
        <w:rPr>
          <w:rFonts w:hint="eastAsia" w:ascii="宋体" w:hAnsi="宋体" w:cs="宋体"/>
          <w:color w:val="auto"/>
          <w:sz w:val="24"/>
          <w:highlight w:val="none"/>
        </w:rPr>
        <w:t xml:space="preserve">  </w:t>
      </w:r>
      <w:r>
        <w:rPr>
          <w:rFonts w:hint="eastAsia" w:ascii="宋体" w:hAnsi="宋体" w:cs="宋体"/>
          <w:bCs/>
          <w:color w:val="auto"/>
          <w:sz w:val="24"/>
          <w:highlight w:val="none"/>
          <w:lang w:val="en-GB"/>
        </w:rPr>
        <w:t xml:space="preserve">  </w:t>
      </w:r>
    </w:p>
    <w:p w14:paraId="47B4A916">
      <w:pPr>
        <w:snapToGrid w:val="0"/>
        <w:spacing w:before="319" w:beforeLines="100" w:after="319" w:afterLines="100"/>
        <w:jc w:val="center"/>
        <w:rPr>
          <w:rFonts w:hint="eastAsia" w:ascii="宋体" w:hAnsi="宋体" w:cs="宋体"/>
          <w:color w:val="auto"/>
          <w:sz w:val="24"/>
          <w:highlight w:val="none"/>
        </w:rPr>
      </w:pPr>
      <w:r>
        <w:rPr>
          <w:rFonts w:hint="eastAsia"/>
          <w:color w:val="auto"/>
          <w:sz w:val="24"/>
          <w:highlight w:val="none"/>
        </w:rPr>
        <w:t xml:space="preserve">           法定代表人或被授权人</w:t>
      </w:r>
      <w:r>
        <w:rPr>
          <w:rFonts w:hint="eastAsia" w:ascii="宋体" w:hAnsi="宋体" w:cs="宋体"/>
          <w:bCs/>
          <w:color w:val="auto"/>
          <w:sz w:val="24"/>
          <w:highlight w:val="none"/>
          <w:lang w:val="en-GB"/>
        </w:rPr>
        <w:t>（签字</w:t>
      </w:r>
      <w:r>
        <w:rPr>
          <w:rFonts w:hint="eastAsia" w:ascii="宋体" w:hAnsi="宋体" w:cs="宋体"/>
          <w:bCs/>
          <w:color w:val="auto"/>
          <w:sz w:val="24"/>
          <w:highlight w:val="none"/>
          <w:lang w:val="en-GB" w:eastAsia="zh-CN"/>
        </w:rPr>
        <w:t>或签章</w:t>
      </w:r>
      <w:r>
        <w:rPr>
          <w:rFonts w:hint="eastAsia" w:ascii="宋体" w:hAnsi="宋体" w:cs="宋体"/>
          <w:bCs/>
          <w:color w:val="auto"/>
          <w:sz w:val="24"/>
          <w:highlight w:val="none"/>
          <w:lang w:val="en-GB"/>
        </w:rPr>
        <w:t>）</w:t>
      </w:r>
      <w:r>
        <w:rPr>
          <w:rFonts w:hint="eastAsia"/>
          <w:color w:val="auto"/>
          <w:sz w:val="24"/>
          <w:highlight w:val="none"/>
        </w:rPr>
        <w:t>：</w:t>
      </w:r>
      <w:r>
        <w:rPr>
          <w:rFonts w:hint="eastAsia" w:ascii="宋体" w:hAnsi="宋体" w:cs="宋体"/>
          <w:color w:val="auto"/>
          <w:sz w:val="24"/>
          <w:highlight w:val="none"/>
          <w:u w:val="single"/>
          <w:lang w:val="en-GB"/>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lang w:val="en-GB"/>
        </w:rPr>
        <w:t xml:space="preserve"> </w:t>
      </w:r>
      <w:r>
        <w:rPr>
          <w:rFonts w:hint="eastAsia" w:ascii="宋体" w:hAnsi="宋体" w:cs="宋体"/>
          <w:color w:val="auto"/>
          <w:sz w:val="24"/>
          <w:highlight w:val="none"/>
        </w:rPr>
        <w:t xml:space="preserve"> </w:t>
      </w:r>
    </w:p>
    <w:p w14:paraId="14235BA8">
      <w:pPr>
        <w:snapToGrid w:val="0"/>
        <w:spacing w:before="319" w:beforeLines="100" w:after="319" w:afterLines="100"/>
        <w:jc w:val="right"/>
        <w:rPr>
          <w:rFonts w:hint="eastAsia" w:ascii="宋体" w:hAnsi="宋体" w:cs="宋体"/>
          <w:b/>
          <w:color w:val="auto"/>
          <w:sz w:val="30"/>
          <w:szCs w:val="30"/>
          <w:highlight w:val="none"/>
        </w:rPr>
      </w:pPr>
      <w:r>
        <w:rPr>
          <w:rFonts w:hint="eastAsia" w:ascii="宋体" w:hAnsi="宋体" w:cs="宋体"/>
          <w:color w:val="auto"/>
          <w:sz w:val="24"/>
          <w:highlight w:val="none"/>
        </w:rPr>
        <w:t xml:space="preserve">                                 </w:t>
      </w:r>
      <w:r>
        <w:rPr>
          <w:rFonts w:hint="eastAsia" w:ascii="宋体" w:hAnsi="宋体" w:cs="宋体"/>
          <w:color w:val="auto"/>
          <w:sz w:val="24"/>
          <w:highlight w:val="none"/>
          <w:lang w:val="en-GB"/>
        </w:rPr>
        <w:t>日</w:t>
      </w:r>
      <w:r>
        <w:rPr>
          <w:rFonts w:hint="eastAsia" w:ascii="宋体" w:hAnsi="宋体" w:cs="宋体"/>
          <w:color w:val="auto"/>
          <w:sz w:val="24"/>
          <w:highlight w:val="none"/>
        </w:rPr>
        <w:t xml:space="preserve">     </w:t>
      </w:r>
      <w:r>
        <w:rPr>
          <w:rFonts w:hint="eastAsia" w:ascii="宋体" w:hAnsi="宋体" w:cs="宋体"/>
          <w:color w:val="auto"/>
          <w:sz w:val="24"/>
          <w:highlight w:val="none"/>
          <w:lang w:val="en-GB"/>
        </w:rPr>
        <w:t>期：</w:t>
      </w:r>
      <w:r>
        <w:rPr>
          <w:rFonts w:hint="eastAsia" w:ascii="宋体" w:hAnsi="宋体" w:cs="宋体"/>
          <w:color w:val="auto"/>
          <w:sz w:val="24"/>
          <w:highlight w:val="none"/>
          <w:u w:val="single"/>
        </w:rPr>
        <w:t xml:space="preserve">        </w:t>
      </w:r>
      <w:r>
        <w:rPr>
          <w:rFonts w:hint="eastAsia" w:ascii="宋体" w:hAnsi="宋体" w:cs="宋体"/>
          <w:color w:val="auto"/>
          <w:sz w:val="24"/>
          <w:highlight w:val="none"/>
          <w:lang w:val="en-GB"/>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lang w:val="en-GB"/>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lang w:val="en-GB"/>
        </w:rPr>
        <w:t>日</w:t>
      </w:r>
    </w:p>
    <w:p w14:paraId="36167897">
      <w:pPr>
        <w:jc w:val="center"/>
        <w:rPr>
          <w:rFonts w:ascii="宋体" w:hAnsi="宋体" w:cs="宋体"/>
          <w:b/>
          <w:color w:val="auto"/>
          <w:sz w:val="30"/>
          <w:szCs w:val="30"/>
          <w:highlight w:val="none"/>
        </w:rPr>
      </w:pPr>
      <w:r>
        <w:rPr>
          <w:rFonts w:hint="eastAsia" w:ascii="宋体" w:hAnsi="宋体" w:cs="宋体"/>
          <w:b/>
          <w:color w:val="auto"/>
          <w:sz w:val="30"/>
          <w:szCs w:val="30"/>
          <w:highlight w:val="none"/>
          <w:lang w:val="en-US" w:eastAsia="zh-CN"/>
        </w:rPr>
        <w:t>6</w:t>
      </w:r>
      <w:r>
        <w:rPr>
          <w:rFonts w:hint="eastAsia" w:ascii="宋体" w:hAnsi="宋体" w:cs="宋体"/>
          <w:b/>
          <w:color w:val="auto"/>
          <w:sz w:val="30"/>
          <w:szCs w:val="30"/>
          <w:highlight w:val="none"/>
          <w:lang w:eastAsia="zh-CN"/>
        </w:rPr>
        <w:t>、</w:t>
      </w:r>
      <w:r>
        <w:rPr>
          <w:rFonts w:hint="eastAsia" w:ascii="宋体" w:hAnsi="宋体" w:cs="宋体"/>
          <w:b/>
          <w:color w:val="auto"/>
          <w:sz w:val="30"/>
          <w:szCs w:val="30"/>
          <w:highlight w:val="none"/>
        </w:rPr>
        <w:t>商务标偏离表</w:t>
      </w:r>
    </w:p>
    <w:p w14:paraId="2C93064C">
      <w:pPr>
        <w:adjustRightInd w:val="0"/>
        <w:snapToGrid w:val="0"/>
        <w:spacing w:after="159" w:afterLines="50" w:line="44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项目名称：</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w:t>
      </w: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 xml:space="preserve"> </w:t>
      </w:r>
    </w:p>
    <w:p w14:paraId="75A3EB53">
      <w:pPr>
        <w:adjustRightInd w:val="0"/>
        <w:snapToGrid w:val="0"/>
        <w:spacing w:after="159" w:afterLines="50" w:line="44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rPr>
        <w:t>项目编号：</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lang w:val="en-US" w:eastAsia="zh-CN"/>
        </w:rPr>
        <w:t>包号：</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 xml:space="preserve">       </w:t>
      </w:r>
    </w:p>
    <w:p w14:paraId="4E725B7F">
      <w:pPr>
        <w:spacing w:line="360" w:lineRule="auto"/>
        <w:ind w:left="-15" w:firstLine="420"/>
        <w:rPr>
          <w:color w:val="auto"/>
          <w:sz w:val="24"/>
          <w:szCs w:val="24"/>
          <w:highlight w:val="none"/>
        </w:rPr>
      </w:pPr>
      <w:r>
        <w:rPr>
          <w:rFonts w:hint="eastAsia" w:ascii="宋体" w:hAnsi="宋体" w:cs="宋体"/>
          <w:color w:val="auto"/>
          <w:sz w:val="24"/>
          <w:szCs w:val="24"/>
          <w:highlight w:val="none"/>
        </w:rPr>
        <w:t>说明：请供应商对应磋商文件第五部分“采购需求”中有关项目的商务要求，逐条如实、完整、准确的填写该表。响应文件有正、负偏离均应在下表中列明。若无偏离，请标明“完全响应”。供应商须对响应材料的真实性负责，一旦中标，若被发现与事实不符的，将依照《政府采购法》第七十七条第一款的规定追究法律责任。</w:t>
      </w:r>
    </w:p>
    <w:tbl>
      <w:tblPr>
        <w:tblStyle w:val="54"/>
        <w:tblW w:w="888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22" w:type="dxa"/>
          <w:left w:w="108" w:type="dxa"/>
          <w:bottom w:w="0" w:type="dxa"/>
          <w:right w:w="29" w:type="dxa"/>
        </w:tblCellMar>
      </w:tblPr>
      <w:tblGrid>
        <w:gridCol w:w="698"/>
        <w:gridCol w:w="1843"/>
        <w:gridCol w:w="2551"/>
        <w:gridCol w:w="2511"/>
        <w:gridCol w:w="1279"/>
      </w:tblGrid>
      <w:tr w14:paraId="38449C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22" w:type="dxa"/>
            <w:left w:w="108" w:type="dxa"/>
            <w:bottom w:w="0" w:type="dxa"/>
            <w:right w:w="29" w:type="dxa"/>
          </w:tblCellMar>
        </w:tblPrEx>
        <w:trPr>
          <w:trHeight w:val="1088" w:hRule="atLeast"/>
          <w:jc w:val="center"/>
        </w:trPr>
        <w:tc>
          <w:tcPr>
            <w:tcW w:w="698"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71D7D956">
            <w:pPr>
              <w:spacing w:line="360" w:lineRule="auto"/>
              <w:ind w:left="25"/>
              <w:rPr>
                <w:color w:val="auto"/>
                <w:sz w:val="24"/>
                <w:szCs w:val="24"/>
                <w:highlight w:val="none"/>
              </w:rPr>
            </w:pPr>
            <w:r>
              <w:rPr>
                <w:rFonts w:hint="eastAsia" w:ascii="宋体" w:hAnsi="宋体" w:cs="宋体"/>
                <w:color w:val="auto"/>
                <w:sz w:val="24"/>
                <w:szCs w:val="24"/>
                <w:highlight w:val="none"/>
              </w:rPr>
              <w:t xml:space="preserve">序号 </w:t>
            </w:r>
          </w:p>
        </w:tc>
        <w:tc>
          <w:tcPr>
            <w:tcW w:w="1843"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5585E553">
            <w:pPr>
              <w:spacing w:line="360" w:lineRule="auto"/>
              <w:ind w:left="247"/>
              <w:rPr>
                <w:color w:val="auto"/>
                <w:sz w:val="24"/>
                <w:szCs w:val="24"/>
                <w:highlight w:val="none"/>
              </w:rPr>
            </w:pPr>
            <w:r>
              <w:rPr>
                <w:rFonts w:hint="eastAsia" w:ascii="宋体" w:hAnsi="宋体" w:cs="宋体"/>
                <w:color w:val="auto"/>
                <w:sz w:val="24"/>
                <w:szCs w:val="24"/>
                <w:highlight w:val="none"/>
              </w:rPr>
              <w:t>磋商文件条款</w:t>
            </w:r>
          </w:p>
        </w:tc>
        <w:tc>
          <w:tcPr>
            <w:tcW w:w="2551"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5663A7F8">
            <w:pPr>
              <w:spacing w:line="360" w:lineRule="auto"/>
              <w:ind w:left="247"/>
              <w:rPr>
                <w:color w:val="auto"/>
                <w:sz w:val="24"/>
                <w:szCs w:val="24"/>
                <w:highlight w:val="none"/>
              </w:rPr>
            </w:pPr>
            <w:r>
              <w:rPr>
                <w:rFonts w:hint="eastAsia" w:ascii="宋体" w:hAnsi="宋体" w:cs="宋体"/>
                <w:color w:val="auto"/>
                <w:sz w:val="24"/>
                <w:szCs w:val="24"/>
                <w:highlight w:val="none"/>
              </w:rPr>
              <w:t xml:space="preserve">磋商文件中商务要求 </w:t>
            </w:r>
          </w:p>
        </w:tc>
        <w:tc>
          <w:tcPr>
            <w:tcW w:w="2511"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612764C4">
            <w:pPr>
              <w:spacing w:line="360" w:lineRule="auto"/>
              <w:ind w:right="77"/>
              <w:jc w:val="center"/>
              <w:rPr>
                <w:color w:val="auto"/>
                <w:sz w:val="24"/>
                <w:szCs w:val="24"/>
                <w:highlight w:val="none"/>
              </w:rPr>
            </w:pPr>
            <w:r>
              <w:rPr>
                <w:rFonts w:hint="eastAsia" w:ascii="宋体" w:hAnsi="宋体" w:cs="宋体"/>
                <w:color w:val="auto"/>
                <w:sz w:val="24"/>
                <w:szCs w:val="24"/>
                <w:highlight w:val="none"/>
              </w:rPr>
              <w:t>响应文件响应</w:t>
            </w:r>
          </w:p>
        </w:tc>
        <w:tc>
          <w:tcPr>
            <w:tcW w:w="1279"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0CE81776">
            <w:pPr>
              <w:spacing w:line="360" w:lineRule="auto"/>
              <w:ind w:right="78"/>
              <w:jc w:val="center"/>
              <w:rPr>
                <w:color w:val="auto"/>
                <w:sz w:val="24"/>
                <w:szCs w:val="24"/>
                <w:highlight w:val="none"/>
              </w:rPr>
            </w:pPr>
            <w:r>
              <w:rPr>
                <w:rFonts w:hint="eastAsia" w:ascii="宋体" w:hAnsi="宋体" w:cs="宋体"/>
                <w:color w:val="auto"/>
                <w:sz w:val="24"/>
                <w:szCs w:val="24"/>
                <w:highlight w:val="none"/>
              </w:rPr>
              <w:t>偏离情况</w:t>
            </w:r>
          </w:p>
        </w:tc>
      </w:tr>
      <w:tr w14:paraId="33B42A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22" w:type="dxa"/>
            <w:left w:w="108" w:type="dxa"/>
            <w:bottom w:w="0" w:type="dxa"/>
            <w:right w:w="29" w:type="dxa"/>
          </w:tblCellMar>
        </w:tblPrEx>
        <w:trPr>
          <w:trHeight w:val="743" w:hRule="atLeast"/>
          <w:jc w:val="center"/>
        </w:trPr>
        <w:tc>
          <w:tcPr>
            <w:tcW w:w="698" w:type="dxa"/>
            <w:tcBorders>
              <w:top w:val="single" w:color="000000" w:sz="4" w:space="0"/>
              <w:left w:val="single" w:color="000000" w:sz="4" w:space="0"/>
              <w:bottom w:val="single" w:color="000000" w:sz="4" w:space="0"/>
              <w:right w:val="single" w:color="000000" w:sz="4" w:space="0"/>
            </w:tcBorders>
            <w:vAlign w:val="center"/>
          </w:tcPr>
          <w:p w14:paraId="160A6954">
            <w:pPr>
              <w:spacing w:line="360" w:lineRule="auto"/>
              <w:jc w:val="center"/>
              <w:rPr>
                <w:color w:val="auto"/>
                <w:sz w:val="24"/>
                <w:szCs w:val="24"/>
                <w:highlight w:val="none"/>
              </w:rPr>
            </w:pPr>
            <w:r>
              <w:rPr>
                <w:rFonts w:hint="eastAsia" w:ascii="宋体" w:hAnsi="宋体" w:cs="宋体"/>
                <w:color w:val="auto"/>
                <w:sz w:val="24"/>
                <w:szCs w:val="24"/>
                <w:highlight w:val="none"/>
              </w:rPr>
              <w:t>1</w:t>
            </w:r>
          </w:p>
        </w:tc>
        <w:tc>
          <w:tcPr>
            <w:tcW w:w="1843" w:type="dxa"/>
            <w:tcBorders>
              <w:top w:val="single" w:color="000000" w:sz="4" w:space="0"/>
              <w:left w:val="single" w:color="000000" w:sz="4" w:space="0"/>
              <w:bottom w:val="single" w:color="000000" w:sz="4" w:space="0"/>
              <w:right w:val="single" w:color="000000" w:sz="4" w:space="0"/>
            </w:tcBorders>
            <w:vAlign w:val="top"/>
          </w:tcPr>
          <w:p w14:paraId="45371856">
            <w:pPr>
              <w:spacing w:line="360" w:lineRule="auto"/>
              <w:rPr>
                <w:color w:val="auto"/>
                <w:sz w:val="24"/>
                <w:szCs w:val="24"/>
                <w:highlight w:val="none"/>
              </w:rPr>
            </w:pPr>
            <w:r>
              <w:rPr>
                <w:rFonts w:hint="eastAsia" w:ascii="宋体" w:hAnsi="宋体" w:cs="宋体"/>
                <w:color w:val="auto"/>
                <w:sz w:val="24"/>
                <w:szCs w:val="24"/>
                <w:highlight w:val="none"/>
              </w:rPr>
              <w:t xml:space="preserve"> </w:t>
            </w:r>
          </w:p>
        </w:tc>
        <w:tc>
          <w:tcPr>
            <w:tcW w:w="2551" w:type="dxa"/>
            <w:tcBorders>
              <w:top w:val="single" w:color="000000" w:sz="4" w:space="0"/>
              <w:left w:val="single" w:color="000000" w:sz="4" w:space="0"/>
              <w:bottom w:val="single" w:color="000000" w:sz="4" w:space="0"/>
              <w:right w:val="single" w:color="000000" w:sz="4" w:space="0"/>
            </w:tcBorders>
            <w:vAlign w:val="center"/>
          </w:tcPr>
          <w:p w14:paraId="72F5BFC8">
            <w:pPr>
              <w:spacing w:line="360" w:lineRule="auto"/>
              <w:rPr>
                <w:color w:val="auto"/>
                <w:sz w:val="24"/>
                <w:szCs w:val="24"/>
                <w:highlight w:val="none"/>
              </w:rPr>
            </w:pPr>
            <w:r>
              <w:rPr>
                <w:rFonts w:hint="eastAsia" w:ascii="宋体" w:hAnsi="宋体" w:cs="宋体"/>
                <w:color w:val="auto"/>
                <w:sz w:val="24"/>
                <w:szCs w:val="24"/>
                <w:highlight w:val="none"/>
              </w:rPr>
              <w:t xml:space="preserve">  </w:t>
            </w:r>
          </w:p>
        </w:tc>
        <w:tc>
          <w:tcPr>
            <w:tcW w:w="2511" w:type="dxa"/>
            <w:tcBorders>
              <w:top w:val="single" w:color="000000" w:sz="4" w:space="0"/>
              <w:left w:val="single" w:color="000000" w:sz="4" w:space="0"/>
              <w:bottom w:val="single" w:color="000000" w:sz="4" w:space="0"/>
              <w:right w:val="single" w:color="000000" w:sz="4" w:space="0"/>
            </w:tcBorders>
            <w:vAlign w:val="center"/>
          </w:tcPr>
          <w:p w14:paraId="78142429">
            <w:pPr>
              <w:spacing w:line="360" w:lineRule="auto"/>
              <w:ind w:left="24"/>
              <w:jc w:val="center"/>
              <w:rPr>
                <w:color w:val="auto"/>
                <w:sz w:val="24"/>
                <w:szCs w:val="24"/>
                <w:highlight w:val="none"/>
              </w:rPr>
            </w:pPr>
            <w:r>
              <w:rPr>
                <w:rFonts w:hint="eastAsia" w:ascii="宋体" w:hAnsi="宋体" w:cs="宋体"/>
                <w:color w:val="auto"/>
                <w:sz w:val="24"/>
                <w:szCs w:val="24"/>
                <w:highlight w:val="none"/>
              </w:rPr>
              <w:t xml:space="preserve"> </w:t>
            </w:r>
          </w:p>
        </w:tc>
        <w:tc>
          <w:tcPr>
            <w:tcW w:w="1279" w:type="dxa"/>
            <w:tcBorders>
              <w:top w:val="single" w:color="000000" w:sz="4" w:space="0"/>
              <w:left w:val="single" w:color="000000" w:sz="4" w:space="0"/>
              <w:bottom w:val="single" w:color="000000" w:sz="4" w:space="0"/>
              <w:right w:val="single" w:color="000000" w:sz="4" w:space="0"/>
            </w:tcBorders>
            <w:vAlign w:val="center"/>
          </w:tcPr>
          <w:p w14:paraId="4FF2DE72">
            <w:pPr>
              <w:spacing w:line="360" w:lineRule="auto"/>
              <w:ind w:left="28"/>
              <w:jc w:val="center"/>
              <w:rPr>
                <w:color w:val="auto"/>
                <w:sz w:val="24"/>
                <w:szCs w:val="24"/>
                <w:highlight w:val="none"/>
              </w:rPr>
            </w:pPr>
            <w:r>
              <w:rPr>
                <w:rFonts w:hint="eastAsia" w:ascii="宋体" w:hAnsi="宋体" w:cs="宋体"/>
                <w:color w:val="auto"/>
                <w:sz w:val="24"/>
                <w:szCs w:val="24"/>
                <w:highlight w:val="none"/>
              </w:rPr>
              <w:t xml:space="preserve"> </w:t>
            </w:r>
          </w:p>
        </w:tc>
      </w:tr>
      <w:tr w14:paraId="39CE64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22" w:type="dxa"/>
            <w:left w:w="108" w:type="dxa"/>
            <w:bottom w:w="0" w:type="dxa"/>
            <w:right w:w="29" w:type="dxa"/>
          </w:tblCellMar>
        </w:tblPrEx>
        <w:trPr>
          <w:trHeight w:val="730" w:hRule="atLeast"/>
          <w:jc w:val="center"/>
        </w:trPr>
        <w:tc>
          <w:tcPr>
            <w:tcW w:w="698" w:type="dxa"/>
            <w:tcBorders>
              <w:top w:val="single" w:color="000000" w:sz="4" w:space="0"/>
              <w:left w:val="single" w:color="000000" w:sz="4" w:space="0"/>
              <w:bottom w:val="single" w:color="000000" w:sz="4" w:space="0"/>
              <w:right w:val="single" w:color="000000" w:sz="4" w:space="0"/>
            </w:tcBorders>
            <w:vAlign w:val="center"/>
          </w:tcPr>
          <w:p w14:paraId="0DD2B4B0">
            <w:pPr>
              <w:spacing w:line="360" w:lineRule="auto"/>
              <w:jc w:val="center"/>
              <w:rPr>
                <w:color w:val="auto"/>
                <w:sz w:val="24"/>
                <w:szCs w:val="24"/>
                <w:highlight w:val="none"/>
              </w:rPr>
            </w:pPr>
            <w:r>
              <w:rPr>
                <w:rFonts w:hint="eastAsia" w:ascii="宋体" w:hAnsi="宋体" w:cs="宋体"/>
                <w:color w:val="auto"/>
                <w:sz w:val="24"/>
                <w:szCs w:val="24"/>
                <w:highlight w:val="none"/>
              </w:rPr>
              <w:t>2</w:t>
            </w:r>
          </w:p>
        </w:tc>
        <w:tc>
          <w:tcPr>
            <w:tcW w:w="1843" w:type="dxa"/>
            <w:tcBorders>
              <w:top w:val="single" w:color="000000" w:sz="4" w:space="0"/>
              <w:left w:val="single" w:color="000000" w:sz="4" w:space="0"/>
              <w:bottom w:val="single" w:color="000000" w:sz="4" w:space="0"/>
              <w:right w:val="single" w:color="000000" w:sz="4" w:space="0"/>
            </w:tcBorders>
            <w:vAlign w:val="top"/>
          </w:tcPr>
          <w:p w14:paraId="790AA853">
            <w:pPr>
              <w:spacing w:line="360" w:lineRule="auto"/>
              <w:ind w:left="29"/>
              <w:jc w:val="center"/>
              <w:rPr>
                <w:color w:val="auto"/>
                <w:sz w:val="24"/>
                <w:szCs w:val="24"/>
                <w:highlight w:val="none"/>
              </w:rPr>
            </w:pPr>
            <w:r>
              <w:rPr>
                <w:rFonts w:hint="eastAsia" w:ascii="宋体" w:hAnsi="宋体" w:cs="宋体"/>
                <w:color w:val="auto"/>
                <w:sz w:val="24"/>
                <w:szCs w:val="24"/>
                <w:highlight w:val="none"/>
              </w:rPr>
              <w:t xml:space="preserve"> </w:t>
            </w:r>
          </w:p>
        </w:tc>
        <w:tc>
          <w:tcPr>
            <w:tcW w:w="2551" w:type="dxa"/>
            <w:tcBorders>
              <w:top w:val="single" w:color="000000" w:sz="4" w:space="0"/>
              <w:left w:val="single" w:color="000000" w:sz="4" w:space="0"/>
              <w:bottom w:val="single" w:color="000000" w:sz="4" w:space="0"/>
              <w:right w:val="single" w:color="000000" w:sz="4" w:space="0"/>
            </w:tcBorders>
            <w:vAlign w:val="center"/>
          </w:tcPr>
          <w:p w14:paraId="7EEACEC0">
            <w:pPr>
              <w:spacing w:line="360" w:lineRule="auto"/>
              <w:ind w:left="25"/>
              <w:jc w:val="center"/>
              <w:rPr>
                <w:color w:val="auto"/>
                <w:sz w:val="24"/>
                <w:szCs w:val="24"/>
                <w:highlight w:val="none"/>
              </w:rPr>
            </w:pPr>
            <w:r>
              <w:rPr>
                <w:rFonts w:hint="eastAsia" w:ascii="宋体" w:hAnsi="宋体" w:cs="宋体"/>
                <w:color w:val="auto"/>
                <w:sz w:val="24"/>
                <w:szCs w:val="24"/>
                <w:highlight w:val="none"/>
              </w:rPr>
              <w:t xml:space="preserve"> </w:t>
            </w:r>
          </w:p>
        </w:tc>
        <w:tc>
          <w:tcPr>
            <w:tcW w:w="2511" w:type="dxa"/>
            <w:tcBorders>
              <w:top w:val="single" w:color="000000" w:sz="4" w:space="0"/>
              <w:left w:val="single" w:color="000000" w:sz="4" w:space="0"/>
              <w:bottom w:val="single" w:color="000000" w:sz="4" w:space="0"/>
              <w:right w:val="single" w:color="000000" w:sz="4" w:space="0"/>
            </w:tcBorders>
            <w:vAlign w:val="center"/>
          </w:tcPr>
          <w:p w14:paraId="43285033">
            <w:pPr>
              <w:spacing w:line="360" w:lineRule="auto"/>
              <w:ind w:left="24"/>
              <w:jc w:val="center"/>
              <w:rPr>
                <w:color w:val="auto"/>
                <w:sz w:val="24"/>
                <w:szCs w:val="24"/>
                <w:highlight w:val="none"/>
              </w:rPr>
            </w:pPr>
            <w:r>
              <w:rPr>
                <w:rFonts w:hint="eastAsia" w:ascii="宋体" w:hAnsi="宋体" w:cs="宋体"/>
                <w:color w:val="auto"/>
                <w:sz w:val="24"/>
                <w:szCs w:val="24"/>
                <w:highlight w:val="none"/>
              </w:rPr>
              <w:t xml:space="preserve"> </w:t>
            </w:r>
          </w:p>
        </w:tc>
        <w:tc>
          <w:tcPr>
            <w:tcW w:w="1279" w:type="dxa"/>
            <w:tcBorders>
              <w:top w:val="single" w:color="000000" w:sz="4" w:space="0"/>
              <w:left w:val="single" w:color="000000" w:sz="4" w:space="0"/>
              <w:bottom w:val="single" w:color="000000" w:sz="4" w:space="0"/>
              <w:right w:val="single" w:color="000000" w:sz="4" w:space="0"/>
            </w:tcBorders>
            <w:vAlign w:val="center"/>
          </w:tcPr>
          <w:p w14:paraId="2886788A">
            <w:pPr>
              <w:spacing w:line="360" w:lineRule="auto"/>
              <w:ind w:left="28"/>
              <w:jc w:val="center"/>
              <w:rPr>
                <w:color w:val="auto"/>
                <w:sz w:val="24"/>
                <w:szCs w:val="24"/>
                <w:highlight w:val="none"/>
              </w:rPr>
            </w:pPr>
            <w:r>
              <w:rPr>
                <w:rFonts w:hint="eastAsia" w:ascii="宋体" w:hAnsi="宋体" w:cs="宋体"/>
                <w:color w:val="auto"/>
                <w:sz w:val="24"/>
                <w:szCs w:val="24"/>
                <w:highlight w:val="none"/>
              </w:rPr>
              <w:t xml:space="preserve"> </w:t>
            </w:r>
          </w:p>
        </w:tc>
      </w:tr>
      <w:tr w14:paraId="03EB3B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22" w:type="dxa"/>
            <w:left w:w="108" w:type="dxa"/>
            <w:bottom w:w="0" w:type="dxa"/>
            <w:right w:w="29" w:type="dxa"/>
          </w:tblCellMar>
        </w:tblPrEx>
        <w:trPr>
          <w:trHeight w:val="730" w:hRule="atLeast"/>
          <w:jc w:val="center"/>
        </w:trPr>
        <w:tc>
          <w:tcPr>
            <w:tcW w:w="698" w:type="dxa"/>
            <w:tcBorders>
              <w:top w:val="single" w:color="000000" w:sz="4" w:space="0"/>
              <w:left w:val="single" w:color="000000" w:sz="4" w:space="0"/>
              <w:bottom w:val="single" w:color="000000" w:sz="4" w:space="0"/>
              <w:right w:val="single" w:color="000000" w:sz="4" w:space="0"/>
            </w:tcBorders>
            <w:vAlign w:val="center"/>
          </w:tcPr>
          <w:p w14:paraId="092146AC">
            <w:pPr>
              <w:spacing w:line="360" w:lineRule="auto"/>
              <w:jc w:val="center"/>
              <w:rPr>
                <w:color w:val="auto"/>
                <w:sz w:val="24"/>
                <w:szCs w:val="24"/>
                <w:highlight w:val="none"/>
              </w:rPr>
            </w:pPr>
            <w:r>
              <w:rPr>
                <w:rFonts w:hint="eastAsia" w:ascii="宋体" w:hAnsi="宋体" w:cs="宋体"/>
                <w:color w:val="auto"/>
                <w:sz w:val="24"/>
                <w:szCs w:val="24"/>
                <w:highlight w:val="none"/>
              </w:rPr>
              <w:t>3</w:t>
            </w:r>
          </w:p>
        </w:tc>
        <w:tc>
          <w:tcPr>
            <w:tcW w:w="1843" w:type="dxa"/>
            <w:tcBorders>
              <w:top w:val="single" w:color="000000" w:sz="4" w:space="0"/>
              <w:left w:val="single" w:color="000000" w:sz="4" w:space="0"/>
              <w:bottom w:val="single" w:color="000000" w:sz="4" w:space="0"/>
              <w:right w:val="single" w:color="000000" w:sz="4" w:space="0"/>
            </w:tcBorders>
            <w:vAlign w:val="top"/>
          </w:tcPr>
          <w:p w14:paraId="3D96902D">
            <w:pPr>
              <w:spacing w:line="360" w:lineRule="auto"/>
              <w:ind w:left="29"/>
              <w:jc w:val="center"/>
              <w:rPr>
                <w:color w:val="auto"/>
                <w:sz w:val="24"/>
                <w:szCs w:val="24"/>
                <w:highlight w:val="none"/>
              </w:rPr>
            </w:pPr>
            <w:r>
              <w:rPr>
                <w:rFonts w:hint="eastAsia" w:ascii="宋体" w:hAnsi="宋体" w:cs="宋体"/>
                <w:color w:val="auto"/>
                <w:sz w:val="24"/>
                <w:szCs w:val="24"/>
                <w:highlight w:val="none"/>
              </w:rPr>
              <w:t xml:space="preserve"> </w:t>
            </w:r>
          </w:p>
        </w:tc>
        <w:tc>
          <w:tcPr>
            <w:tcW w:w="2551" w:type="dxa"/>
            <w:tcBorders>
              <w:top w:val="single" w:color="000000" w:sz="4" w:space="0"/>
              <w:left w:val="single" w:color="000000" w:sz="4" w:space="0"/>
              <w:bottom w:val="single" w:color="000000" w:sz="4" w:space="0"/>
              <w:right w:val="single" w:color="000000" w:sz="4" w:space="0"/>
            </w:tcBorders>
            <w:vAlign w:val="center"/>
          </w:tcPr>
          <w:p w14:paraId="373DB659">
            <w:pPr>
              <w:spacing w:line="360" w:lineRule="auto"/>
              <w:ind w:left="25"/>
              <w:jc w:val="center"/>
              <w:rPr>
                <w:color w:val="auto"/>
                <w:sz w:val="24"/>
                <w:szCs w:val="24"/>
                <w:highlight w:val="none"/>
              </w:rPr>
            </w:pPr>
            <w:r>
              <w:rPr>
                <w:rFonts w:hint="eastAsia" w:ascii="宋体" w:hAnsi="宋体" w:cs="宋体"/>
                <w:color w:val="auto"/>
                <w:sz w:val="24"/>
                <w:szCs w:val="24"/>
                <w:highlight w:val="none"/>
              </w:rPr>
              <w:t xml:space="preserve"> </w:t>
            </w:r>
          </w:p>
        </w:tc>
        <w:tc>
          <w:tcPr>
            <w:tcW w:w="2511" w:type="dxa"/>
            <w:tcBorders>
              <w:top w:val="single" w:color="000000" w:sz="4" w:space="0"/>
              <w:left w:val="single" w:color="000000" w:sz="4" w:space="0"/>
              <w:bottom w:val="single" w:color="000000" w:sz="4" w:space="0"/>
              <w:right w:val="single" w:color="000000" w:sz="4" w:space="0"/>
            </w:tcBorders>
            <w:vAlign w:val="center"/>
          </w:tcPr>
          <w:p w14:paraId="091290F1">
            <w:pPr>
              <w:spacing w:line="360" w:lineRule="auto"/>
              <w:ind w:left="24"/>
              <w:jc w:val="center"/>
              <w:rPr>
                <w:color w:val="auto"/>
                <w:sz w:val="24"/>
                <w:szCs w:val="24"/>
                <w:highlight w:val="none"/>
              </w:rPr>
            </w:pPr>
            <w:r>
              <w:rPr>
                <w:rFonts w:hint="eastAsia" w:ascii="宋体" w:hAnsi="宋体" w:cs="宋体"/>
                <w:color w:val="auto"/>
                <w:sz w:val="24"/>
                <w:szCs w:val="24"/>
                <w:highlight w:val="none"/>
              </w:rPr>
              <w:t xml:space="preserve"> </w:t>
            </w:r>
          </w:p>
        </w:tc>
        <w:tc>
          <w:tcPr>
            <w:tcW w:w="1279" w:type="dxa"/>
            <w:tcBorders>
              <w:top w:val="single" w:color="000000" w:sz="4" w:space="0"/>
              <w:left w:val="single" w:color="000000" w:sz="4" w:space="0"/>
              <w:bottom w:val="single" w:color="000000" w:sz="4" w:space="0"/>
              <w:right w:val="single" w:color="000000" w:sz="4" w:space="0"/>
            </w:tcBorders>
            <w:vAlign w:val="center"/>
          </w:tcPr>
          <w:p w14:paraId="095F131D">
            <w:pPr>
              <w:spacing w:line="360" w:lineRule="auto"/>
              <w:ind w:left="28"/>
              <w:jc w:val="center"/>
              <w:rPr>
                <w:color w:val="auto"/>
                <w:sz w:val="24"/>
                <w:szCs w:val="24"/>
                <w:highlight w:val="none"/>
              </w:rPr>
            </w:pPr>
            <w:r>
              <w:rPr>
                <w:rFonts w:hint="eastAsia" w:ascii="宋体" w:hAnsi="宋体" w:cs="宋体"/>
                <w:color w:val="auto"/>
                <w:sz w:val="24"/>
                <w:szCs w:val="24"/>
                <w:highlight w:val="none"/>
              </w:rPr>
              <w:t xml:space="preserve"> </w:t>
            </w:r>
          </w:p>
        </w:tc>
      </w:tr>
      <w:tr w14:paraId="60831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22" w:type="dxa"/>
            <w:left w:w="108" w:type="dxa"/>
            <w:bottom w:w="0" w:type="dxa"/>
            <w:right w:w="29" w:type="dxa"/>
          </w:tblCellMar>
        </w:tblPrEx>
        <w:trPr>
          <w:trHeight w:val="730" w:hRule="atLeast"/>
          <w:jc w:val="center"/>
        </w:trPr>
        <w:tc>
          <w:tcPr>
            <w:tcW w:w="698" w:type="dxa"/>
            <w:tcBorders>
              <w:top w:val="single" w:color="000000" w:sz="4" w:space="0"/>
              <w:left w:val="single" w:color="000000" w:sz="4" w:space="0"/>
              <w:bottom w:val="single" w:color="000000" w:sz="4" w:space="0"/>
              <w:right w:val="single" w:color="000000" w:sz="4" w:space="0"/>
            </w:tcBorders>
            <w:vAlign w:val="center"/>
          </w:tcPr>
          <w:p w14:paraId="694FF9E4">
            <w:pPr>
              <w:spacing w:line="360" w:lineRule="auto"/>
              <w:jc w:val="center"/>
              <w:rPr>
                <w:color w:val="auto"/>
                <w:sz w:val="24"/>
                <w:szCs w:val="24"/>
                <w:highlight w:val="none"/>
              </w:rPr>
            </w:pPr>
            <w:r>
              <w:rPr>
                <w:rFonts w:hint="eastAsia" w:ascii="宋体" w:hAnsi="宋体" w:cs="宋体"/>
                <w:color w:val="auto"/>
                <w:sz w:val="24"/>
                <w:szCs w:val="24"/>
                <w:highlight w:val="none"/>
              </w:rPr>
              <w:t>4</w:t>
            </w:r>
          </w:p>
        </w:tc>
        <w:tc>
          <w:tcPr>
            <w:tcW w:w="1843" w:type="dxa"/>
            <w:tcBorders>
              <w:top w:val="single" w:color="000000" w:sz="4" w:space="0"/>
              <w:left w:val="single" w:color="000000" w:sz="4" w:space="0"/>
              <w:bottom w:val="single" w:color="000000" w:sz="4" w:space="0"/>
              <w:right w:val="single" w:color="000000" w:sz="4" w:space="0"/>
            </w:tcBorders>
            <w:vAlign w:val="top"/>
          </w:tcPr>
          <w:p w14:paraId="0F1E7496">
            <w:pPr>
              <w:spacing w:line="360" w:lineRule="auto"/>
              <w:ind w:left="29"/>
              <w:jc w:val="center"/>
              <w:rPr>
                <w:color w:val="auto"/>
                <w:sz w:val="24"/>
                <w:szCs w:val="24"/>
                <w:highlight w:val="none"/>
              </w:rPr>
            </w:pPr>
            <w:r>
              <w:rPr>
                <w:rFonts w:hint="eastAsia" w:ascii="宋体" w:hAnsi="宋体" w:cs="宋体"/>
                <w:color w:val="auto"/>
                <w:sz w:val="24"/>
                <w:szCs w:val="24"/>
                <w:highlight w:val="none"/>
              </w:rPr>
              <w:t xml:space="preserve"> </w:t>
            </w:r>
          </w:p>
        </w:tc>
        <w:tc>
          <w:tcPr>
            <w:tcW w:w="2551" w:type="dxa"/>
            <w:tcBorders>
              <w:top w:val="single" w:color="000000" w:sz="4" w:space="0"/>
              <w:left w:val="single" w:color="000000" w:sz="4" w:space="0"/>
              <w:bottom w:val="single" w:color="000000" w:sz="4" w:space="0"/>
              <w:right w:val="single" w:color="000000" w:sz="4" w:space="0"/>
            </w:tcBorders>
            <w:vAlign w:val="center"/>
          </w:tcPr>
          <w:p w14:paraId="7EF45EAD">
            <w:pPr>
              <w:spacing w:line="360" w:lineRule="auto"/>
              <w:ind w:right="76"/>
              <w:jc w:val="center"/>
              <w:rPr>
                <w:color w:val="auto"/>
                <w:sz w:val="24"/>
                <w:szCs w:val="24"/>
                <w:highlight w:val="none"/>
              </w:rPr>
            </w:pPr>
            <w:r>
              <w:rPr>
                <w:rFonts w:hint="eastAsia" w:ascii="宋体" w:hAnsi="宋体" w:cs="宋体"/>
                <w:color w:val="auto"/>
                <w:sz w:val="24"/>
                <w:szCs w:val="24"/>
                <w:highlight w:val="none"/>
              </w:rPr>
              <w:t xml:space="preserve">...... </w:t>
            </w:r>
          </w:p>
        </w:tc>
        <w:tc>
          <w:tcPr>
            <w:tcW w:w="2511" w:type="dxa"/>
            <w:tcBorders>
              <w:top w:val="single" w:color="000000" w:sz="4" w:space="0"/>
              <w:left w:val="single" w:color="000000" w:sz="4" w:space="0"/>
              <w:bottom w:val="single" w:color="000000" w:sz="4" w:space="0"/>
              <w:right w:val="single" w:color="000000" w:sz="4" w:space="0"/>
            </w:tcBorders>
            <w:vAlign w:val="center"/>
          </w:tcPr>
          <w:p w14:paraId="0FA93131">
            <w:pPr>
              <w:spacing w:line="360" w:lineRule="auto"/>
              <w:ind w:left="24"/>
              <w:jc w:val="center"/>
              <w:rPr>
                <w:color w:val="auto"/>
                <w:sz w:val="24"/>
                <w:szCs w:val="24"/>
                <w:highlight w:val="none"/>
              </w:rPr>
            </w:pPr>
            <w:r>
              <w:rPr>
                <w:rFonts w:hint="eastAsia" w:ascii="宋体" w:hAnsi="宋体" w:cs="宋体"/>
                <w:color w:val="auto"/>
                <w:sz w:val="24"/>
                <w:szCs w:val="24"/>
                <w:highlight w:val="none"/>
              </w:rPr>
              <w:t xml:space="preserve"> </w:t>
            </w:r>
          </w:p>
        </w:tc>
        <w:tc>
          <w:tcPr>
            <w:tcW w:w="1279" w:type="dxa"/>
            <w:tcBorders>
              <w:top w:val="single" w:color="000000" w:sz="4" w:space="0"/>
              <w:left w:val="single" w:color="000000" w:sz="4" w:space="0"/>
              <w:bottom w:val="single" w:color="000000" w:sz="4" w:space="0"/>
              <w:right w:val="single" w:color="000000" w:sz="4" w:space="0"/>
            </w:tcBorders>
            <w:vAlign w:val="center"/>
          </w:tcPr>
          <w:p w14:paraId="0160A109">
            <w:pPr>
              <w:spacing w:line="360" w:lineRule="auto"/>
              <w:ind w:left="28"/>
              <w:jc w:val="center"/>
              <w:rPr>
                <w:color w:val="auto"/>
                <w:sz w:val="24"/>
                <w:szCs w:val="24"/>
                <w:highlight w:val="none"/>
              </w:rPr>
            </w:pPr>
            <w:r>
              <w:rPr>
                <w:rFonts w:hint="eastAsia" w:ascii="宋体" w:hAnsi="宋体" w:cs="宋体"/>
                <w:color w:val="auto"/>
                <w:sz w:val="24"/>
                <w:szCs w:val="24"/>
                <w:highlight w:val="none"/>
              </w:rPr>
              <w:t xml:space="preserve"> </w:t>
            </w:r>
          </w:p>
        </w:tc>
      </w:tr>
      <w:tr w14:paraId="21C4BC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22" w:type="dxa"/>
            <w:left w:w="108" w:type="dxa"/>
            <w:bottom w:w="0" w:type="dxa"/>
            <w:right w:w="29" w:type="dxa"/>
          </w:tblCellMar>
        </w:tblPrEx>
        <w:trPr>
          <w:trHeight w:val="732" w:hRule="atLeast"/>
          <w:jc w:val="center"/>
        </w:trPr>
        <w:tc>
          <w:tcPr>
            <w:tcW w:w="698" w:type="dxa"/>
            <w:tcBorders>
              <w:top w:val="single" w:color="000000" w:sz="4" w:space="0"/>
              <w:left w:val="single" w:color="000000" w:sz="4" w:space="0"/>
              <w:bottom w:val="single" w:color="000000" w:sz="4" w:space="0"/>
              <w:right w:val="single" w:color="000000" w:sz="4" w:space="0"/>
            </w:tcBorders>
            <w:vAlign w:val="center"/>
          </w:tcPr>
          <w:p w14:paraId="163CF740">
            <w:pPr>
              <w:spacing w:line="360" w:lineRule="auto"/>
              <w:ind w:left="25"/>
              <w:jc w:val="center"/>
              <w:rPr>
                <w:color w:val="auto"/>
                <w:sz w:val="24"/>
                <w:szCs w:val="24"/>
                <w:highlight w:val="none"/>
              </w:rPr>
            </w:pPr>
            <w:r>
              <w:rPr>
                <w:rFonts w:hint="eastAsia" w:ascii="宋体" w:hAnsi="宋体" w:cs="宋体"/>
                <w:color w:val="auto"/>
                <w:sz w:val="24"/>
                <w:szCs w:val="24"/>
                <w:highlight w:val="none"/>
              </w:rPr>
              <w:t xml:space="preserve"> </w:t>
            </w:r>
          </w:p>
        </w:tc>
        <w:tc>
          <w:tcPr>
            <w:tcW w:w="1843" w:type="dxa"/>
            <w:tcBorders>
              <w:top w:val="single" w:color="000000" w:sz="4" w:space="0"/>
              <w:left w:val="single" w:color="000000" w:sz="4" w:space="0"/>
              <w:bottom w:val="single" w:color="000000" w:sz="4" w:space="0"/>
              <w:right w:val="single" w:color="000000" w:sz="4" w:space="0"/>
            </w:tcBorders>
            <w:vAlign w:val="top"/>
          </w:tcPr>
          <w:p w14:paraId="2FB3925E">
            <w:pPr>
              <w:spacing w:line="360" w:lineRule="auto"/>
              <w:ind w:left="29"/>
              <w:jc w:val="center"/>
              <w:rPr>
                <w:color w:val="auto"/>
                <w:sz w:val="24"/>
                <w:szCs w:val="24"/>
                <w:highlight w:val="none"/>
              </w:rPr>
            </w:pPr>
            <w:r>
              <w:rPr>
                <w:rFonts w:hint="eastAsia" w:ascii="宋体" w:hAnsi="宋体" w:cs="宋体"/>
                <w:color w:val="auto"/>
                <w:sz w:val="24"/>
                <w:szCs w:val="24"/>
                <w:highlight w:val="none"/>
              </w:rPr>
              <w:t xml:space="preserve"> </w:t>
            </w:r>
          </w:p>
        </w:tc>
        <w:tc>
          <w:tcPr>
            <w:tcW w:w="2551" w:type="dxa"/>
            <w:tcBorders>
              <w:top w:val="single" w:color="000000" w:sz="4" w:space="0"/>
              <w:left w:val="single" w:color="000000" w:sz="4" w:space="0"/>
              <w:bottom w:val="single" w:color="000000" w:sz="4" w:space="0"/>
              <w:right w:val="single" w:color="000000" w:sz="4" w:space="0"/>
            </w:tcBorders>
            <w:vAlign w:val="center"/>
          </w:tcPr>
          <w:p w14:paraId="0EBB8B77">
            <w:pPr>
              <w:spacing w:line="360" w:lineRule="auto"/>
              <w:ind w:right="76"/>
              <w:jc w:val="center"/>
              <w:rPr>
                <w:color w:val="auto"/>
                <w:sz w:val="24"/>
                <w:szCs w:val="24"/>
                <w:highlight w:val="none"/>
              </w:rPr>
            </w:pPr>
            <w:r>
              <w:rPr>
                <w:rFonts w:hint="eastAsia" w:ascii="宋体" w:hAnsi="宋体" w:cs="宋体"/>
                <w:color w:val="auto"/>
                <w:sz w:val="24"/>
                <w:szCs w:val="24"/>
                <w:highlight w:val="none"/>
              </w:rPr>
              <w:t xml:space="preserve">未列入本表的条款 </w:t>
            </w:r>
          </w:p>
        </w:tc>
        <w:tc>
          <w:tcPr>
            <w:tcW w:w="2511" w:type="dxa"/>
            <w:tcBorders>
              <w:top w:val="single" w:color="000000" w:sz="4" w:space="0"/>
              <w:left w:val="single" w:color="000000" w:sz="4" w:space="0"/>
              <w:bottom w:val="single" w:color="000000" w:sz="4" w:space="0"/>
              <w:right w:val="single" w:color="000000" w:sz="4" w:space="0"/>
            </w:tcBorders>
            <w:vAlign w:val="center"/>
          </w:tcPr>
          <w:p w14:paraId="6607D7C6">
            <w:pPr>
              <w:spacing w:line="360" w:lineRule="auto"/>
              <w:ind w:right="77"/>
              <w:jc w:val="center"/>
              <w:rPr>
                <w:color w:val="auto"/>
                <w:sz w:val="24"/>
                <w:szCs w:val="24"/>
                <w:highlight w:val="none"/>
              </w:rPr>
            </w:pPr>
            <w:r>
              <w:rPr>
                <w:rFonts w:hint="eastAsia" w:ascii="宋体" w:hAnsi="宋体" w:cs="宋体"/>
                <w:color w:val="auto"/>
                <w:sz w:val="24"/>
                <w:szCs w:val="24"/>
                <w:highlight w:val="none"/>
              </w:rPr>
              <w:t xml:space="preserve">全部接受 </w:t>
            </w:r>
          </w:p>
        </w:tc>
        <w:tc>
          <w:tcPr>
            <w:tcW w:w="1279" w:type="dxa"/>
            <w:tcBorders>
              <w:top w:val="single" w:color="000000" w:sz="4" w:space="0"/>
              <w:left w:val="single" w:color="000000" w:sz="4" w:space="0"/>
              <w:bottom w:val="single" w:color="000000" w:sz="4" w:space="0"/>
              <w:right w:val="single" w:color="000000" w:sz="4" w:space="0"/>
            </w:tcBorders>
            <w:vAlign w:val="center"/>
          </w:tcPr>
          <w:p w14:paraId="0BDF9043">
            <w:pPr>
              <w:spacing w:line="360" w:lineRule="auto"/>
              <w:ind w:left="60"/>
              <w:rPr>
                <w:color w:val="auto"/>
                <w:sz w:val="24"/>
                <w:szCs w:val="24"/>
                <w:highlight w:val="none"/>
              </w:rPr>
            </w:pPr>
            <w:r>
              <w:rPr>
                <w:rFonts w:hint="eastAsia" w:ascii="宋体" w:hAnsi="宋体" w:cs="宋体"/>
                <w:color w:val="auto"/>
                <w:sz w:val="24"/>
                <w:szCs w:val="24"/>
                <w:highlight w:val="none"/>
              </w:rPr>
              <w:t xml:space="preserve">完全响应 </w:t>
            </w:r>
          </w:p>
        </w:tc>
      </w:tr>
    </w:tbl>
    <w:p w14:paraId="684301D8">
      <w:pPr>
        <w:spacing w:line="360" w:lineRule="auto"/>
        <w:ind w:right="8092"/>
        <w:rPr>
          <w:color w:val="auto"/>
          <w:sz w:val="24"/>
          <w:szCs w:val="24"/>
          <w:highlight w:val="none"/>
        </w:rPr>
      </w:pPr>
      <w:r>
        <w:rPr>
          <w:rFonts w:hint="eastAsia" w:ascii="宋体" w:hAnsi="宋体" w:cs="宋体"/>
          <w:color w:val="auto"/>
          <w:sz w:val="24"/>
          <w:szCs w:val="24"/>
          <w:highlight w:val="none"/>
        </w:rPr>
        <w:t xml:space="preserve">    </w:t>
      </w:r>
    </w:p>
    <w:p w14:paraId="5D218612">
      <w:pPr>
        <w:spacing w:line="360" w:lineRule="auto"/>
        <w:rPr>
          <w:rFonts w:ascii="宋体" w:hAnsi="宋体" w:cs="宋体"/>
          <w:color w:val="auto"/>
          <w:sz w:val="24"/>
          <w:szCs w:val="24"/>
          <w:highlight w:val="none"/>
        </w:rPr>
      </w:pPr>
      <w:r>
        <w:rPr>
          <w:rFonts w:hint="eastAsia" w:ascii="宋体" w:hAnsi="宋体" w:cs="宋体"/>
          <w:b/>
          <w:bCs/>
          <w:color w:val="auto"/>
          <w:sz w:val="24"/>
          <w:szCs w:val="24"/>
          <w:highlight w:val="none"/>
        </w:rPr>
        <w:t>注：</w:t>
      </w:r>
      <w:r>
        <w:rPr>
          <w:rFonts w:hint="eastAsia" w:ascii="宋体" w:hAnsi="宋体" w:cs="宋体"/>
          <w:color w:val="auto"/>
          <w:sz w:val="24"/>
          <w:szCs w:val="24"/>
          <w:highlight w:val="none"/>
        </w:rPr>
        <w:t xml:space="preserve"> 1、此表为样表，行数可自行添加，但格式不变。</w:t>
      </w:r>
    </w:p>
    <w:p w14:paraId="262D8426">
      <w:pPr>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 xml:space="preserve">     2、根据响应文件响应情况，分别注明“正偏离”、“完全响应”、“负偏离”。</w:t>
      </w:r>
    </w:p>
    <w:p w14:paraId="321105FC">
      <w:pPr>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 xml:space="preserve">     3、对磋商文件无偏离，视为对未列入本表的条款全部接受，注明“完全响应”。</w:t>
      </w:r>
    </w:p>
    <w:p w14:paraId="0B6B72F1">
      <w:pPr>
        <w:spacing w:before="319" w:beforeLines="100" w:after="319" w:afterLines="100"/>
        <w:jc w:val="right"/>
        <w:rPr>
          <w:rFonts w:ascii="宋体" w:hAnsi="宋体" w:cs="宋体"/>
          <w:bCs/>
          <w:color w:val="auto"/>
          <w:sz w:val="24"/>
          <w:szCs w:val="24"/>
          <w:highlight w:val="none"/>
        </w:rPr>
      </w:pPr>
      <w:r>
        <w:rPr>
          <w:rFonts w:hint="eastAsia" w:ascii="宋体" w:hAnsi="宋体" w:cs="宋体"/>
          <w:color w:val="auto"/>
          <w:sz w:val="24"/>
          <w:szCs w:val="24"/>
          <w:highlight w:val="none"/>
        </w:rPr>
        <w:t>供应商名称：</w:t>
      </w:r>
      <w:r>
        <w:rPr>
          <w:rFonts w:hint="eastAsia" w:ascii="宋体" w:hAnsi="宋体" w:cs="宋体"/>
          <w:color w:val="auto"/>
          <w:sz w:val="24"/>
          <w:szCs w:val="24"/>
          <w:highlight w:val="none"/>
          <w:u w:val="single"/>
        </w:rPr>
        <w:t xml:space="preserve">                （公章）</w:t>
      </w:r>
      <w:r>
        <w:rPr>
          <w:rFonts w:hint="eastAsia" w:ascii="宋体" w:hAnsi="宋体" w:cs="宋体"/>
          <w:color w:val="auto"/>
          <w:sz w:val="24"/>
          <w:szCs w:val="24"/>
          <w:highlight w:val="none"/>
        </w:rPr>
        <w:t xml:space="preserve">  </w:t>
      </w:r>
      <w:r>
        <w:rPr>
          <w:rFonts w:hint="eastAsia" w:ascii="宋体" w:hAnsi="宋体" w:cs="宋体"/>
          <w:bCs/>
          <w:color w:val="auto"/>
          <w:sz w:val="24"/>
          <w:szCs w:val="24"/>
          <w:highlight w:val="none"/>
        </w:rPr>
        <w:t xml:space="preserve"> </w:t>
      </w:r>
    </w:p>
    <w:p w14:paraId="0DA2A490">
      <w:pPr>
        <w:snapToGrid w:val="0"/>
        <w:spacing w:before="319" w:beforeLines="100" w:after="319" w:afterLines="100"/>
        <w:jc w:val="right"/>
        <w:rPr>
          <w:rFonts w:ascii="宋体" w:hAnsi="宋体" w:cs="宋体"/>
          <w:color w:val="auto"/>
          <w:sz w:val="24"/>
          <w:szCs w:val="24"/>
          <w:highlight w:val="none"/>
          <w:u w:val="single"/>
        </w:rPr>
      </w:pPr>
      <w:r>
        <w:rPr>
          <w:rFonts w:hint="eastAsia" w:ascii="宋体" w:hAnsi="宋体" w:cs="宋体"/>
          <w:bCs/>
          <w:color w:val="auto"/>
          <w:sz w:val="24"/>
          <w:szCs w:val="24"/>
          <w:highlight w:val="none"/>
        </w:rPr>
        <w:t>法定代表人或</w:t>
      </w:r>
      <w:r>
        <w:rPr>
          <w:rFonts w:hint="eastAsia" w:ascii="宋体" w:hAnsi="宋体" w:cs="宋体"/>
          <w:color w:val="auto"/>
          <w:sz w:val="24"/>
          <w:szCs w:val="24"/>
          <w:highlight w:val="none"/>
        </w:rPr>
        <w:t>被授权人：</w:t>
      </w:r>
      <w:r>
        <w:rPr>
          <w:rFonts w:hint="eastAsia" w:ascii="宋体" w:hAnsi="宋体" w:cs="宋体"/>
          <w:color w:val="auto"/>
          <w:sz w:val="24"/>
          <w:szCs w:val="24"/>
          <w:highlight w:val="none"/>
          <w:u w:val="single"/>
        </w:rPr>
        <w:t xml:space="preserve">              </w:t>
      </w:r>
      <w:r>
        <w:rPr>
          <w:rFonts w:hint="eastAsia" w:ascii="宋体" w:hAnsi="宋体" w:cs="宋体"/>
          <w:bCs/>
          <w:color w:val="auto"/>
          <w:sz w:val="24"/>
          <w:szCs w:val="24"/>
          <w:highlight w:val="none"/>
          <w:u w:val="single"/>
        </w:rPr>
        <w:t>（签字或签章）</w:t>
      </w:r>
      <w:r>
        <w:rPr>
          <w:rFonts w:hint="eastAsia" w:ascii="宋体" w:hAnsi="宋体" w:cs="宋体"/>
          <w:color w:val="auto"/>
          <w:sz w:val="24"/>
          <w:szCs w:val="24"/>
          <w:highlight w:val="none"/>
        </w:rPr>
        <w:t xml:space="preserve">  </w:t>
      </w:r>
    </w:p>
    <w:p w14:paraId="7CC18FFD">
      <w:pPr>
        <w:snapToGrid w:val="0"/>
        <w:spacing w:before="319" w:beforeLines="100" w:after="319" w:afterLines="100" w:line="440" w:lineRule="exact"/>
        <w:jc w:val="right"/>
        <w:rPr>
          <w:rFonts w:ascii="宋体" w:hAnsi="宋体" w:cs="宋体"/>
          <w:color w:val="auto"/>
          <w:sz w:val="24"/>
          <w:szCs w:val="24"/>
          <w:highlight w:val="none"/>
        </w:rPr>
      </w:pPr>
      <w:r>
        <w:rPr>
          <w:rFonts w:hint="eastAsia" w:ascii="宋体" w:hAnsi="宋体" w:cs="宋体"/>
          <w:color w:val="auto"/>
          <w:sz w:val="24"/>
          <w:szCs w:val="24"/>
          <w:highlight w:val="none"/>
        </w:rPr>
        <w:t>日   期：</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年</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月</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日</w:t>
      </w:r>
    </w:p>
    <w:p w14:paraId="495074F5">
      <w:pPr>
        <w:spacing w:line="440" w:lineRule="exact"/>
        <w:jc w:val="center"/>
        <w:outlineLvl w:val="1"/>
        <w:rPr>
          <w:rFonts w:hint="eastAsia" w:ascii="宋体" w:hAnsi="宋体" w:eastAsia="宋体" w:cs="宋体"/>
          <w:b/>
          <w:bCs/>
          <w:color w:val="auto"/>
          <w:sz w:val="30"/>
          <w:szCs w:val="30"/>
          <w:highlight w:val="none"/>
        </w:rPr>
      </w:pPr>
      <w:r>
        <w:rPr>
          <w:rFonts w:hint="eastAsia"/>
          <w:b/>
          <w:bCs/>
          <w:color w:val="auto"/>
          <w:sz w:val="32"/>
          <w:highlight w:val="none"/>
        </w:rPr>
        <w:br w:type="page"/>
      </w:r>
      <w:r>
        <w:rPr>
          <w:rFonts w:hint="eastAsia" w:ascii="宋体" w:hAnsi="宋体" w:cs="宋体"/>
          <w:b/>
          <w:bCs/>
          <w:color w:val="auto"/>
          <w:sz w:val="30"/>
          <w:szCs w:val="30"/>
          <w:highlight w:val="none"/>
          <w:lang w:val="en-US" w:eastAsia="zh-CN"/>
        </w:rPr>
        <w:t>7</w:t>
      </w:r>
      <w:r>
        <w:rPr>
          <w:rFonts w:hint="eastAsia" w:ascii="宋体" w:hAnsi="宋体" w:eastAsia="宋体" w:cs="宋体"/>
          <w:b/>
          <w:bCs/>
          <w:color w:val="auto"/>
          <w:sz w:val="30"/>
          <w:szCs w:val="30"/>
          <w:highlight w:val="none"/>
          <w:lang w:val="en-US" w:eastAsia="zh-CN"/>
        </w:rPr>
        <w:t>、</w:t>
      </w:r>
      <w:r>
        <w:rPr>
          <w:rFonts w:hint="eastAsia" w:ascii="宋体" w:hAnsi="宋体" w:eastAsia="宋体" w:cs="宋体"/>
          <w:b/>
          <w:color w:val="auto"/>
          <w:sz w:val="30"/>
          <w:szCs w:val="30"/>
          <w:highlight w:val="none"/>
        </w:rPr>
        <w:t>技术</w:t>
      </w:r>
      <w:r>
        <w:rPr>
          <w:rFonts w:hint="eastAsia" w:ascii="宋体" w:hAnsi="宋体" w:eastAsia="宋体" w:cs="宋体"/>
          <w:b/>
          <w:bCs/>
          <w:color w:val="auto"/>
          <w:sz w:val="30"/>
          <w:szCs w:val="30"/>
          <w:highlight w:val="none"/>
        </w:rPr>
        <w:t>标偏离表</w:t>
      </w:r>
    </w:p>
    <w:p w14:paraId="6C4E1F67">
      <w:pPr>
        <w:adjustRightInd w:val="0"/>
        <w:snapToGrid w:val="0"/>
        <w:spacing w:after="159" w:afterLines="50" w:line="440" w:lineRule="exact"/>
        <w:ind w:firstLine="240" w:firstLineChars="10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rPr>
        <w:t>项目名称：</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w:t>
      </w:r>
      <w:r>
        <w:rPr>
          <w:rFonts w:hint="eastAsia" w:ascii="宋体" w:hAnsi="宋体" w:cs="宋体"/>
          <w:color w:val="auto"/>
          <w:sz w:val="24"/>
          <w:szCs w:val="24"/>
          <w:highlight w:val="none"/>
          <w:lang w:val="en-US" w:eastAsia="zh-CN"/>
        </w:rPr>
        <w:t xml:space="preserve">     </w:t>
      </w:r>
    </w:p>
    <w:p w14:paraId="40048D55">
      <w:pPr>
        <w:adjustRightInd w:val="0"/>
        <w:snapToGrid w:val="0"/>
        <w:spacing w:after="159" w:afterLines="50" w:line="440" w:lineRule="exact"/>
        <w:ind w:firstLine="240" w:firstLineChars="100"/>
        <w:rPr>
          <w:color w:val="auto"/>
        </w:rPr>
      </w:pPr>
      <w:r>
        <w:rPr>
          <w:rFonts w:hint="eastAsia" w:ascii="宋体" w:hAnsi="宋体" w:cs="宋体"/>
          <w:color w:val="auto"/>
          <w:sz w:val="24"/>
          <w:szCs w:val="24"/>
          <w:highlight w:val="none"/>
        </w:rPr>
        <w:t>项目编号：</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none"/>
          <w:lang w:val="en-US" w:eastAsia="zh-CN"/>
        </w:rPr>
        <w:t xml:space="preserve">                         </w:t>
      </w:r>
      <w:r>
        <w:rPr>
          <w:rFonts w:hint="eastAsia" w:ascii="宋体" w:hAnsi="宋体" w:eastAsia="宋体" w:cs="宋体"/>
          <w:b w:val="0"/>
          <w:bCs w:val="0"/>
          <w:color w:val="auto"/>
          <w:kern w:val="2"/>
          <w:sz w:val="24"/>
          <w:szCs w:val="24"/>
          <w:highlight w:val="none"/>
          <w:lang w:val="en-US" w:eastAsia="zh-CN" w:bidi="ar-SA"/>
        </w:rPr>
        <w:t>包号：</w:t>
      </w:r>
      <w:r>
        <w:rPr>
          <w:rFonts w:hint="eastAsia" w:ascii="宋体" w:hAnsi="宋体" w:eastAsia="宋体" w:cs="宋体"/>
          <w:b w:val="0"/>
          <w:bCs w:val="0"/>
          <w:color w:val="auto"/>
          <w:kern w:val="2"/>
          <w:sz w:val="24"/>
          <w:szCs w:val="24"/>
          <w:highlight w:val="none"/>
          <w:u w:val="single"/>
          <w:lang w:val="en-US" w:eastAsia="zh-CN" w:bidi="ar-SA"/>
        </w:rPr>
        <w:t xml:space="preserve">       </w:t>
      </w:r>
      <w:r>
        <w:rPr>
          <w:rFonts w:hint="eastAsia" w:ascii="宋体" w:hAnsi="宋体" w:eastAsia="宋体" w:cs="宋体"/>
          <w:b w:val="0"/>
          <w:bCs w:val="0"/>
          <w:color w:val="auto"/>
          <w:kern w:val="2"/>
          <w:sz w:val="24"/>
          <w:szCs w:val="24"/>
          <w:highlight w:val="none"/>
          <w:lang w:val="en-US" w:eastAsia="zh-CN" w:bidi="ar-SA"/>
        </w:rPr>
        <w:t xml:space="preserve">  </w:t>
      </w:r>
      <w:r>
        <w:rPr>
          <w:rFonts w:hint="eastAsia"/>
          <w:color w:val="auto"/>
          <w:lang w:val="en-US" w:eastAsia="zh-CN"/>
        </w:rPr>
        <w:t xml:space="preserve">        </w:t>
      </w:r>
    </w:p>
    <w:p w14:paraId="36F3F6EC">
      <w:pPr>
        <w:spacing w:line="360" w:lineRule="auto"/>
        <w:ind w:left="-15" w:firstLine="420"/>
        <w:rPr>
          <w:color w:val="auto"/>
          <w:sz w:val="24"/>
          <w:szCs w:val="24"/>
          <w:highlight w:val="none"/>
        </w:rPr>
      </w:pPr>
      <w:r>
        <w:rPr>
          <w:color w:val="auto"/>
          <w:sz w:val="24"/>
          <w:szCs w:val="24"/>
          <w:highlight w:val="none"/>
        </w:rPr>
        <w:t>说明：请</w:t>
      </w:r>
      <w:r>
        <w:rPr>
          <w:rFonts w:hint="eastAsia"/>
          <w:color w:val="auto"/>
          <w:sz w:val="24"/>
          <w:szCs w:val="24"/>
          <w:highlight w:val="none"/>
        </w:rPr>
        <w:t>供应商</w:t>
      </w:r>
      <w:r>
        <w:rPr>
          <w:color w:val="auto"/>
          <w:sz w:val="24"/>
          <w:szCs w:val="24"/>
          <w:highlight w:val="none"/>
        </w:rPr>
        <w:t>对应</w:t>
      </w:r>
      <w:r>
        <w:rPr>
          <w:rFonts w:hint="eastAsia"/>
          <w:color w:val="auto"/>
          <w:sz w:val="24"/>
          <w:szCs w:val="24"/>
          <w:highlight w:val="none"/>
        </w:rPr>
        <w:t>磋商</w:t>
      </w:r>
      <w:r>
        <w:rPr>
          <w:color w:val="auto"/>
          <w:sz w:val="24"/>
          <w:szCs w:val="24"/>
          <w:highlight w:val="none"/>
        </w:rPr>
        <w:t>文件</w:t>
      </w:r>
      <w:r>
        <w:rPr>
          <w:rFonts w:hint="eastAsia" w:ascii="宋体" w:hAnsi="宋体" w:cs="宋体"/>
          <w:color w:val="auto"/>
          <w:sz w:val="24"/>
          <w:szCs w:val="24"/>
          <w:highlight w:val="none"/>
        </w:rPr>
        <w:t>对应</w:t>
      </w:r>
      <w:r>
        <w:rPr>
          <w:rFonts w:hint="eastAsia"/>
          <w:color w:val="auto"/>
          <w:sz w:val="24"/>
          <w:szCs w:val="24"/>
          <w:highlight w:val="none"/>
        </w:rPr>
        <w:t>磋商</w:t>
      </w:r>
      <w:r>
        <w:rPr>
          <w:color w:val="auto"/>
          <w:sz w:val="24"/>
          <w:szCs w:val="24"/>
          <w:highlight w:val="none"/>
        </w:rPr>
        <w:t>文件</w:t>
      </w:r>
      <w:r>
        <w:rPr>
          <w:rFonts w:hint="eastAsia" w:ascii="宋体" w:hAnsi="宋体" w:cs="宋体"/>
          <w:color w:val="auto"/>
          <w:sz w:val="24"/>
          <w:szCs w:val="24"/>
          <w:highlight w:val="none"/>
        </w:rPr>
        <w:t>第五部分“采购需求”</w:t>
      </w:r>
      <w:r>
        <w:rPr>
          <w:color w:val="auto"/>
          <w:sz w:val="24"/>
          <w:szCs w:val="24"/>
          <w:highlight w:val="none"/>
        </w:rPr>
        <w:t>中有关项目的技术要求，</w:t>
      </w:r>
      <w:r>
        <w:rPr>
          <w:rFonts w:hint="eastAsia"/>
          <w:color w:val="auto"/>
          <w:sz w:val="24"/>
          <w:szCs w:val="24"/>
          <w:highlight w:val="none"/>
        </w:rPr>
        <w:t>逐条</w:t>
      </w:r>
      <w:r>
        <w:rPr>
          <w:color w:val="auto"/>
          <w:sz w:val="24"/>
          <w:szCs w:val="24"/>
          <w:highlight w:val="none"/>
        </w:rPr>
        <w:t>如实、完整、准确的填写该表。</w:t>
      </w:r>
      <w:r>
        <w:rPr>
          <w:rFonts w:hint="eastAsia"/>
          <w:color w:val="auto"/>
          <w:sz w:val="24"/>
          <w:szCs w:val="24"/>
          <w:highlight w:val="none"/>
        </w:rPr>
        <w:t>响应文件</w:t>
      </w:r>
      <w:r>
        <w:rPr>
          <w:color w:val="auto"/>
          <w:sz w:val="24"/>
          <w:szCs w:val="24"/>
          <w:highlight w:val="none"/>
        </w:rPr>
        <w:t>有正、负偏离均应在下表中列明。若无偏离，请标明“完全响应”。</w:t>
      </w:r>
      <w:r>
        <w:rPr>
          <w:rFonts w:hint="eastAsia" w:ascii="宋体" w:hAnsi="宋体" w:cs="宋体"/>
          <w:color w:val="auto"/>
          <w:sz w:val="24"/>
          <w:szCs w:val="24"/>
          <w:highlight w:val="none"/>
        </w:rPr>
        <w:t>供应商须对响应材料的真实性负责，一旦中标，若被发现与事实不符的，将依照《政府采购法》第七十七条第一款的规定追究法律责任。</w:t>
      </w:r>
    </w:p>
    <w:tbl>
      <w:tblPr>
        <w:tblStyle w:val="54"/>
        <w:tblW w:w="88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27" w:type="dxa"/>
          <w:left w:w="0" w:type="dxa"/>
          <w:bottom w:w="179" w:type="dxa"/>
          <w:right w:w="0" w:type="dxa"/>
        </w:tblCellMar>
      </w:tblPr>
      <w:tblGrid>
        <w:gridCol w:w="706"/>
        <w:gridCol w:w="1586"/>
        <w:gridCol w:w="2153"/>
        <w:gridCol w:w="1943"/>
        <w:gridCol w:w="1320"/>
        <w:gridCol w:w="1114"/>
      </w:tblGrid>
      <w:tr w14:paraId="459A6E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27" w:type="dxa"/>
            <w:left w:w="0" w:type="dxa"/>
            <w:bottom w:w="179" w:type="dxa"/>
            <w:right w:w="0" w:type="dxa"/>
          </w:tblCellMar>
        </w:tblPrEx>
        <w:trPr>
          <w:trHeight w:val="408" w:hRule="atLeast"/>
          <w:jc w:val="center"/>
        </w:trPr>
        <w:tc>
          <w:tcPr>
            <w:tcW w:w="706"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16633ACF">
            <w:pPr>
              <w:spacing w:line="360" w:lineRule="auto"/>
              <w:ind w:left="186"/>
              <w:jc w:val="left"/>
              <w:rPr>
                <w:color w:val="auto"/>
                <w:sz w:val="24"/>
                <w:szCs w:val="24"/>
                <w:highlight w:val="none"/>
              </w:rPr>
            </w:pPr>
            <w:r>
              <w:rPr>
                <w:color w:val="auto"/>
                <w:sz w:val="24"/>
                <w:szCs w:val="24"/>
                <w:highlight w:val="none"/>
              </w:rPr>
              <w:t>序号</w:t>
            </w:r>
          </w:p>
        </w:tc>
        <w:tc>
          <w:tcPr>
            <w:tcW w:w="1586"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14D2B5CD">
            <w:pPr>
              <w:spacing w:line="360" w:lineRule="auto"/>
              <w:ind w:right="2"/>
              <w:jc w:val="center"/>
              <w:rPr>
                <w:color w:val="auto"/>
                <w:sz w:val="24"/>
                <w:szCs w:val="24"/>
                <w:highlight w:val="none"/>
              </w:rPr>
            </w:pPr>
            <w:r>
              <w:rPr>
                <w:rFonts w:hint="eastAsia"/>
                <w:color w:val="auto"/>
                <w:sz w:val="24"/>
                <w:szCs w:val="24"/>
                <w:highlight w:val="none"/>
                <w:lang w:val="en-US" w:eastAsia="zh-CN"/>
              </w:rPr>
              <w:t>品目</w:t>
            </w:r>
            <w:r>
              <w:rPr>
                <w:rFonts w:hint="eastAsia"/>
                <w:color w:val="auto"/>
                <w:sz w:val="24"/>
                <w:szCs w:val="24"/>
                <w:highlight w:val="none"/>
              </w:rPr>
              <w:t>名称</w:t>
            </w:r>
          </w:p>
        </w:tc>
        <w:tc>
          <w:tcPr>
            <w:tcW w:w="2153"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3B13A28E">
            <w:pPr>
              <w:spacing w:line="360" w:lineRule="auto"/>
              <w:ind w:right="84"/>
              <w:jc w:val="center"/>
              <w:rPr>
                <w:color w:val="auto"/>
                <w:sz w:val="24"/>
                <w:szCs w:val="24"/>
                <w:highlight w:val="none"/>
              </w:rPr>
            </w:pPr>
            <w:r>
              <w:rPr>
                <w:rFonts w:hint="eastAsia"/>
                <w:color w:val="auto"/>
                <w:sz w:val="24"/>
                <w:szCs w:val="24"/>
                <w:highlight w:val="none"/>
              </w:rPr>
              <w:t>磋商</w:t>
            </w:r>
            <w:r>
              <w:rPr>
                <w:color w:val="auto"/>
                <w:sz w:val="24"/>
                <w:szCs w:val="24"/>
                <w:highlight w:val="none"/>
              </w:rPr>
              <w:t>文件</w:t>
            </w:r>
            <w:r>
              <w:rPr>
                <w:rFonts w:hint="eastAsia"/>
                <w:color w:val="auto"/>
                <w:sz w:val="24"/>
                <w:szCs w:val="24"/>
                <w:highlight w:val="none"/>
              </w:rPr>
              <w:t>技术参数</w:t>
            </w:r>
          </w:p>
        </w:tc>
        <w:tc>
          <w:tcPr>
            <w:tcW w:w="1943"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08523917">
            <w:pPr>
              <w:spacing w:line="360" w:lineRule="auto"/>
              <w:ind w:right="2"/>
              <w:jc w:val="center"/>
              <w:rPr>
                <w:color w:val="auto"/>
                <w:sz w:val="24"/>
                <w:szCs w:val="24"/>
                <w:highlight w:val="none"/>
              </w:rPr>
            </w:pPr>
            <w:r>
              <w:rPr>
                <w:rFonts w:hint="eastAsia"/>
                <w:color w:val="auto"/>
                <w:sz w:val="24"/>
                <w:szCs w:val="24"/>
                <w:highlight w:val="none"/>
              </w:rPr>
              <w:t>供应商技术参数</w:t>
            </w:r>
          </w:p>
        </w:tc>
        <w:tc>
          <w:tcPr>
            <w:tcW w:w="1320"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677103DB">
            <w:pPr>
              <w:spacing w:line="360" w:lineRule="auto"/>
              <w:ind w:left="1"/>
              <w:jc w:val="center"/>
              <w:rPr>
                <w:color w:val="auto"/>
                <w:sz w:val="24"/>
                <w:szCs w:val="24"/>
                <w:highlight w:val="none"/>
              </w:rPr>
            </w:pPr>
            <w:r>
              <w:rPr>
                <w:color w:val="auto"/>
                <w:sz w:val="24"/>
                <w:szCs w:val="24"/>
                <w:highlight w:val="none"/>
              </w:rPr>
              <w:t>偏离</w:t>
            </w:r>
            <w:r>
              <w:rPr>
                <w:rFonts w:hint="eastAsia"/>
                <w:color w:val="auto"/>
                <w:sz w:val="24"/>
                <w:szCs w:val="24"/>
                <w:highlight w:val="none"/>
              </w:rPr>
              <w:t>情况</w:t>
            </w:r>
          </w:p>
        </w:tc>
        <w:tc>
          <w:tcPr>
            <w:tcW w:w="1114"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76D1783D">
            <w:pPr>
              <w:spacing w:line="360" w:lineRule="auto"/>
              <w:ind w:left="1"/>
              <w:jc w:val="center"/>
              <w:rPr>
                <w:color w:val="auto"/>
                <w:sz w:val="24"/>
                <w:szCs w:val="24"/>
                <w:highlight w:val="none"/>
              </w:rPr>
            </w:pPr>
            <w:r>
              <w:rPr>
                <w:rFonts w:hint="eastAsia"/>
                <w:color w:val="auto"/>
                <w:sz w:val="24"/>
                <w:szCs w:val="24"/>
                <w:highlight w:val="none"/>
              </w:rPr>
              <w:t>索引页码</w:t>
            </w:r>
          </w:p>
        </w:tc>
      </w:tr>
      <w:tr w14:paraId="0AA758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27" w:type="dxa"/>
            <w:left w:w="0" w:type="dxa"/>
            <w:bottom w:w="179" w:type="dxa"/>
            <w:right w:w="0" w:type="dxa"/>
          </w:tblCellMar>
        </w:tblPrEx>
        <w:trPr>
          <w:trHeight w:val="408" w:hRule="atLeast"/>
          <w:jc w:val="center"/>
        </w:trPr>
        <w:tc>
          <w:tcPr>
            <w:tcW w:w="706" w:type="dxa"/>
            <w:tcBorders>
              <w:top w:val="single" w:color="000000" w:sz="4" w:space="0"/>
              <w:left w:val="single" w:color="000000" w:sz="4" w:space="0"/>
              <w:bottom w:val="single" w:color="000000" w:sz="4" w:space="0"/>
              <w:right w:val="single" w:color="000000" w:sz="4" w:space="0"/>
            </w:tcBorders>
            <w:vAlign w:val="bottom"/>
          </w:tcPr>
          <w:p w14:paraId="4BE284A8">
            <w:pPr>
              <w:spacing w:line="360" w:lineRule="auto"/>
              <w:ind w:right="188"/>
              <w:jc w:val="center"/>
              <w:rPr>
                <w:color w:val="auto"/>
                <w:sz w:val="24"/>
                <w:szCs w:val="24"/>
                <w:highlight w:val="none"/>
              </w:rPr>
            </w:pPr>
            <w:r>
              <w:rPr>
                <w:color w:val="auto"/>
                <w:sz w:val="24"/>
                <w:szCs w:val="24"/>
                <w:highlight w:val="none"/>
              </w:rPr>
              <w:t>1</w:t>
            </w:r>
          </w:p>
        </w:tc>
        <w:tc>
          <w:tcPr>
            <w:tcW w:w="1586" w:type="dxa"/>
            <w:tcBorders>
              <w:top w:val="single" w:color="000000" w:sz="4" w:space="0"/>
              <w:left w:val="single" w:color="000000" w:sz="4" w:space="0"/>
              <w:bottom w:val="single" w:color="000000" w:sz="4" w:space="0"/>
              <w:right w:val="single" w:color="000000" w:sz="4" w:space="0"/>
            </w:tcBorders>
            <w:vAlign w:val="top"/>
          </w:tcPr>
          <w:p w14:paraId="020EA0B0">
            <w:pPr>
              <w:spacing w:line="360" w:lineRule="auto"/>
              <w:ind w:left="107"/>
              <w:rPr>
                <w:color w:val="auto"/>
                <w:sz w:val="24"/>
                <w:szCs w:val="24"/>
                <w:highlight w:val="none"/>
              </w:rPr>
            </w:pPr>
            <w:r>
              <w:rPr>
                <w:color w:val="auto"/>
                <w:sz w:val="24"/>
                <w:szCs w:val="24"/>
                <w:highlight w:val="none"/>
              </w:rPr>
              <w:t xml:space="preserve"> </w:t>
            </w:r>
          </w:p>
        </w:tc>
        <w:tc>
          <w:tcPr>
            <w:tcW w:w="2153" w:type="dxa"/>
            <w:tcBorders>
              <w:top w:val="single" w:color="000000" w:sz="4" w:space="0"/>
              <w:left w:val="single" w:color="000000" w:sz="4" w:space="0"/>
              <w:bottom w:val="single" w:color="000000" w:sz="4" w:space="0"/>
              <w:right w:val="single" w:color="000000" w:sz="4" w:space="0"/>
            </w:tcBorders>
            <w:vAlign w:val="bottom"/>
          </w:tcPr>
          <w:p w14:paraId="53C77171">
            <w:pPr>
              <w:spacing w:line="360" w:lineRule="auto"/>
              <w:ind w:left="107"/>
              <w:rPr>
                <w:color w:val="auto"/>
                <w:sz w:val="24"/>
                <w:szCs w:val="24"/>
                <w:highlight w:val="none"/>
              </w:rPr>
            </w:pPr>
            <w:r>
              <w:rPr>
                <w:color w:val="auto"/>
                <w:sz w:val="24"/>
                <w:szCs w:val="24"/>
                <w:highlight w:val="none"/>
              </w:rPr>
              <w:t xml:space="preserve"> </w:t>
            </w:r>
            <w:r>
              <w:rPr>
                <w:rFonts w:ascii="Calibri" w:hAnsi="Calibri" w:eastAsia="Calibri" w:cs="Calibri"/>
                <w:color w:val="auto"/>
                <w:sz w:val="24"/>
                <w:szCs w:val="24"/>
                <w:highlight w:val="none"/>
              </w:rPr>
              <w:t xml:space="preserve">  </w:t>
            </w:r>
          </w:p>
        </w:tc>
        <w:tc>
          <w:tcPr>
            <w:tcW w:w="1943" w:type="dxa"/>
            <w:tcBorders>
              <w:top w:val="single" w:color="000000" w:sz="4" w:space="0"/>
              <w:left w:val="single" w:color="000000" w:sz="4" w:space="0"/>
              <w:bottom w:val="single" w:color="000000" w:sz="4" w:space="0"/>
              <w:right w:val="single" w:color="000000" w:sz="4" w:space="0"/>
            </w:tcBorders>
            <w:vAlign w:val="bottom"/>
          </w:tcPr>
          <w:p w14:paraId="4A9A6E0E">
            <w:pPr>
              <w:spacing w:line="360" w:lineRule="auto"/>
              <w:ind w:left="455"/>
              <w:jc w:val="center"/>
              <w:rPr>
                <w:color w:val="auto"/>
                <w:sz w:val="24"/>
                <w:szCs w:val="24"/>
                <w:highlight w:val="none"/>
              </w:rPr>
            </w:pPr>
            <w:r>
              <w:rPr>
                <w:color w:val="auto"/>
                <w:sz w:val="24"/>
                <w:szCs w:val="24"/>
                <w:highlight w:val="none"/>
              </w:rPr>
              <w:t xml:space="preserve"> </w:t>
            </w:r>
            <w:r>
              <w:rPr>
                <w:rFonts w:ascii="Calibri" w:hAnsi="Calibri" w:eastAsia="Calibri" w:cs="Calibri"/>
                <w:color w:val="auto"/>
                <w:sz w:val="24"/>
                <w:szCs w:val="24"/>
                <w:highlight w:val="none"/>
              </w:rPr>
              <w:t xml:space="preserve">  </w:t>
            </w:r>
          </w:p>
        </w:tc>
        <w:tc>
          <w:tcPr>
            <w:tcW w:w="1320" w:type="dxa"/>
            <w:tcBorders>
              <w:top w:val="single" w:color="000000" w:sz="4" w:space="0"/>
              <w:left w:val="single" w:color="000000" w:sz="4" w:space="0"/>
              <w:bottom w:val="single" w:color="000000" w:sz="4" w:space="0"/>
              <w:right w:val="single" w:color="000000" w:sz="4" w:space="0"/>
            </w:tcBorders>
            <w:vAlign w:val="bottom"/>
          </w:tcPr>
          <w:p w14:paraId="3B14DC11">
            <w:pPr>
              <w:spacing w:line="360" w:lineRule="auto"/>
              <w:ind w:left="469"/>
              <w:jc w:val="center"/>
              <w:rPr>
                <w:color w:val="auto"/>
                <w:sz w:val="24"/>
                <w:szCs w:val="24"/>
                <w:highlight w:val="none"/>
              </w:rPr>
            </w:pPr>
            <w:r>
              <w:rPr>
                <w:color w:val="auto"/>
                <w:sz w:val="24"/>
                <w:szCs w:val="24"/>
                <w:highlight w:val="none"/>
              </w:rPr>
              <w:t xml:space="preserve"> </w:t>
            </w:r>
            <w:r>
              <w:rPr>
                <w:rFonts w:ascii="Calibri" w:hAnsi="Calibri" w:eastAsia="Calibri" w:cs="Calibri"/>
                <w:color w:val="auto"/>
                <w:sz w:val="24"/>
                <w:szCs w:val="24"/>
                <w:highlight w:val="none"/>
              </w:rPr>
              <w:t xml:space="preserve">  </w:t>
            </w:r>
          </w:p>
        </w:tc>
        <w:tc>
          <w:tcPr>
            <w:tcW w:w="1114" w:type="dxa"/>
            <w:tcBorders>
              <w:top w:val="single" w:color="000000" w:sz="4" w:space="0"/>
              <w:left w:val="single" w:color="000000" w:sz="4" w:space="0"/>
              <w:bottom w:val="single" w:color="000000" w:sz="4" w:space="0"/>
              <w:right w:val="single" w:color="000000" w:sz="4" w:space="0"/>
            </w:tcBorders>
            <w:vAlign w:val="bottom"/>
          </w:tcPr>
          <w:p w14:paraId="2E154417">
            <w:pPr>
              <w:spacing w:line="360" w:lineRule="auto"/>
              <w:ind w:left="469"/>
              <w:jc w:val="center"/>
              <w:rPr>
                <w:color w:val="auto"/>
                <w:sz w:val="24"/>
                <w:szCs w:val="24"/>
                <w:highlight w:val="none"/>
              </w:rPr>
            </w:pPr>
          </w:p>
        </w:tc>
      </w:tr>
      <w:tr w14:paraId="261D42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27" w:type="dxa"/>
            <w:left w:w="0" w:type="dxa"/>
            <w:bottom w:w="179" w:type="dxa"/>
            <w:right w:w="0" w:type="dxa"/>
          </w:tblCellMar>
        </w:tblPrEx>
        <w:trPr>
          <w:trHeight w:val="408" w:hRule="atLeast"/>
          <w:jc w:val="center"/>
        </w:trPr>
        <w:tc>
          <w:tcPr>
            <w:tcW w:w="706" w:type="dxa"/>
            <w:tcBorders>
              <w:top w:val="single" w:color="000000" w:sz="4" w:space="0"/>
              <w:left w:val="single" w:color="000000" w:sz="4" w:space="0"/>
              <w:bottom w:val="single" w:color="000000" w:sz="4" w:space="0"/>
              <w:right w:val="single" w:color="000000" w:sz="4" w:space="0"/>
            </w:tcBorders>
            <w:vAlign w:val="bottom"/>
          </w:tcPr>
          <w:p w14:paraId="318D6E55">
            <w:pPr>
              <w:spacing w:line="360" w:lineRule="auto"/>
              <w:ind w:right="188"/>
              <w:jc w:val="center"/>
              <w:rPr>
                <w:color w:val="auto"/>
                <w:sz w:val="24"/>
                <w:szCs w:val="24"/>
                <w:highlight w:val="none"/>
              </w:rPr>
            </w:pPr>
            <w:r>
              <w:rPr>
                <w:rFonts w:hint="eastAsia"/>
                <w:color w:val="auto"/>
                <w:sz w:val="24"/>
                <w:szCs w:val="24"/>
                <w:highlight w:val="none"/>
              </w:rPr>
              <w:t>2</w:t>
            </w:r>
          </w:p>
        </w:tc>
        <w:tc>
          <w:tcPr>
            <w:tcW w:w="1586" w:type="dxa"/>
            <w:tcBorders>
              <w:top w:val="single" w:color="000000" w:sz="4" w:space="0"/>
              <w:left w:val="single" w:color="000000" w:sz="4" w:space="0"/>
              <w:bottom w:val="single" w:color="000000" w:sz="4" w:space="0"/>
              <w:right w:val="single" w:color="000000" w:sz="4" w:space="0"/>
            </w:tcBorders>
            <w:vAlign w:val="top"/>
          </w:tcPr>
          <w:p w14:paraId="3FFB0870">
            <w:pPr>
              <w:spacing w:line="360" w:lineRule="auto"/>
              <w:ind w:right="62"/>
              <w:jc w:val="right"/>
              <w:rPr>
                <w:color w:val="auto"/>
                <w:sz w:val="24"/>
                <w:szCs w:val="24"/>
                <w:highlight w:val="none"/>
              </w:rPr>
            </w:pPr>
            <w:r>
              <w:rPr>
                <w:color w:val="auto"/>
                <w:sz w:val="24"/>
                <w:szCs w:val="24"/>
                <w:highlight w:val="none"/>
              </w:rPr>
              <w:t xml:space="preserve"> </w:t>
            </w:r>
            <w:r>
              <w:rPr>
                <w:rFonts w:ascii="Calibri" w:hAnsi="Calibri" w:eastAsia="Calibri" w:cs="Calibri"/>
                <w:color w:val="auto"/>
                <w:sz w:val="24"/>
                <w:szCs w:val="24"/>
                <w:highlight w:val="none"/>
              </w:rPr>
              <w:t xml:space="preserve">  </w:t>
            </w:r>
          </w:p>
        </w:tc>
        <w:tc>
          <w:tcPr>
            <w:tcW w:w="2153" w:type="dxa"/>
            <w:tcBorders>
              <w:top w:val="single" w:color="000000" w:sz="4" w:space="0"/>
              <w:left w:val="single" w:color="000000" w:sz="4" w:space="0"/>
              <w:bottom w:val="single" w:color="000000" w:sz="4" w:space="0"/>
              <w:right w:val="single" w:color="000000" w:sz="4" w:space="0"/>
            </w:tcBorders>
            <w:vAlign w:val="center"/>
          </w:tcPr>
          <w:p w14:paraId="49B7A627">
            <w:pPr>
              <w:spacing w:line="360" w:lineRule="auto"/>
              <w:ind w:left="8"/>
              <w:jc w:val="center"/>
              <w:rPr>
                <w:color w:val="auto"/>
                <w:sz w:val="24"/>
                <w:szCs w:val="24"/>
                <w:highlight w:val="none"/>
              </w:rPr>
            </w:pPr>
            <w:r>
              <w:rPr>
                <w:color w:val="auto"/>
                <w:sz w:val="24"/>
                <w:szCs w:val="24"/>
                <w:highlight w:val="none"/>
              </w:rPr>
              <w:t xml:space="preserve">...... </w:t>
            </w:r>
            <w:r>
              <w:rPr>
                <w:rFonts w:ascii="Calibri" w:hAnsi="Calibri" w:eastAsia="Calibri" w:cs="Calibri"/>
                <w:color w:val="auto"/>
                <w:sz w:val="24"/>
                <w:szCs w:val="24"/>
                <w:highlight w:val="none"/>
              </w:rPr>
              <w:t xml:space="preserve">  </w:t>
            </w:r>
          </w:p>
        </w:tc>
        <w:tc>
          <w:tcPr>
            <w:tcW w:w="1943" w:type="dxa"/>
            <w:tcBorders>
              <w:top w:val="single" w:color="000000" w:sz="4" w:space="0"/>
              <w:left w:val="single" w:color="000000" w:sz="4" w:space="0"/>
              <w:bottom w:val="single" w:color="000000" w:sz="4" w:space="0"/>
              <w:right w:val="single" w:color="000000" w:sz="4" w:space="0"/>
            </w:tcBorders>
            <w:vAlign w:val="bottom"/>
          </w:tcPr>
          <w:p w14:paraId="58D19A29">
            <w:pPr>
              <w:spacing w:line="360" w:lineRule="auto"/>
              <w:ind w:left="455"/>
              <w:jc w:val="center"/>
              <w:rPr>
                <w:color w:val="auto"/>
                <w:sz w:val="24"/>
                <w:szCs w:val="24"/>
                <w:highlight w:val="none"/>
              </w:rPr>
            </w:pPr>
            <w:r>
              <w:rPr>
                <w:color w:val="auto"/>
                <w:sz w:val="24"/>
                <w:szCs w:val="24"/>
                <w:highlight w:val="none"/>
              </w:rPr>
              <w:t xml:space="preserve"> </w:t>
            </w:r>
            <w:r>
              <w:rPr>
                <w:rFonts w:ascii="Calibri" w:hAnsi="Calibri" w:eastAsia="Calibri" w:cs="Calibri"/>
                <w:color w:val="auto"/>
                <w:sz w:val="24"/>
                <w:szCs w:val="24"/>
                <w:highlight w:val="none"/>
              </w:rPr>
              <w:t xml:space="preserve">  </w:t>
            </w:r>
          </w:p>
        </w:tc>
        <w:tc>
          <w:tcPr>
            <w:tcW w:w="1320" w:type="dxa"/>
            <w:tcBorders>
              <w:top w:val="single" w:color="000000" w:sz="4" w:space="0"/>
              <w:left w:val="single" w:color="000000" w:sz="4" w:space="0"/>
              <w:bottom w:val="single" w:color="000000" w:sz="4" w:space="0"/>
              <w:right w:val="single" w:color="000000" w:sz="4" w:space="0"/>
            </w:tcBorders>
            <w:vAlign w:val="bottom"/>
          </w:tcPr>
          <w:p w14:paraId="03958490">
            <w:pPr>
              <w:spacing w:line="360" w:lineRule="auto"/>
              <w:ind w:left="469"/>
              <w:jc w:val="center"/>
              <w:rPr>
                <w:color w:val="auto"/>
                <w:sz w:val="24"/>
                <w:szCs w:val="24"/>
                <w:highlight w:val="none"/>
              </w:rPr>
            </w:pPr>
            <w:r>
              <w:rPr>
                <w:color w:val="auto"/>
                <w:sz w:val="24"/>
                <w:szCs w:val="24"/>
                <w:highlight w:val="none"/>
              </w:rPr>
              <w:t xml:space="preserve"> </w:t>
            </w:r>
            <w:r>
              <w:rPr>
                <w:rFonts w:ascii="Calibri" w:hAnsi="Calibri" w:eastAsia="Calibri" w:cs="Calibri"/>
                <w:color w:val="auto"/>
                <w:sz w:val="24"/>
                <w:szCs w:val="24"/>
                <w:highlight w:val="none"/>
              </w:rPr>
              <w:t xml:space="preserve">  </w:t>
            </w:r>
          </w:p>
        </w:tc>
        <w:tc>
          <w:tcPr>
            <w:tcW w:w="1114" w:type="dxa"/>
            <w:tcBorders>
              <w:top w:val="single" w:color="000000" w:sz="4" w:space="0"/>
              <w:left w:val="single" w:color="000000" w:sz="4" w:space="0"/>
              <w:bottom w:val="single" w:color="000000" w:sz="4" w:space="0"/>
              <w:right w:val="single" w:color="000000" w:sz="4" w:space="0"/>
            </w:tcBorders>
            <w:vAlign w:val="bottom"/>
          </w:tcPr>
          <w:p w14:paraId="38DDD562">
            <w:pPr>
              <w:spacing w:line="360" w:lineRule="auto"/>
              <w:ind w:left="469"/>
              <w:jc w:val="center"/>
              <w:rPr>
                <w:color w:val="auto"/>
                <w:sz w:val="24"/>
                <w:szCs w:val="24"/>
                <w:highlight w:val="none"/>
              </w:rPr>
            </w:pPr>
          </w:p>
        </w:tc>
      </w:tr>
      <w:tr w14:paraId="289F43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27" w:type="dxa"/>
            <w:left w:w="0" w:type="dxa"/>
            <w:bottom w:w="179" w:type="dxa"/>
            <w:right w:w="0" w:type="dxa"/>
          </w:tblCellMar>
        </w:tblPrEx>
        <w:trPr>
          <w:trHeight w:val="408" w:hRule="atLeast"/>
          <w:jc w:val="center"/>
        </w:trPr>
        <w:tc>
          <w:tcPr>
            <w:tcW w:w="706" w:type="dxa"/>
            <w:tcBorders>
              <w:top w:val="single" w:color="000000" w:sz="4" w:space="0"/>
              <w:left w:val="single" w:color="000000" w:sz="4" w:space="0"/>
              <w:bottom w:val="single" w:color="000000" w:sz="4" w:space="0"/>
              <w:right w:val="single" w:color="000000" w:sz="4" w:space="0"/>
            </w:tcBorders>
            <w:vAlign w:val="top"/>
          </w:tcPr>
          <w:p w14:paraId="49DB393B">
            <w:pPr>
              <w:spacing w:line="360" w:lineRule="auto"/>
              <w:rPr>
                <w:color w:val="auto"/>
                <w:sz w:val="24"/>
                <w:szCs w:val="24"/>
                <w:highlight w:val="none"/>
              </w:rPr>
            </w:pPr>
          </w:p>
        </w:tc>
        <w:tc>
          <w:tcPr>
            <w:tcW w:w="1586" w:type="dxa"/>
            <w:tcBorders>
              <w:top w:val="single" w:color="000000" w:sz="4" w:space="0"/>
              <w:left w:val="single" w:color="000000" w:sz="4" w:space="0"/>
              <w:bottom w:val="single" w:color="000000" w:sz="4" w:space="0"/>
              <w:right w:val="single" w:color="000000" w:sz="4" w:space="0"/>
            </w:tcBorders>
            <w:vAlign w:val="center"/>
          </w:tcPr>
          <w:p w14:paraId="0859EF45">
            <w:pPr>
              <w:spacing w:line="360" w:lineRule="auto"/>
              <w:ind w:right="62"/>
              <w:jc w:val="right"/>
              <w:rPr>
                <w:color w:val="auto"/>
                <w:sz w:val="24"/>
                <w:szCs w:val="24"/>
                <w:highlight w:val="none"/>
              </w:rPr>
            </w:pPr>
            <w:r>
              <w:rPr>
                <w:color w:val="auto"/>
                <w:sz w:val="24"/>
                <w:szCs w:val="24"/>
                <w:highlight w:val="none"/>
              </w:rPr>
              <w:t xml:space="preserve"> </w:t>
            </w:r>
            <w:r>
              <w:rPr>
                <w:rFonts w:ascii="Calibri" w:hAnsi="Calibri" w:eastAsia="Calibri" w:cs="Calibri"/>
                <w:color w:val="auto"/>
                <w:sz w:val="24"/>
                <w:szCs w:val="24"/>
                <w:highlight w:val="none"/>
              </w:rPr>
              <w:t xml:space="preserve">  </w:t>
            </w:r>
          </w:p>
          <w:p w14:paraId="3AABD2E7">
            <w:pPr>
              <w:spacing w:line="360" w:lineRule="auto"/>
              <w:ind w:left="-35"/>
              <w:rPr>
                <w:color w:val="auto"/>
                <w:sz w:val="24"/>
                <w:szCs w:val="24"/>
                <w:highlight w:val="none"/>
              </w:rPr>
            </w:pPr>
            <w:r>
              <w:rPr>
                <w:color w:val="auto"/>
                <w:sz w:val="24"/>
                <w:szCs w:val="24"/>
                <w:highlight w:val="none"/>
              </w:rPr>
              <w:t xml:space="preserve"> </w:t>
            </w:r>
          </w:p>
        </w:tc>
        <w:tc>
          <w:tcPr>
            <w:tcW w:w="2153" w:type="dxa"/>
            <w:tcBorders>
              <w:top w:val="single" w:color="000000" w:sz="4" w:space="0"/>
              <w:left w:val="single" w:color="000000" w:sz="4" w:space="0"/>
              <w:bottom w:val="single" w:color="000000" w:sz="4" w:space="0"/>
              <w:right w:val="single" w:color="000000" w:sz="4" w:space="0"/>
            </w:tcBorders>
            <w:vAlign w:val="center"/>
          </w:tcPr>
          <w:p w14:paraId="0039CBDC">
            <w:pPr>
              <w:spacing w:line="360" w:lineRule="auto"/>
              <w:rPr>
                <w:color w:val="auto"/>
                <w:sz w:val="24"/>
                <w:szCs w:val="24"/>
                <w:highlight w:val="none"/>
              </w:rPr>
            </w:pPr>
            <w:r>
              <w:rPr>
                <w:color w:val="auto"/>
                <w:sz w:val="24"/>
                <w:szCs w:val="24"/>
                <w:highlight w:val="none"/>
              </w:rPr>
              <w:t xml:space="preserve">未列入本表的条款 </w:t>
            </w:r>
            <w:r>
              <w:rPr>
                <w:rFonts w:ascii="Calibri" w:hAnsi="Calibri" w:eastAsia="Calibri" w:cs="Calibri"/>
                <w:color w:val="auto"/>
                <w:sz w:val="24"/>
                <w:szCs w:val="24"/>
                <w:highlight w:val="none"/>
              </w:rPr>
              <w:t xml:space="preserve">  </w:t>
            </w:r>
          </w:p>
        </w:tc>
        <w:tc>
          <w:tcPr>
            <w:tcW w:w="1943" w:type="dxa"/>
            <w:tcBorders>
              <w:top w:val="single" w:color="000000" w:sz="4" w:space="0"/>
              <w:left w:val="single" w:color="000000" w:sz="4" w:space="0"/>
              <w:bottom w:val="single" w:color="000000" w:sz="4" w:space="0"/>
              <w:right w:val="single" w:color="000000" w:sz="4" w:space="0"/>
            </w:tcBorders>
            <w:vAlign w:val="center"/>
          </w:tcPr>
          <w:p w14:paraId="0E08C88C">
            <w:pPr>
              <w:spacing w:line="360" w:lineRule="auto"/>
              <w:ind w:right="5"/>
              <w:rPr>
                <w:color w:val="auto"/>
                <w:sz w:val="24"/>
                <w:szCs w:val="24"/>
                <w:highlight w:val="none"/>
              </w:rPr>
            </w:pPr>
            <w:r>
              <w:rPr>
                <w:color w:val="auto"/>
                <w:sz w:val="24"/>
                <w:szCs w:val="24"/>
                <w:highlight w:val="none"/>
              </w:rPr>
              <w:t>全部接受</w:t>
            </w:r>
          </w:p>
        </w:tc>
        <w:tc>
          <w:tcPr>
            <w:tcW w:w="1320" w:type="dxa"/>
            <w:tcBorders>
              <w:top w:val="single" w:color="000000" w:sz="4" w:space="0"/>
              <w:left w:val="single" w:color="000000" w:sz="4" w:space="0"/>
              <w:bottom w:val="single" w:color="000000" w:sz="4" w:space="0"/>
              <w:right w:val="single" w:color="000000" w:sz="4" w:space="0"/>
            </w:tcBorders>
            <w:vAlign w:val="center"/>
          </w:tcPr>
          <w:p w14:paraId="054F40EF">
            <w:pPr>
              <w:spacing w:line="360" w:lineRule="auto"/>
              <w:ind w:left="167"/>
              <w:jc w:val="center"/>
              <w:rPr>
                <w:color w:val="auto"/>
                <w:sz w:val="24"/>
                <w:szCs w:val="24"/>
                <w:highlight w:val="none"/>
              </w:rPr>
            </w:pPr>
            <w:r>
              <w:rPr>
                <w:color w:val="auto"/>
                <w:sz w:val="24"/>
                <w:szCs w:val="24"/>
                <w:highlight w:val="none"/>
              </w:rPr>
              <w:t>完全响应</w:t>
            </w:r>
          </w:p>
        </w:tc>
        <w:tc>
          <w:tcPr>
            <w:tcW w:w="1114" w:type="dxa"/>
            <w:tcBorders>
              <w:top w:val="single" w:color="000000" w:sz="4" w:space="0"/>
              <w:left w:val="single" w:color="000000" w:sz="4" w:space="0"/>
              <w:bottom w:val="single" w:color="000000" w:sz="4" w:space="0"/>
              <w:right w:val="single" w:color="000000" w:sz="4" w:space="0"/>
            </w:tcBorders>
            <w:vAlign w:val="bottom"/>
          </w:tcPr>
          <w:p w14:paraId="4D8872E5">
            <w:pPr>
              <w:spacing w:line="360" w:lineRule="auto"/>
              <w:ind w:left="167"/>
              <w:rPr>
                <w:color w:val="auto"/>
                <w:sz w:val="24"/>
                <w:szCs w:val="24"/>
                <w:highlight w:val="none"/>
              </w:rPr>
            </w:pPr>
          </w:p>
        </w:tc>
      </w:tr>
    </w:tbl>
    <w:p w14:paraId="12101C86">
      <w:pPr>
        <w:keepNext w:val="0"/>
        <w:keepLines w:val="0"/>
        <w:pageBreakBefore w:val="0"/>
        <w:widowControl w:val="0"/>
        <w:kinsoku/>
        <w:wordWrap/>
        <w:overflowPunct/>
        <w:topLinePunct w:val="0"/>
        <w:autoSpaceDE/>
        <w:autoSpaceDN/>
        <w:bidi w:val="0"/>
        <w:adjustRightInd/>
        <w:spacing w:line="288" w:lineRule="auto"/>
        <w:textAlignment w:val="auto"/>
        <w:rPr>
          <w:color w:val="auto"/>
          <w:sz w:val="24"/>
          <w:szCs w:val="24"/>
          <w:highlight w:val="none"/>
        </w:rPr>
      </w:pPr>
      <w:r>
        <w:rPr>
          <w:b/>
          <w:bCs/>
          <w:color w:val="auto"/>
          <w:sz w:val="24"/>
          <w:szCs w:val="24"/>
          <w:highlight w:val="none"/>
        </w:rPr>
        <w:t>注：</w:t>
      </w:r>
      <w:r>
        <w:rPr>
          <w:color w:val="auto"/>
          <w:sz w:val="24"/>
          <w:szCs w:val="24"/>
          <w:highlight w:val="none"/>
        </w:rPr>
        <w:t xml:space="preserve"> 1、此表为样表，行数可自行添加，但格式不变。</w:t>
      </w:r>
    </w:p>
    <w:p w14:paraId="4D9BB0A2">
      <w:pPr>
        <w:keepNext w:val="0"/>
        <w:keepLines w:val="0"/>
        <w:pageBreakBefore w:val="0"/>
        <w:widowControl w:val="0"/>
        <w:kinsoku/>
        <w:wordWrap/>
        <w:overflowPunct/>
        <w:topLinePunct w:val="0"/>
        <w:autoSpaceDE/>
        <w:autoSpaceDN/>
        <w:bidi w:val="0"/>
        <w:adjustRightInd/>
        <w:spacing w:line="288" w:lineRule="auto"/>
        <w:textAlignment w:val="auto"/>
        <w:rPr>
          <w:color w:val="auto"/>
          <w:sz w:val="24"/>
          <w:szCs w:val="24"/>
          <w:highlight w:val="none"/>
        </w:rPr>
      </w:pPr>
      <w:r>
        <w:rPr>
          <w:rFonts w:hint="eastAsia"/>
          <w:color w:val="auto"/>
          <w:sz w:val="24"/>
          <w:szCs w:val="24"/>
          <w:highlight w:val="none"/>
        </w:rPr>
        <w:t xml:space="preserve">     2、供应商在“供应商技术参数/功能描述” 中填写所投设备/项目的详细技术参数或功能描述情况。</w:t>
      </w:r>
    </w:p>
    <w:p w14:paraId="4ADE4E4D">
      <w:pPr>
        <w:keepNext w:val="0"/>
        <w:keepLines w:val="0"/>
        <w:pageBreakBefore w:val="0"/>
        <w:widowControl w:val="0"/>
        <w:kinsoku/>
        <w:wordWrap/>
        <w:overflowPunct/>
        <w:topLinePunct w:val="0"/>
        <w:autoSpaceDE/>
        <w:autoSpaceDN/>
        <w:bidi w:val="0"/>
        <w:adjustRightInd/>
        <w:spacing w:line="288" w:lineRule="auto"/>
        <w:textAlignment w:val="auto"/>
        <w:rPr>
          <w:color w:val="auto"/>
          <w:sz w:val="24"/>
          <w:szCs w:val="24"/>
          <w:highlight w:val="none"/>
        </w:rPr>
      </w:pPr>
      <w:r>
        <w:rPr>
          <w:rFonts w:hint="eastAsia"/>
          <w:color w:val="auto"/>
          <w:sz w:val="24"/>
          <w:szCs w:val="24"/>
          <w:highlight w:val="none"/>
        </w:rPr>
        <w:t xml:space="preserve">     </w:t>
      </w:r>
      <w:r>
        <w:rPr>
          <w:color w:val="auto"/>
          <w:sz w:val="24"/>
          <w:szCs w:val="24"/>
          <w:highlight w:val="none"/>
        </w:rPr>
        <w:t>3</w:t>
      </w:r>
      <w:r>
        <w:rPr>
          <w:rFonts w:hint="eastAsia"/>
          <w:color w:val="auto"/>
          <w:sz w:val="24"/>
          <w:szCs w:val="24"/>
          <w:highlight w:val="none"/>
        </w:rPr>
        <w:t>、偏离情况说明分正偏离、完全响应、负偏离，分别表示优于要求、满足要求、不满足要求。评委评标时不能只根据供应商填写的偏离情况说明来判断是否响应，而应认真查阅“响应文件技术参数/功能响应”内容以及相关的技术资料判断是否满足要求。</w:t>
      </w:r>
    </w:p>
    <w:p w14:paraId="32B86809">
      <w:pPr>
        <w:keepNext w:val="0"/>
        <w:keepLines w:val="0"/>
        <w:pageBreakBefore w:val="0"/>
        <w:widowControl w:val="0"/>
        <w:kinsoku/>
        <w:wordWrap/>
        <w:overflowPunct/>
        <w:topLinePunct w:val="0"/>
        <w:autoSpaceDE/>
        <w:autoSpaceDN/>
        <w:bidi w:val="0"/>
        <w:adjustRightInd/>
        <w:spacing w:line="288" w:lineRule="auto"/>
        <w:ind w:firstLine="480" w:firstLineChars="200"/>
        <w:textAlignment w:val="auto"/>
        <w:rPr>
          <w:color w:val="auto"/>
          <w:sz w:val="24"/>
          <w:szCs w:val="24"/>
          <w:highlight w:val="none"/>
        </w:rPr>
      </w:pPr>
      <w:r>
        <w:rPr>
          <w:rFonts w:hint="eastAsia"/>
          <w:color w:val="auto"/>
          <w:sz w:val="24"/>
          <w:szCs w:val="24"/>
          <w:highlight w:val="none"/>
        </w:rPr>
        <w:t>4、“页码索引”指“供应商技术参数/功能描述”所对应的证明材料在供应商响应文件中的页码。</w:t>
      </w:r>
    </w:p>
    <w:p w14:paraId="43481CA0">
      <w:pPr>
        <w:keepNext w:val="0"/>
        <w:keepLines w:val="0"/>
        <w:pageBreakBefore w:val="0"/>
        <w:widowControl w:val="0"/>
        <w:kinsoku/>
        <w:wordWrap/>
        <w:overflowPunct/>
        <w:topLinePunct w:val="0"/>
        <w:autoSpaceDE/>
        <w:autoSpaceDN/>
        <w:bidi w:val="0"/>
        <w:adjustRightInd/>
        <w:spacing w:line="288" w:lineRule="auto"/>
        <w:ind w:firstLine="480" w:firstLineChars="200"/>
        <w:textAlignment w:val="auto"/>
        <w:rPr>
          <w:color w:val="auto"/>
          <w:sz w:val="24"/>
          <w:szCs w:val="24"/>
          <w:highlight w:val="none"/>
        </w:rPr>
      </w:pPr>
      <w:r>
        <w:rPr>
          <w:rFonts w:hint="eastAsia"/>
          <w:color w:val="auto"/>
          <w:sz w:val="24"/>
          <w:szCs w:val="24"/>
          <w:highlight w:val="none"/>
        </w:rPr>
        <w:t>5、对磋商</w:t>
      </w:r>
      <w:r>
        <w:rPr>
          <w:color w:val="auto"/>
          <w:sz w:val="24"/>
          <w:szCs w:val="24"/>
          <w:highlight w:val="none"/>
        </w:rPr>
        <w:t>文件</w:t>
      </w:r>
      <w:r>
        <w:rPr>
          <w:rFonts w:hint="eastAsia"/>
          <w:color w:val="auto"/>
          <w:sz w:val="24"/>
          <w:szCs w:val="24"/>
          <w:highlight w:val="none"/>
        </w:rPr>
        <w:t>无偏离，视为对未列入本表的条款全部接受，注明“完全响应”。</w:t>
      </w:r>
    </w:p>
    <w:p w14:paraId="358344CB">
      <w:pPr>
        <w:keepNext w:val="0"/>
        <w:keepLines w:val="0"/>
        <w:pageBreakBefore w:val="0"/>
        <w:widowControl w:val="0"/>
        <w:kinsoku/>
        <w:wordWrap/>
        <w:overflowPunct/>
        <w:topLinePunct w:val="0"/>
        <w:autoSpaceDE/>
        <w:autoSpaceDN/>
        <w:bidi w:val="0"/>
        <w:adjustRightInd/>
        <w:spacing w:before="319" w:beforeLines="100" w:after="319" w:afterLines="100" w:line="288" w:lineRule="auto"/>
        <w:jc w:val="right"/>
        <w:textAlignment w:val="auto"/>
        <w:rPr>
          <w:rFonts w:ascii="宋体" w:hAnsi="宋体" w:cs="宋体"/>
          <w:bCs/>
          <w:color w:val="auto"/>
          <w:sz w:val="24"/>
          <w:szCs w:val="24"/>
          <w:highlight w:val="none"/>
        </w:rPr>
      </w:pPr>
      <w:r>
        <w:rPr>
          <w:rFonts w:hint="eastAsia" w:ascii="宋体" w:hAnsi="宋体" w:cs="宋体"/>
          <w:color w:val="auto"/>
          <w:sz w:val="24"/>
          <w:szCs w:val="24"/>
          <w:highlight w:val="none"/>
        </w:rPr>
        <w:t>供应商名称：</w:t>
      </w:r>
      <w:r>
        <w:rPr>
          <w:rFonts w:hint="eastAsia" w:ascii="宋体" w:hAnsi="宋体" w:cs="宋体"/>
          <w:color w:val="auto"/>
          <w:sz w:val="24"/>
          <w:szCs w:val="24"/>
          <w:highlight w:val="none"/>
          <w:u w:val="single"/>
        </w:rPr>
        <w:t xml:space="preserve">                （公章）</w:t>
      </w:r>
      <w:r>
        <w:rPr>
          <w:rFonts w:hint="eastAsia" w:ascii="宋体" w:hAnsi="宋体" w:cs="宋体"/>
          <w:color w:val="auto"/>
          <w:sz w:val="24"/>
          <w:szCs w:val="24"/>
          <w:highlight w:val="none"/>
        </w:rPr>
        <w:t xml:space="preserve">  </w:t>
      </w:r>
      <w:r>
        <w:rPr>
          <w:rFonts w:hint="eastAsia" w:ascii="宋体" w:hAnsi="宋体" w:cs="宋体"/>
          <w:bCs/>
          <w:color w:val="auto"/>
          <w:sz w:val="24"/>
          <w:szCs w:val="24"/>
          <w:highlight w:val="none"/>
        </w:rPr>
        <w:t xml:space="preserve"> </w:t>
      </w:r>
    </w:p>
    <w:p w14:paraId="3489E6CB">
      <w:pPr>
        <w:keepNext w:val="0"/>
        <w:keepLines w:val="0"/>
        <w:pageBreakBefore w:val="0"/>
        <w:widowControl w:val="0"/>
        <w:kinsoku/>
        <w:wordWrap/>
        <w:overflowPunct/>
        <w:topLinePunct w:val="0"/>
        <w:autoSpaceDE/>
        <w:autoSpaceDN/>
        <w:bidi w:val="0"/>
        <w:adjustRightInd/>
        <w:snapToGrid w:val="0"/>
        <w:spacing w:before="319" w:beforeLines="100" w:after="319" w:afterLines="100" w:line="288" w:lineRule="auto"/>
        <w:jc w:val="right"/>
        <w:textAlignment w:val="auto"/>
        <w:rPr>
          <w:rFonts w:ascii="宋体" w:hAnsi="宋体" w:cs="宋体"/>
          <w:color w:val="auto"/>
          <w:sz w:val="24"/>
          <w:szCs w:val="24"/>
          <w:highlight w:val="none"/>
          <w:u w:val="single"/>
        </w:rPr>
      </w:pPr>
      <w:r>
        <w:rPr>
          <w:rFonts w:hint="eastAsia" w:ascii="宋体" w:hAnsi="宋体" w:cs="宋体"/>
          <w:bCs/>
          <w:color w:val="auto"/>
          <w:sz w:val="24"/>
          <w:szCs w:val="24"/>
          <w:highlight w:val="none"/>
        </w:rPr>
        <w:t>法定代表人或</w:t>
      </w:r>
      <w:r>
        <w:rPr>
          <w:rFonts w:hint="eastAsia" w:ascii="宋体" w:hAnsi="宋体" w:cs="宋体"/>
          <w:color w:val="auto"/>
          <w:sz w:val="24"/>
          <w:szCs w:val="24"/>
          <w:highlight w:val="none"/>
        </w:rPr>
        <w:t>被授权人：</w:t>
      </w:r>
      <w:r>
        <w:rPr>
          <w:rFonts w:hint="eastAsia" w:ascii="宋体" w:hAnsi="宋体" w:cs="宋体"/>
          <w:color w:val="auto"/>
          <w:sz w:val="24"/>
          <w:szCs w:val="24"/>
          <w:highlight w:val="none"/>
          <w:u w:val="single"/>
        </w:rPr>
        <w:t xml:space="preserve">              （签字或签章）</w:t>
      </w:r>
      <w:r>
        <w:rPr>
          <w:rFonts w:hint="eastAsia" w:ascii="宋体" w:hAnsi="宋体" w:cs="宋体"/>
          <w:color w:val="auto"/>
          <w:sz w:val="24"/>
          <w:szCs w:val="24"/>
          <w:highlight w:val="none"/>
        </w:rPr>
        <w:t xml:space="preserve">  </w:t>
      </w:r>
    </w:p>
    <w:p w14:paraId="6B0329B1">
      <w:pPr>
        <w:keepNext w:val="0"/>
        <w:keepLines w:val="0"/>
        <w:pageBreakBefore w:val="0"/>
        <w:widowControl w:val="0"/>
        <w:kinsoku/>
        <w:wordWrap/>
        <w:overflowPunct/>
        <w:topLinePunct w:val="0"/>
        <w:autoSpaceDE/>
        <w:autoSpaceDN/>
        <w:bidi w:val="0"/>
        <w:adjustRightInd/>
        <w:snapToGrid w:val="0"/>
        <w:spacing w:before="319" w:beforeLines="100" w:after="319" w:afterLines="100" w:line="288" w:lineRule="auto"/>
        <w:jc w:val="right"/>
        <w:textAlignment w:val="auto"/>
        <w:rPr>
          <w:rFonts w:ascii="宋体" w:hAnsi="宋体" w:cs="宋体"/>
          <w:b/>
          <w:bCs/>
          <w:color w:val="auto"/>
          <w:kern w:val="0"/>
          <w:sz w:val="30"/>
          <w:szCs w:val="30"/>
          <w:highlight w:val="none"/>
        </w:rPr>
      </w:pPr>
      <w:r>
        <w:rPr>
          <w:rFonts w:hint="eastAsia" w:ascii="宋体" w:hAnsi="宋体" w:cs="宋体"/>
          <w:color w:val="auto"/>
          <w:sz w:val="24"/>
          <w:szCs w:val="24"/>
          <w:highlight w:val="none"/>
        </w:rPr>
        <w:t>日   期：</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年</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月</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日</w:t>
      </w:r>
    </w:p>
    <w:p w14:paraId="126F100F">
      <w:pPr>
        <w:pStyle w:val="5"/>
        <w:jc w:val="center"/>
        <w:rPr>
          <w:color w:val="auto"/>
          <w:sz w:val="36"/>
          <w:highlight w:val="none"/>
        </w:rPr>
      </w:pPr>
      <w:bookmarkStart w:id="23" w:name="_Toc3601"/>
      <w:r>
        <w:rPr>
          <w:rFonts w:hint="eastAsia" w:ascii="宋体" w:hAnsi="Times New Roman" w:eastAsia="宋体" w:cs="宋体"/>
          <w:bCs w:val="0"/>
          <w:color w:val="auto"/>
          <w:sz w:val="30"/>
          <w:szCs w:val="30"/>
          <w:highlight w:val="none"/>
          <w:lang w:val="en-US" w:eastAsia="zh-CN"/>
        </w:rPr>
        <w:t>8</w:t>
      </w:r>
      <w:r>
        <w:rPr>
          <w:rFonts w:hint="eastAsia" w:ascii="宋体" w:hAnsi="Times New Roman" w:eastAsia="宋体" w:cs="宋体"/>
          <w:bCs w:val="0"/>
          <w:color w:val="auto"/>
          <w:sz w:val="30"/>
          <w:szCs w:val="30"/>
          <w:highlight w:val="none"/>
        </w:rPr>
        <w:t>、无重大违法行为记录声明</w:t>
      </w:r>
      <w:bookmarkEnd w:id="23"/>
    </w:p>
    <w:p w14:paraId="0D032EC6">
      <w:pPr>
        <w:spacing w:line="360" w:lineRule="auto"/>
        <w:ind w:firstLine="480" w:firstLineChars="200"/>
        <w:rPr>
          <w:color w:val="auto"/>
          <w:sz w:val="24"/>
          <w:highlight w:val="none"/>
        </w:rPr>
      </w:pPr>
      <w:r>
        <w:rPr>
          <w:rFonts w:hint="eastAsia"/>
          <w:color w:val="auto"/>
          <w:sz w:val="24"/>
          <w:highlight w:val="none"/>
        </w:rPr>
        <w:t>本公司郑重声明，我方在参加本次政府采购活动前三年内（供应商注册成立时间不足三年的，从注册时间起算），在经营活动中没有重大违法记录</w:t>
      </w:r>
      <w:r>
        <w:rPr>
          <w:rFonts w:hint="eastAsia" w:ascii="宋体" w:cs="宋体"/>
          <w:color w:val="auto"/>
          <w:sz w:val="24"/>
          <w:highlight w:val="none"/>
          <w:shd w:val="clear" w:color="auto" w:fill="FFFFFF"/>
        </w:rPr>
        <w:t>和环保类行政处罚记录</w:t>
      </w:r>
      <w:r>
        <w:rPr>
          <w:rFonts w:hint="eastAsia"/>
          <w:color w:val="auto"/>
          <w:sz w:val="24"/>
          <w:highlight w:val="none"/>
        </w:rPr>
        <w:t>。</w:t>
      </w:r>
    </w:p>
    <w:p w14:paraId="79C268D7">
      <w:pPr>
        <w:spacing w:line="360" w:lineRule="auto"/>
        <w:ind w:firstLine="480" w:firstLineChars="200"/>
        <w:rPr>
          <w:color w:val="auto"/>
          <w:sz w:val="24"/>
          <w:highlight w:val="none"/>
        </w:rPr>
      </w:pPr>
      <w:r>
        <w:rPr>
          <w:rFonts w:hint="eastAsia"/>
          <w:color w:val="auto"/>
          <w:sz w:val="24"/>
          <w:highlight w:val="none"/>
        </w:rPr>
        <w:t>特此声明！</w:t>
      </w:r>
    </w:p>
    <w:p w14:paraId="3D34410B">
      <w:pPr>
        <w:spacing w:line="480" w:lineRule="auto"/>
        <w:ind w:firstLine="3840" w:firstLineChars="1600"/>
        <w:rPr>
          <w:color w:val="auto"/>
          <w:sz w:val="24"/>
          <w:highlight w:val="none"/>
        </w:rPr>
      </w:pPr>
    </w:p>
    <w:p w14:paraId="4AEA1531">
      <w:pPr>
        <w:spacing w:before="319" w:after="319"/>
        <w:jc w:val="center"/>
        <w:rPr>
          <w:rFonts w:hint="eastAsia" w:ascii="宋体" w:hAnsi="宋体" w:cs="宋体"/>
          <w:color w:val="auto"/>
          <w:sz w:val="24"/>
          <w:highlight w:val="none"/>
        </w:rPr>
      </w:pP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供应商（全称并盖章）：</w:t>
      </w:r>
      <w:r>
        <w:rPr>
          <w:rFonts w:hint="eastAsia" w:ascii="宋体" w:hAnsi="宋体" w:cs="宋体"/>
          <w:bCs/>
          <w:color w:val="auto"/>
          <w:sz w:val="24"/>
          <w:highlight w:val="none"/>
          <w:u w:val="single"/>
          <w:lang w:val="en-US" w:eastAsia="zh-CN"/>
        </w:rPr>
        <w:t xml:space="preserve">                      </w:t>
      </w:r>
      <w:r>
        <w:rPr>
          <w:rFonts w:hint="eastAsia" w:ascii="宋体" w:hAnsi="宋体" w:cs="宋体"/>
          <w:color w:val="auto"/>
          <w:sz w:val="24"/>
          <w:highlight w:val="none"/>
        </w:rPr>
        <w:t xml:space="preserve">           </w:t>
      </w:r>
    </w:p>
    <w:p w14:paraId="45272136">
      <w:pPr>
        <w:spacing w:before="319" w:after="319"/>
        <w:jc w:val="center"/>
        <w:rPr>
          <w:rFonts w:hint="default" w:ascii="宋体" w:hAnsi="宋体" w:eastAsia="宋体" w:cs="宋体"/>
          <w:color w:val="auto"/>
          <w:sz w:val="24"/>
          <w:highlight w:val="none"/>
          <w:u w:val="single"/>
          <w:lang w:val="en-US" w:eastAsia="zh-CN"/>
        </w:rPr>
      </w:pP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法定代表人或被授权人</w:t>
      </w:r>
      <w:r>
        <w:rPr>
          <w:rFonts w:hint="eastAsia" w:ascii="宋体" w:hAnsi="宋体" w:cs="宋体"/>
          <w:bCs/>
          <w:color w:val="auto"/>
          <w:sz w:val="24"/>
          <w:highlight w:val="none"/>
        </w:rPr>
        <w:t>（签字）</w:t>
      </w:r>
      <w:r>
        <w:rPr>
          <w:rFonts w:hint="eastAsia" w:ascii="宋体" w:hAnsi="宋体" w:cs="宋体"/>
          <w:color w:val="auto"/>
          <w:sz w:val="24"/>
          <w:highlight w:val="none"/>
        </w:rPr>
        <w:t>：</w:t>
      </w:r>
      <w:r>
        <w:rPr>
          <w:rFonts w:hint="eastAsia" w:ascii="宋体" w:hAnsi="宋体" w:cs="宋体"/>
          <w:color w:val="auto"/>
          <w:sz w:val="24"/>
          <w:highlight w:val="none"/>
          <w:u w:val="single"/>
          <w:lang w:val="en-US" w:eastAsia="zh-CN"/>
        </w:rPr>
        <w:t xml:space="preserve">                </w:t>
      </w:r>
    </w:p>
    <w:p w14:paraId="5AB0E86B">
      <w:pPr>
        <w:adjustRightInd w:val="0"/>
        <w:snapToGrid w:val="0"/>
        <w:spacing w:line="440" w:lineRule="exact"/>
        <w:jc w:val="right"/>
        <w:rPr>
          <w:rFonts w:ascii="宋体" w:hAnsi="宋体" w:cs="宋体"/>
          <w:b/>
          <w:color w:val="auto"/>
          <w:sz w:val="30"/>
          <w:szCs w:val="30"/>
          <w:highlight w:val="none"/>
        </w:rPr>
      </w:pPr>
      <w:r>
        <w:rPr>
          <w:rFonts w:hint="eastAsia" w:ascii="宋体" w:hAnsi="宋体" w:cs="宋体"/>
          <w:color w:val="auto"/>
          <w:sz w:val="24"/>
          <w:highlight w:val="none"/>
        </w:rPr>
        <w:t xml:space="preserve"> </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日</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期：</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日</w:t>
      </w:r>
    </w:p>
    <w:p w14:paraId="4D5787A4">
      <w:pPr>
        <w:spacing w:beforeLines="50" w:afterLines="50" w:line="440" w:lineRule="exact"/>
        <w:jc w:val="center"/>
        <w:outlineLvl w:val="1"/>
        <w:rPr>
          <w:rFonts w:hint="eastAsia" w:ascii="宋体" w:hAnsi="宋体" w:eastAsia="宋体" w:cs="宋体"/>
          <w:b/>
          <w:bCs/>
          <w:color w:val="auto"/>
          <w:sz w:val="30"/>
          <w:szCs w:val="30"/>
          <w:highlight w:val="none"/>
          <w:lang w:eastAsia="zh-CN"/>
        </w:rPr>
      </w:pPr>
      <w:r>
        <w:rPr>
          <w:rFonts w:hint="eastAsia" w:ascii="宋体" w:hAnsi="宋体" w:cs="宋体"/>
          <w:b/>
          <w:bCs/>
          <w:color w:val="auto"/>
          <w:kern w:val="0"/>
          <w:sz w:val="30"/>
          <w:szCs w:val="30"/>
          <w:highlight w:val="none"/>
        </w:rPr>
        <w:br w:type="page"/>
      </w:r>
      <w:r>
        <w:rPr>
          <w:rFonts w:hint="eastAsia" w:ascii="宋体" w:hAnsi="宋体" w:cs="宋体"/>
          <w:b/>
          <w:bCs/>
          <w:color w:val="auto"/>
          <w:sz w:val="30"/>
          <w:szCs w:val="30"/>
          <w:highlight w:val="none"/>
          <w:lang w:val="en-US" w:eastAsia="zh-CN"/>
        </w:rPr>
        <w:t>9</w:t>
      </w:r>
      <w:r>
        <w:rPr>
          <w:rFonts w:hint="eastAsia" w:ascii="宋体" w:hAnsi="宋体" w:cs="宋体"/>
          <w:b/>
          <w:bCs/>
          <w:color w:val="auto"/>
          <w:sz w:val="30"/>
          <w:szCs w:val="30"/>
          <w:highlight w:val="none"/>
        </w:rPr>
        <w:t>、中小企业声明函</w:t>
      </w:r>
      <w:r>
        <w:rPr>
          <w:rFonts w:hint="eastAsia" w:ascii="宋体" w:hAnsi="宋体" w:cs="宋体"/>
          <w:b/>
          <w:bCs/>
          <w:color w:val="auto"/>
          <w:sz w:val="30"/>
          <w:szCs w:val="30"/>
          <w:highlight w:val="none"/>
          <w:lang w:eastAsia="zh-CN"/>
        </w:rPr>
        <w:t>（</w:t>
      </w:r>
      <w:r>
        <w:rPr>
          <w:rFonts w:hint="eastAsia" w:ascii="宋体" w:hAnsi="宋体" w:cs="宋体"/>
          <w:b/>
          <w:bCs/>
          <w:color w:val="auto"/>
          <w:sz w:val="30"/>
          <w:szCs w:val="30"/>
          <w:highlight w:val="none"/>
          <w:lang w:val="en-US" w:eastAsia="zh-CN"/>
        </w:rPr>
        <w:t>货物</w:t>
      </w:r>
      <w:r>
        <w:rPr>
          <w:rFonts w:hint="eastAsia" w:ascii="宋体" w:hAnsi="宋体" w:cs="宋体"/>
          <w:b/>
          <w:bCs/>
          <w:color w:val="auto"/>
          <w:sz w:val="30"/>
          <w:szCs w:val="30"/>
          <w:highlight w:val="none"/>
          <w:lang w:eastAsia="zh-CN"/>
        </w:rPr>
        <w:t>）</w:t>
      </w:r>
    </w:p>
    <w:p w14:paraId="0D85AD56">
      <w:pPr>
        <w:spacing w:beforeLines="0" w:afterLines="0" w:line="48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本公司（联合体）郑重声明，根据《政府采购促进中小企业发展管理办法》（财库﹝2020﹞46号）的规定，本公司（联合体）参加</w:t>
      </w:r>
      <w:r>
        <w:rPr>
          <w:rFonts w:hint="eastAsia" w:ascii="宋体" w:hAnsi="宋体" w:eastAsia="宋体" w:cs="宋体"/>
          <w:color w:val="auto"/>
          <w:sz w:val="24"/>
          <w:szCs w:val="24"/>
          <w:highlight w:val="none"/>
          <w:u w:val="single"/>
        </w:rPr>
        <w:t>（单位名称）</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u w:val="single"/>
        </w:rPr>
        <w:t>（项目名称）</w:t>
      </w:r>
      <w:r>
        <w:rPr>
          <w:rFonts w:hint="eastAsia" w:ascii="宋体" w:hAnsi="宋体" w:eastAsia="宋体" w:cs="宋体"/>
          <w:color w:val="auto"/>
          <w:sz w:val="24"/>
          <w:szCs w:val="24"/>
          <w:highlight w:val="none"/>
        </w:rPr>
        <w:t>采购活动，提供的货物全部由符合政策要求的中小企业制造。相关企业（含联合体中的中小企业、签订分包意向协议的中小企业）的具体情况如下：</w:t>
      </w:r>
    </w:p>
    <w:p w14:paraId="2BE24509">
      <w:pPr>
        <w:spacing w:beforeLines="0" w:afterLines="0" w:line="48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u w:val="single"/>
        </w:rPr>
        <w:t xml:space="preserve"> （标的名称） </w:t>
      </w:r>
      <w:r>
        <w:rPr>
          <w:rFonts w:hint="eastAsia" w:ascii="宋体" w:hAnsi="宋体" w:eastAsia="宋体" w:cs="宋体"/>
          <w:color w:val="auto"/>
          <w:sz w:val="24"/>
          <w:szCs w:val="24"/>
          <w:highlight w:val="none"/>
        </w:rPr>
        <w:t>，属于</w:t>
      </w:r>
      <w:r>
        <w:rPr>
          <w:rFonts w:hint="eastAsia" w:ascii="宋体" w:hAnsi="宋体" w:eastAsia="宋体" w:cs="宋体"/>
          <w:color w:val="auto"/>
          <w:sz w:val="24"/>
          <w:szCs w:val="24"/>
          <w:highlight w:val="none"/>
          <w:u w:val="single"/>
        </w:rPr>
        <w:t>（采购文件中明确的所属行业）</w:t>
      </w:r>
      <w:r>
        <w:rPr>
          <w:rFonts w:hint="eastAsia" w:ascii="宋体" w:hAnsi="宋体" w:eastAsia="宋体" w:cs="宋体"/>
          <w:color w:val="auto"/>
          <w:sz w:val="24"/>
          <w:szCs w:val="24"/>
          <w:highlight w:val="none"/>
        </w:rPr>
        <w:t>行业；制造商为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（企业名称）</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，从业人员</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人，营业收入为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万元，资产总额为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万元，属于</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（中型企业、小型企业、微型企业）</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w:t>
      </w:r>
    </w:p>
    <w:p w14:paraId="05F9CB3A">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u w:val="single"/>
        </w:rPr>
        <w:t xml:space="preserve"> （标的名称） </w:t>
      </w:r>
      <w:r>
        <w:rPr>
          <w:rFonts w:hint="eastAsia" w:ascii="宋体" w:hAnsi="宋体" w:eastAsia="宋体" w:cs="宋体"/>
          <w:color w:val="auto"/>
          <w:sz w:val="24"/>
          <w:szCs w:val="24"/>
          <w:highlight w:val="none"/>
        </w:rPr>
        <w:t>，属于</w:t>
      </w:r>
      <w:r>
        <w:rPr>
          <w:rFonts w:hint="eastAsia" w:ascii="宋体" w:hAnsi="宋体" w:eastAsia="宋体" w:cs="宋体"/>
          <w:color w:val="auto"/>
          <w:sz w:val="24"/>
          <w:szCs w:val="24"/>
          <w:highlight w:val="none"/>
          <w:u w:val="single"/>
        </w:rPr>
        <w:t>（采购文件中明确的所属行业）</w:t>
      </w:r>
      <w:r>
        <w:rPr>
          <w:rFonts w:hint="eastAsia" w:ascii="宋体" w:hAnsi="宋体" w:eastAsia="宋体" w:cs="宋体"/>
          <w:color w:val="auto"/>
          <w:sz w:val="24"/>
          <w:szCs w:val="24"/>
          <w:highlight w:val="none"/>
        </w:rPr>
        <w:t>行业；制造商为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（企业名称）</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，从业人员</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人，营业收入为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万元，资产总额为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万元，属于</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（中型企业、小型企业、微型企业）</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w:t>
      </w:r>
    </w:p>
    <w:p w14:paraId="5E8C3846">
      <w:pPr>
        <w:spacing w:line="480" w:lineRule="auto"/>
        <w:ind w:firstLine="56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8"/>
          <w:szCs w:val="28"/>
          <w:highlight w:val="none"/>
        </w:rPr>
        <w:t>……</w:t>
      </w:r>
    </w:p>
    <w:p w14:paraId="2EB46A3F">
      <w:pPr>
        <w:spacing w:line="48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以上企业，不属于大企业的分支机构，不存在控股股东为大企业的情形，也不存在与大企业的负责人为同一人的情形。</w:t>
      </w:r>
    </w:p>
    <w:p w14:paraId="23D77049">
      <w:pPr>
        <w:spacing w:line="48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本企业对上述声明内容的真实性负责。如有虚假，将依法承担相应责任。</w:t>
      </w:r>
    </w:p>
    <w:p w14:paraId="0A47FBC0">
      <w:pPr>
        <w:spacing w:line="480" w:lineRule="auto"/>
        <w:ind w:firstLine="3360" w:firstLineChars="1400"/>
        <w:jc w:val="left"/>
        <w:rPr>
          <w:rFonts w:hint="default"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企业名称（盖章）：</w:t>
      </w:r>
      <w:r>
        <w:rPr>
          <w:rFonts w:hint="eastAsia" w:ascii="宋体" w:hAnsi="宋体" w:cs="宋体"/>
          <w:color w:val="auto"/>
          <w:sz w:val="24"/>
          <w:szCs w:val="24"/>
          <w:highlight w:val="none"/>
          <w:u w:val="single"/>
          <w:lang w:val="en-US" w:eastAsia="zh-CN"/>
        </w:rPr>
        <w:t xml:space="preserve">               </w:t>
      </w:r>
    </w:p>
    <w:p w14:paraId="6E90D5D5">
      <w:pPr>
        <w:rPr>
          <w:rFonts w:hint="eastAsia" w:ascii="宋体" w:hAnsi="宋体" w:eastAsia="宋体" w:cs="宋体"/>
          <w:b/>
          <w:bCs/>
          <w:color w:val="auto"/>
          <w:sz w:val="24"/>
          <w:szCs w:val="16"/>
          <w:highlight w:val="none"/>
        </w:rPr>
      </w:pPr>
      <w:r>
        <w:rPr>
          <w:rFonts w:hint="eastAsia" w:ascii="宋体" w:hAnsi="宋体" w:cs="宋体"/>
          <w:color w:val="auto"/>
          <w:sz w:val="24"/>
          <w:highlight w:val="none"/>
        </w:rPr>
        <w:t xml:space="preserve">   </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日</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期：</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日</w:t>
      </w:r>
    </w:p>
    <w:p w14:paraId="2977C914">
      <w:pPr>
        <w:rPr>
          <w:rFonts w:hint="eastAsia" w:ascii="宋体" w:hAnsi="宋体" w:eastAsia="宋体" w:cs="宋体"/>
          <w:color w:val="auto"/>
          <w:sz w:val="24"/>
          <w:szCs w:val="16"/>
          <w:highlight w:val="none"/>
        </w:rPr>
      </w:pPr>
    </w:p>
    <w:p w14:paraId="26624673">
      <w:pPr>
        <w:rPr>
          <w:rFonts w:hint="eastAsia" w:ascii="宋体" w:hAnsi="宋体" w:eastAsia="宋体" w:cs="宋体"/>
          <w:color w:val="auto"/>
          <w:sz w:val="24"/>
          <w:szCs w:val="16"/>
          <w:highlight w:val="none"/>
        </w:rPr>
      </w:pPr>
      <w:r>
        <w:rPr>
          <w:rFonts w:hint="eastAsia" w:ascii="宋体" w:hAnsi="宋体" w:eastAsia="宋体" w:cs="宋体"/>
          <w:color w:val="auto"/>
          <w:sz w:val="24"/>
          <w:szCs w:val="16"/>
          <w:highlight w:val="none"/>
        </w:rPr>
        <w:t>注：从业人员、营业收入、资产总额填报上一年度数据，无上一年度数据的新成立企业可不填报。</w:t>
      </w:r>
    </w:p>
    <w:p w14:paraId="782A23B2">
      <w:pPr>
        <w:spacing w:before="159" w:beforeLines="50" w:after="159" w:afterLines="50" w:line="440" w:lineRule="exact"/>
        <w:jc w:val="center"/>
        <w:rPr>
          <w:rFonts w:hint="eastAsia" w:ascii="仿宋" w:hAnsi="仿宋" w:eastAsia="仿宋" w:cs="仿宋"/>
          <w:b/>
          <w:bCs/>
          <w:color w:val="auto"/>
          <w:sz w:val="30"/>
          <w:szCs w:val="30"/>
          <w:highlight w:val="none"/>
        </w:rPr>
      </w:pPr>
    </w:p>
    <w:p w14:paraId="0BE14211">
      <w:pPr>
        <w:rPr>
          <w:rFonts w:hint="eastAsia" w:ascii="宋体" w:hAnsi="宋体" w:cs="宋体"/>
          <w:color w:val="auto"/>
          <w:sz w:val="24"/>
          <w:szCs w:val="24"/>
          <w:highlight w:val="none"/>
        </w:rPr>
      </w:pPr>
      <w:r>
        <w:rPr>
          <w:rFonts w:hint="eastAsia" w:ascii="宋体" w:hAnsi="宋体" w:cs="宋体"/>
          <w:color w:val="auto"/>
          <w:sz w:val="24"/>
          <w:szCs w:val="24"/>
          <w:highlight w:val="none"/>
        </w:rPr>
        <w:br w:type="page"/>
      </w:r>
    </w:p>
    <w:p w14:paraId="650969CB">
      <w:pPr>
        <w:jc w:val="center"/>
        <w:outlineLvl w:val="1"/>
        <w:rPr>
          <w:rFonts w:ascii="宋体" w:hAnsi="宋体" w:cs="宋体"/>
          <w:b/>
          <w:bCs/>
          <w:color w:val="auto"/>
          <w:sz w:val="30"/>
          <w:szCs w:val="30"/>
          <w:highlight w:val="none"/>
        </w:rPr>
      </w:pPr>
      <w:r>
        <w:rPr>
          <w:rFonts w:hint="eastAsia" w:ascii="宋体" w:hAnsi="宋体" w:cs="宋体"/>
          <w:b/>
          <w:bCs/>
          <w:color w:val="auto"/>
          <w:sz w:val="30"/>
          <w:szCs w:val="30"/>
          <w:highlight w:val="none"/>
          <w:lang w:val="en-US" w:eastAsia="zh-CN"/>
        </w:rPr>
        <w:t>10</w:t>
      </w:r>
      <w:r>
        <w:rPr>
          <w:rFonts w:hint="eastAsia" w:ascii="宋体" w:hAnsi="宋体" w:cs="宋体"/>
          <w:b/>
          <w:bCs/>
          <w:color w:val="auto"/>
          <w:sz w:val="30"/>
          <w:szCs w:val="30"/>
          <w:highlight w:val="none"/>
        </w:rPr>
        <w:t>、残疾人福利性单位声明函</w:t>
      </w:r>
    </w:p>
    <w:p w14:paraId="0F5F08B3">
      <w:pPr>
        <w:spacing w:line="588" w:lineRule="exact"/>
        <w:ind w:firstLine="504" w:firstLineChars="200"/>
        <w:rPr>
          <w:rFonts w:ascii="宋体" w:hAnsi="宋体" w:cs="宋体"/>
          <w:color w:val="auto"/>
          <w:spacing w:val="6"/>
          <w:sz w:val="24"/>
          <w:highlight w:val="none"/>
        </w:rPr>
      </w:pPr>
      <w:r>
        <w:rPr>
          <w:rFonts w:hint="eastAsia" w:ascii="宋体" w:hAnsi="宋体" w:cs="宋体"/>
          <w:color w:val="auto"/>
          <w:spacing w:val="6"/>
          <w:sz w:val="24"/>
          <w:highlight w:val="none"/>
        </w:rPr>
        <w:t>本单位郑重声明，根据《财政部 民政部 中国残疾人联合会关于促进残疾人就业政府采购政策的通知》（财库</w:t>
      </w:r>
      <w:r>
        <w:rPr>
          <w:rFonts w:hint="eastAsia" w:ascii="宋体" w:hAnsi="宋体" w:cs="宋体"/>
          <w:color w:val="auto"/>
          <w:sz w:val="24"/>
          <w:highlight w:val="none"/>
        </w:rPr>
        <w:t>〔2017〕 141</w:t>
      </w:r>
      <w:r>
        <w:rPr>
          <w:rFonts w:hint="eastAsia" w:ascii="宋体" w:hAnsi="宋体" w:cs="宋体"/>
          <w:color w:val="auto"/>
          <w:spacing w:val="6"/>
          <w:sz w:val="24"/>
          <w:highlight w:val="none"/>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4912C37A">
      <w:pPr>
        <w:spacing w:line="588" w:lineRule="exact"/>
        <w:ind w:firstLine="504" w:firstLineChars="200"/>
        <w:rPr>
          <w:rFonts w:ascii="宋体" w:hAnsi="宋体" w:cs="宋体"/>
          <w:color w:val="auto"/>
          <w:spacing w:val="6"/>
          <w:szCs w:val="21"/>
          <w:highlight w:val="none"/>
        </w:rPr>
      </w:pPr>
      <w:r>
        <w:rPr>
          <w:rFonts w:hint="eastAsia" w:ascii="宋体" w:hAnsi="宋体" w:cs="宋体"/>
          <w:color w:val="auto"/>
          <w:spacing w:val="6"/>
          <w:sz w:val="24"/>
          <w:highlight w:val="none"/>
        </w:rPr>
        <w:t>本单位对上述声明的真实性负责。如有虚假，将依法承担相应责任。</w:t>
      </w:r>
    </w:p>
    <w:p w14:paraId="485113F5">
      <w:pPr>
        <w:spacing w:afterLines="50" w:line="440" w:lineRule="exact"/>
        <w:jc w:val="center"/>
        <w:rPr>
          <w:rFonts w:ascii="宋体" w:hAnsi="宋体" w:cs="宋体"/>
          <w:b/>
          <w:bCs/>
          <w:color w:val="auto"/>
          <w:kern w:val="0"/>
          <w:sz w:val="30"/>
          <w:szCs w:val="30"/>
          <w:highlight w:val="none"/>
        </w:rPr>
      </w:pPr>
    </w:p>
    <w:p w14:paraId="0DDA043F">
      <w:pPr>
        <w:spacing w:afterLines="50" w:line="440" w:lineRule="exact"/>
        <w:jc w:val="center"/>
        <w:rPr>
          <w:rFonts w:ascii="宋体" w:hAnsi="宋体" w:cs="宋体"/>
          <w:b/>
          <w:bCs/>
          <w:color w:val="auto"/>
          <w:kern w:val="0"/>
          <w:sz w:val="30"/>
          <w:szCs w:val="30"/>
          <w:highlight w:val="none"/>
        </w:rPr>
      </w:pPr>
    </w:p>
    <w:p w14:paraId="218139D2">
      <w:pPr>
        <w:spacing w:after="140" w:line="360" w:lineRule="auto"/>
        <w:ind w:left="-5" w:hanging="10"/>
        <w:jc w:val="center"/>
        <w:rPr>
          <w:rFonts w:hint="default" w:ascii="宋体" w:hAnsi="宋体" w:eastAsia="宋体" w:cs="宋体"/>
          <w:color w:val="auto"/>
          <w:highlight w:val="none"/>
          <w:u w:val="single"/>
          <w:lang w:val="en-US" w:eastAsia="zh-CN"/>
        </w:rPr>
      </w:pPr>
      <w:r>
        <w:rPr>
          <w:rFonts w:hint="eastAsia" w:ascii="宋体" w:hAnsi="宋体" w:cs="宋体"/>
          <w:color w:val="auto"/>
          <w:sz w:val="24"/>
          <w:highlight w:val="none"/>
        </w:rPr>
        <w:t xml:space="preserve">         供应商（全称并盖章）:</w:t>
      </w:r>
      <w:r>
        <w:rPr>
          <w:rFonts w:hint="eastAsia" w:ascii="宋体" w:hAnsi="宋体" w:cs="宋体"/>
          <w:color w:val="auto"/>
          <w:sz w:val="24"/>
          <w:highlight w:val="none"/>
          <w:u w:val="single"/>
          <w:lang w:val="en-US" w:eastAsia="zh-CN"/>
        </w:rPr>
        <w:t xml:space="preserve">                  </w:t>
      </w:r>
    </w:p>
    <w:p w14:paraId="6963E92F">
      <w:pPr>
        <w:spacing w:after="94" w:line="360" w:lineRule="auto"/>
        <w:ind w:left="480"/>
        <w:rPr>
          <w:rFonts w:ascii="宋体" w:hAnsi="宋体" w:cs="宋体"/>
          <w:color w:val="auto"/>
          <w:highlight w:val="none"/>
        </w:rPr>
      </w:pPr>
    </w:p>
    <w:p w14:paraId="1764D6DE">
      <w:pPr>
        <w:spacing w:afterLines="50" w:line="440" w:lineRule="exact"/>
        <w:jc w:val="center"/>
        <w:rPr>
          <w:rFonts w:ascii="宋体" w:hAnsi="宋体" w:cs="宋体"/>
          <w:b/>
          <w:bCs/>
          <w:color w:val="auto"/>
          <w:kern w:val="0"/>
          <w:sz w:val="30"/>
          <w:szCs w:val="30"/>
          <w:highlight w:val="none"/>
        </w:rPr>
      </w:pPr>
      <w:r>
        <w:rPr>
          <w:rFonts w:hint="eastAsia" w:ascii="宋体" w:hAnsi="宋体" w:cs="宋体"/>
          <w:color w:val="auto"/>
          <w:sz w:val="24"/>
          <w:highlight w:val="none"/>
        </w:rPr>
        <w:t xml:space="preserve">                                     日</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期：</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日</w:t>
      </w:r>
    </w:p>
    <w:p w14:paraId="6F6A4C6E">
      <w:pPr>
        <w:spacing w:afterLines="50" w:line="440" w:lineRule="exact"/>
        <w:jc w:val="center"/>
        <w:rPr>
          <w:rFonts w:ascii="宋体" w:hAnsi="宋体" w:cs="宋体"/>
          <w:b/>
          <w:bCs/>
          <w:color w:val="auto"/>
          <w:kern w:val="0"/>
          <w:sz w:val="30"/>
          <w:szCs w:val="30"/>
          <w:highlight w:val="none"/>
        </w:rPr>
      </w:pPr>
    </w:p>
    <w:p w14:paraId="0AFC730D">
      <w:pPr>
        <w:spacing w:afterLines="50" w:line="440" w:lineRule="exact"/>
        <w:jc w:val="center"/>
        <w:rPr>
          <w:rFonts w:ascii="宋体" w:hAnsi="宋体" w:cs="宋体"/>
          <w:b/>
          <w:bCs/>
          <w:color w:val="auto"/>
          <w:kern w:val="0"/>
          <w:sz w:val="30"/>
          <w:szCs w:val="30"/>
          <w:highlight w:val="none"/>
        </w:rPr>
      </w:pPr>
    </w:p>
    <w:p w14:paraId="293A8CCA">
      <w:pPr>
        <w:spacing w:afterLines="50" w:line="440" w:lineRule="exact"/>
        <w:jc w:val="center"/>
        <w:rPr>
          <w:rFonts w:ascii="宋体" w:hAnsi="宋体" w:cs="宋体"/>
          <w:b/>
          <w:bCs/>
          <w:color w:val="auto"/>
          <w:kern w:val="0"/>
          <w:sz w:val="30"/>
          <w:szCs w:val="30"/>
          <w:highlight w:val="none"/>
        </w:rPr>
      </w:pPr>
    </w:p>
    <w:p w14:paraId="32B5DF90">
      <w:pPr>
        <w:spacing w:afterLines="50" w:line="440" w:lineRule="exact"/>
        <w:jc w:val="center"/>
        <w:rPr>
          <w:rFonts w:ascii="宋体" w:hAnsi="宋体" w:cs="宋体"/>
          <w:b/>
          <w:bCs/>
          <w:color w:val="auto"/>
          <w:kern w:val="0"/>
          <w:sz w:val="30"/>
          <w:szCs w:val="30"/>
          <w:highlight w:val="none"/>
        </w:rPr>
      </w:pPr>
    </w:p>
    <w:p w14:paraId="16F7A801">
      <w:pPr>
        <w:spacing w:afterLines="50" w:line="440" w:lineRule="exact"/>
        <w:jc w:val="center"/>
        <w:rPr>
          <w:rFonts w:ascii="宋体" w:hAnsi="宋体" w:cs="宋体"/>
          <w:b/>
          <w:bCs/>
          <w:color w:val="auto"/>
          <w:kern w:val="0"/>
          <w:sz w:val="30"/>
          <w:szCs w:val="30"/>
          <w:highlight w:val="none"/>
        </w:rPr>
      </w:pPr>
    </w:p>
    <w:p w14:paraId="0E2708AB">
      <w:pPr>
        <w:spacing w:afterLines="50" w:line="440" w:lineRule="exact"/>
        <w:jc w:val="center"/>
        <w:rPr>
          <w:rFonts w:ascii="宋体" w:hAnsi="宋体" w:cs="宋体"/>
          <w:b/>
          <w:bCs/>
          <w:color w:val="auto"/>
          <w:kern w:val="0"/>
          <w:sz w:val="30"/>
          <w:szCs w:val="30"/>
          <w:highlight w:val="none"/>
        </w:rPr>
      </w:pPr>
    </w:p>
    <w:p w14:paraId="18AB5B7E">
      <w:pPr>
        <w:spacing w:afterLines="50" w:line="440" w:lineRule="exact"/>
        <w:jc w:val="center"/>
        <w:rPr>
          <w:rFonts w:ascii="宋体" w:hAnsi="宋体" w:cs="宋体"/>
          <w:b/>
          <w:bCs/>
          <w:color w:val="auto"/>
          <w:kern w:val="0"/>
          <w:sz w:val="30"/>
          <w:szCs w:val="30"/>
          <w:highlight w:val="none"/>
        </w:rPr>
      </w:pPr>
    </w:p>
    <w:p w14:paraId="00C87F80">
      <w:pPr>
        <w:spacing w:afterLines="50" w:line="440" w:lineRule="exact"/>
        <w:jc w:val="center"/>
        <w:rPr>
          <w:rFonts w:ascii="宋体" w:hAnsi="宋体" w:cs="宋体"/>
          <w:b/>
          <w:bCs/>
          <w:color w:val="auto"/>
          <w:kern w:val="0"/>
          <w:sz w:val="30"/>
          <w:szCs w:val="30"/>
          <w:highlight w:val="none"/>
        </w:rPr>
      </w:pPr>
    </w:p>
    <w:p w14:paraId="202EF6CE">
      <w:pPr>
        <w:spacing w:afterLines="50" w:line="440" w:lineRule="exact"/>
        <w:jc w:val="center"/>
        <w:rPr>
          <w:rFonts w:ascii="宋体" w:hAnsi="宋体" w:cs="宋体"/>
          <w:b/>
          <w:bCs/>
          <w:color w:val="auto"/>
          <w:kern w:val="0"/>
          <w:sz w:val="30"/>
          <w:szCs w:val="30"/>
          <w:highlight w:val="none"/>
        </w:rPr>
      </w:pPr>
    </w:p>
    <w:p w14:paraId="51D3D937">
      <w:pPr>
        <w:spacing w:afterLines="50" w:line="440" w:lineRule="exact"/>
        <w:jc w:val="center"/>
        <w:rPr>
          <w:rFonts w:ascii="宋体" w:hAnsi="宋体" w:cs="宋体"/>
          <w:b/>
          <w:bCs/>
          <w:color w:val="auto"/>
          <w:kern w:val="0"/>
          <w:sz w:val="30"/>
          <w:szCs w:val="30"/>
          <w:highlight w:val="none"/>
        </w:rPr>
      </w:pPr>
    </w:p>
    <w:p w14:paraId="5AC89F18">
      <w:pPr>
        <w:spacing w:afterLines="50" w:line="440" w:lineRule="exact"/>
        <w:rPr>
          <w:rFonts w:ascii="宋体" w:hAnsi="宋体" w:cs="宋体"/>
          <w:b/>
          <w:bCs/>
          <w:color w:val="auto"/>
          <w:sz w:val="30"/>
          <w:szCs w:val="30"/>
          <w:highlight w:val="none"/>
        </w:rPr>
      </w:pPr>
    </w:p>
    <w:p w14:paraId="35D3B8AC">
      <w:pPr>
        <w:spacing w:afterLines="50" w:line="440" w:lineRule="exact"/>
        <w:jc w:val="center"/>
        <w:outlineLvl w:val="1"/>
        <w:rPr>
          <w:rFonts w:ascii="宋体" w:hAnsi="宋体" w:cs="宋体"/>
          <w:b/>
          <w:bCs/>
          <w:color w:val="auto"/>
          <w:kern w:val="0"/>
          <w:sz w:val="30"/>
          <w:szCs w:val="30"/>
          <w:highlight w:val="none"/>
        </w:rPr>
      </w:pPr>
      <w:r>
        <w:rPr>
          <w:rFonts w:hint="eastAsia" w:ascii="宋体" w:hAnsi="宋体" w:cs="宋体"/>
          <w:b/>
          <w:bCs/>
          <w:color w:val="auto"/>
          <w:sz w:val="30"/>
          <w:szCs w:val="30"/>
          <w:highlight w:val="none"/>
          <w:lang w:val="en-US" w:eastAsia="zh-CN"/>
        </w:rPr>
        <w:t>11</w:t>
      </w:r>
      <w:r>
        <w:rPr>
          <w:rFonts w:hint="eastAsia" w:ascii="宋体" w:hAnsi="宋体" w:cs="宋体"/>
          <w:b/>
          <w:bCs/>
          <w:color w:val="auto"/>
          <w:sz w:val="30"/>
          <w:szCs w:val="30"/>
          <w:highlight w:val="none"/>
        </w:rPr>
        <w:t>、监狱企业证明文件</w:t>
      </w:r>
    </w:p>
    <w:p w14:paraId="6F2FE549">
      <w:pPr>
        <w:spacing w:afterLines="50" w:line="440" w:lineRule="exact"/>
        <w:jc w:val="center"/>
        <w:rPr>
          <w:rFonts w:ascii="宋体" w:hAnsi="宋体" w:cs="宋体"/>
          <w:b/>
          <w:bCs/>
          <w:color w:val="auto"/>
          <w:kern w:val="0"/>
          <w:sz w:val="30"/>
          <w:szCs w:val="30"/>
          <w:highlight w:val="none"/>
        </w:rPr>
      </w:pPr>
    </w:p>
    <w:p w14:paraId="07219FDE">
      <w:pPr>
        <w:spacing w:line="360" w:lineRule="auto"/>
        <w:ind w:firstLine="480" w:firstLineChars="200"/>
        <w:jc w:val="left"/>
        <w:rPr>
          <w:rFonts w:ascii="宋体" w:hAnsi="宋体" w:cs="宋体"/>
          <w:b/>
          <w:bCs/>
          <w:color w:val="auto"/>
          <w:kern w:val="0"/>
          <w:sz w:val="24"/>
          <w:highlight w:val="none"/>
        </w:rPr>
      </w:pPr>
      <w:r>
        <w:rPr>
          <w:rFonts w:hint="eastAsia" w:ascii="宋体" w:hAnsi="宋体" w:cs="宋体"/>
          <w:color w:val="auto"/>
          <w:sz w:val="24"/>
          <w:highlight w:val="none"/>
        </w:rPr>
        <w:t>享受政策优惠的监狱企业须提供由省级以上监狱管理局、戒毒管理局（含新疆生产建设兵团）出具的属于监狱企业的证明文件。</w:t>
      </w:r>
    </w:p>
    <w:p w14:paraId="7151EDE4">
      <w:pPr>
        <w:spacing w:afterLines="50" w:line="440" w:lineRule="exact"/>
        <w:jc w:val="center"/>
        <w:rPr>
          <w:rFonts w:ascii="宋体" w:hAnsi="宋体" w:cs="宋体"/>
          <w:b/>
          <w:bCs/>
          <w:color w:val="auto"/>
          <w:kern w:val="0"/>
          <w:sz w:val="30"/>
          <w:szCs w:val="30"/>
          <w:highlight w:val="none"/>
        </w:rPr>
      </w:pPr>
    </w:p>
    <w:p w14:paraId="03C6AE10">
      <w:pPr>
        <w:spacing w:afterLines="50" w:line="440" w:lineRule="exact"/>
        <w:jc w:val="center"/>
        <w:rPr>
          <w:rFonts w:ascii="宋体" w:hAnsi="宋体" w:cs="宋体"/>
          <w:b/>
          <w:bCs/>
          <w:color w:val="auto"/>
          <w:kern w:val="0"/>
          <w:sz w:val="30"/>
          <w:szCs w:val="30"/>
          <w:highlight w:val="none"/>
        </w:rPr>
      </w:pPr>
    </w:p>
    <w:p w14:paraId="3BCC52D5">
      <w:pPr>
        <w:spacing w:afterLines="50" w:line="440" w:lineRule="exact"/>
        <w:jc w:val="center"/>
        <w:rPr>
          <w:rFonts w:ascii="宋体" w:hAnsi="宋体" w:cs="宋体"/>
          <w:b/>
          <w:bCs/>
          <w:color w:val="auto"/>
          <w:kern w:val="0"/>
          <w:sz w:val="30"/>
          <w:szCs w:val="30"/>
          <w:highlight w:val="none"/>
        </w:rPr>
      </w:pPr>
    </w:p>
    <w:p w14:paraId="4867A7B7">
      <w:pPr>
        <w:spacing w:afterLines="50" w:line="440" w:lineRule="exact"/>
        <w:jc w:val="center"/>
        <w:rPr>
          <w:rFonts w:ascii="宋体" w:hAnsi="宋体" w:cs="宋体"/>
          <w:b/>
          <w:bCs/>
          <w:color w:val="auto"/>
          <w:kern w:val="0"/>
          <w:sz w:val="30"/>
          <w:szCs w:val="30"/>
          <w:highlight w:val="none"/>
        </w:rPr>
      </w:pPr>
    </w:p>
    <w:p w14:paraId="2A5C2DF9">
      <w:pPr>
        <w:spacing w:afterLines="50" w:line="440" w:lineRule="exact"/>
        <w:jc w:val="center"/>
        <w:rPr>
          <w:rFonts w:ascii="宋体" w:hAnsi="宋体" w:cs="宋体"/>
          <w:b/>
          <w:bCs/>
          <w:color w:val="auto"/>
          <w:kern w:val="0"/>
          <w:sz w:val="30"/>
          <w:szCs w:val="30"/>
          <w:highlight w:val="none"/>
        </w:rPr>
      </w:pPr>
    </w:p>
    <w:p w14:paraId="34FBF34F">
      <w:pPr>
        <w:spacing w:afterLines="50" w:line="440" w:lineRule="exact"/>
        <w:jc w:val="center"/>
        <w:rPr>
          <w:rFonts w:ascii="宋体" w:hAnsi="宋体" w:cs="宋体"/>
          <w:b/>
          <w:bCs/>
          <w:color w:val="auto"/>
          <w:kern w:val="0"/>
          <w:sz w:val="30"/>
          <w:szCs w:val="30"/>
          <w:highlight w:val="none"/>
        </w:rPr>
      </w:pPr>
    </w:p>
    <w:p w14:paraId="50EB103E">
      <w:pPr>
        <w:spacing w:afterLines="50" w:line="440" w:lineRule="exact"/>
        <w:jc w:val="center"/>
        <w:rPr>
          <w:rFonts w:ascii="宋体" w:hAnsi="宋体" w:cs="宋体"/>
          <w:b/>
          <w:bCs/>
          <w:color w:val="auto"/>
          <w:kern w:val="0"/>
          <w:sz w:val="30"/>
          <w:szCs w:val="30"/>
          <w:highlight w:val="none"/>
        </w:rPr>
      </w:pPr>
    </w:p>
    <w:p w14:paraId="4AF6A87A">
      <w:pPr>
        <w:spacing w:afterLines="50" w:line="440" w:lineRule="exact"/>
        <w:jc w:val="center"/>
        <w:rPr>
          <w:rFonts w:ascii="宋体" w:hAnsi="宋体" w:cs="宋体"/>
          <w:b/>
          <w:bCs/>
          <w:color w:val="auto"/>
          <w:kern w:val="0"/>
          <w:sz w:val="30"/>
          <w:szCs w:val="30"/>
          <w:highlight w:val="none"/>
        </w:rPr>
      </w:pPr>
    </w:p>
    <w:p w14:paraId="2D9D4F09">
      <w:pPr>
        <w:spacing w:afterLines="50" w:line="440" w:lineRule="exact"/>
        <w:jc w:val="center"/>
        <w:rPr>
          <w:rFonts w:ascii="宋体" w:hAnsi="宋体" w:cs="宋体"/>
          <w:b/>
          <w:bCs/>
          <w:color w:val="auto"/>
          <w:kern w:val="0"/>
          <w:sz w:val="30"/>
          <w:szCs w:val="30"/>
          <w:highlight w:val="none"/>
        </w:rPr>
      </w:pPr>
    </w:p>
    <w:p w14:paraId="07DC3D93">
      <w:pPr>
        <w:spacing w:afterLines="50" w:line="440" w:lineRule="exact"/>
        <w:jc w:val="center"/>
        <w:rPr>
          <w:rFonts w:ascii="宋体" w:hAnsi="宋体" w:cs="宋体"/>
          <w:b/>
          <w:bCs/>
          <w:color w:val="auto"/>
          <w:kern w:val="0"/>
          <w:sz w:val="30"/>
          <w:szCs w:val="30"/>
          <w:highlight w:val="none"/>
        </w:rPr>
      </w:pPr>
    </w:p>
    <w:p w14:paraId="72DD2B3E">
      <w:pPr>
        <w:spacing w:afterLines="50" w:line="440" w:lineRule="exact"/>
        <w:jc w:val="center"/>
        <w:rPr>
          <w:rFonts w:ascii="宋体" w:hAnsi="宋体" w:cs="宋体"/>
          <w:b/>
          <w:bCs/>
          <w:color w:val="auto"/>
          <w:kern w:val="0"/>
          <w:sz w:val="30"/>
          <w:szCs w:val="30"/>
          <w:highlight w:val="none"/>
        </w:rPr>
      </w:pPr>
    </w:p>
    <w:p w14:paraId="61948FEF">
      <w:pPr>
        <w:spacing w:afterLines="50" w:line="440" w:lineRule="exact"/>
        <w:jc w:val="center"/>
        <w:rPr>
          <w:rFonts w:ascii="宋体" w:hAnsi="宋体" w:cs="宋体"/>
          <w:b/>
          <w:bCs/>
          <w:color w:val="auto"/>
          <w:kern w:val="0"/>
          <w:sz w:val="30"/>
          <w:szCs w:val="30"/>
          <w:highlight w:val="none"/>
        </w:rPr>
      </w:pPr>
    </w:p>
    <w:p w14:paraId="2EF29B16">
      <w:pPr>
        <w:spacing w:afterLines="50" w:line="440" w:lineRule="exact"/>
        <w:jc w:val="center"/>
        <w:rPr>
          <w:rFonts w:ascii="宋体" w:hAnsi="宋体" w:cs="宋体"/>
          <w:b/>
          <w:bCs/>
          <w:color w:val="auto"/>
          <w:kern w:val="0"/>
          <w:sz w:val="30"/>
          <w:szCs w:val="30"/>
          <w:highlight w:val="none"/>
        </w:rPr>
      </w:pPr>
    </w:p>
    <w:p w14:paraId="39009D15">
      <w:pPr>
        <w:spacing w:after="140" w:line="360" w:lineRule="auto"/>
        <w:ind w:left="-5" w:hanging="10"/>
        <w:jc w:val="center"/>
        <w:rPr>
          <w:rFonts w:hint="default" w:ascii="宋体" w:hAnsi="宋体" w:eastAsia="宋体" w:cs="宋体"/>
          <w:color w:val="auto"/>
          <w:highlight w:val="none"/>
          <w:u w:val="single"/>
          <w:lang w:val="en-US" w:eastAsia="zh-CN"/>
        </w:rPr>
      </w:pP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供应商（全称并盖章）:</w:t>
      </w:r>
      <w:r>
        <w:rPr>
          <w:rFonts w:hint="eastAsia" w:ascii="宋体" w:hAnsi="宋体" w:cs="宋体"/>
          <w:color w:val="auto"/>
          <w:sz w:val="24"/>
          <w:highlight w:val="none"/>
          <w:u w:val="single"/>
          <w:lang w:val="en-US" w:eastAsia="zh-CN"/>
        </w:rPr>
        <w:t xml:space="preserve">              </w:t>
      </w:r>
    </w:p>
    <w:p w14:paraId="3CDD9F8A">
      <w:pPr>
        <w:spacing w:after="94" w:line="360" w:lineRule="auto"/>
        <w:ind w:left="480"/>
        <w:rPr>
          <w:rFonts w:ascii="宋体" w:hAnsi="宋体" w:cs="宋体"/>
          <w:color w:val="auto"/>
          <w:highlight w:val="none"/>
        </w:rPr>
      </w:pPr>
    </w:p>
    <w:p w14:paraId="06382849">
      <w:pPr>
        <w:spacing w:after="159" w:line="440" w:lineRule="exact"/>
        <w:jc w:val="center"/>
        <w:rPr>
          <w:rFonts w:ascii="宋体" w:hAnsi="宋体" w:cs="宋体"/>
          <w:color w:val="auto"/>
          <w:sz w:val="24"/>
          <w:highlight w:val="none"/>
        </w:rPr>
      </w:pPr>
      <w:r>
        <w:rPr>
          <w:rFonts w:hint="eastAsia" w:ascii="宋体" w:hAnsi="宋体" w:cs="宋体"/>
          <w:color w:val="auto"/>
          <w:sz w:val="24"/>
          <w:highlight w:val="none"/>
        </w:rPr>
        <w:t xml:space="preserve">                                     日</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期：</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 xml:space="preserve">年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日</w:t>
      </w:r>
    </w:p>
    <w:p w14:paraId="007D2287">
      <w:pPr>
        <w:spacing w:after="159" w:line="440" w:lineRule="exact"/>
        <w:jc w:val="center"/>
        <w:outlineLvl w:val="1"/>
        <w:rPr>
          <w:rFonts w:ascii="宋体" w:hAnsi="宋体" w:cs="宋体"/>
          <w:b/>
          <w:bCs/>
          <w:color w:val="auto"/>
          <w:kern w:val="0"/>
          <w:sz w:val="30"/>
          <w:szCs w:val="30"/>
          <w:highlight w:val="none"/>
        </w:rPr>
      </w:pPr>
      <w:r>
        <w:rPr>
          <w:rFonts w:hint="eastAsia" w:ascii="宋体" w:hAnsi="宋体" w:cs="宋体"/>
          <w:color w:val="auto"/>
          <w:sz w:val="24"/>
          <w:highlight w:val="none"/>
        </w:rPr>
        <w:br w:type="page"/>
      </w:r>
      <w:r>
        <w:rPr>
          <w:rFonts w:hint="eastAsia" w:ascii="宋体" w:hAnsi="宋体" w:cs="宋体"/>
          <w:b/>
          <w:bCs/>
          <w:color w:val="auto"/>
          <w:kern w:val="0"/>
          <w:sz w:val="30"/>
          <w:szCs w:val="30"/>
          <w:highlight w:val="none"/>
          <w:lang w:val="en-US" w:eastAsia="zh-CN"/>
        </w:rPr>
        <w:t>12</w:t>
      </w:r>
      <w:r>
        <w:rPr>
          <w:rFonts w:hint="eastAsia" w:ascii="宋体" w:hAnsi="宋体" w:cs="宋体"/>
          <w:b/>
          <w:bCs/>
          <w:color w:val="auto"/>
          <w:kern w:val="0"/>
          <w:sz w:val="30"/>
          <w:szCs w:val="30"/>
          <w:highlight w:val="none"/>
        </w:rPr>
        <w:t>、项目方案</w:t>
      </w:r>
    </w:p>
    <w:p w14:paraId="51468AE9">
      <w:pPr>
        <w:tabs>
          <w:tab w:val="left" w:pos="720"/>
        </w:tabs>
        <w:autoSpaceDE w:val="0"/>
        <w:autoSpaceDN w:val="0"/>
        <w:adjustRightInd w:val="0"/>
        <w:spacing w:line="440" w:lineRule="exact"/>
        <w:ind w:firstLine="480" w:firstLineChars="200"/>
        <w:rPr>
          <w:rFonts w:ascii="宋体" w:hAnsi="宋体" w:cs="宋体"/>
          <w:color w:val="auto"/>
          <w:sz w:val="24"/>
          <w:highlight w:val="none"/>
        </w:rPr>
      </w:pPr>
    </w:p>
    <w:p w14:paraId="54E8CD19">
      <w:pPr>
        <w:tabs>
          <w:tab w:val="left" w:pos="720"/>
        </w:tabs>
        <w:autoSpaceDE w:val="0"/>
        <w:autoSpaceDN w:val="0"/>
        <w:adjustRightInd w:val="0"/>
        <w:spacing w:line="440" w:lineRule="exact"/>
        <w:jc w:val="center"/>
        <w:rPr>
          <w:rFonts w:ascii="宋体" w:hAnsi="宋体" w:cs="宋体"/>
          <w:color w:val="auto"/>
          <w:sz w:val="24"/>
          <w:highlight w:val="none"/>
        </w:rPr>
      </w:pPr>
      <w:r>
        <w:rPr>
          <w:rFonts w:hint="eastAsia" w:ascii="宋体" w:hAnsi="宋体" w:cs="宋体"/>
          <w:color w:val="auto"/>
          <w:sz w:val="24"/>
          <w:highlight w:val="none"/>
        </w:rPr>
        <w:t>（可根据项目实际情况拟写，格式内容自定）</w:t>
      </w:r>
    </w:p>
    <w:p w14:paraId="5C5A428E">
      <w:pPr>
        <w:tabs>
          <w:tab w:val="left" w:pos="720"/>
        </w:tabs>
        <w:autoSpaceDE w:val="0"/>
        <w:autoSpaceDN w:val="0"/>
        <w:adjustRightInd w:val="0"/>
        <w:spacing w:line="440" w:lineRule="exact"/>
        <w:ind w:firstLine="480" w:firstLineChars="200"/>
        <w:rPr>
          <w:rFonts w:ascii="宋体" w:hAnsi="宋体" w:cs="宋体"/>
          <w:color w:val="auto"/>
          <w:sz w:val="24"/>
          <w:highlight w:val="none"/>
        </w:rPr>
      </w:pPr>
    </w:p>
    <w:p w14:paraId="0E28F93B">
      <w:pPr>
        <w:tabs>
          <w:tab w:val="left" w:pos="720"/>
        </w:tabs>
        <w:autoSpaceDE w:val="0"/>
        <w:autoSpaceDN w:val="0"/>
        <w:adjustRightInd w:val="0"/>
        <w:spacing w:line="440" w:lineRule="exact"/>
        <w:ind w:firstLine="480" w:firstLineChars="200"/>
        <w:rPr>
          <w:rFonts w:ascii="宋体" w:hAnsi="宋体" w:cs="宋体"/>
          <w:color w:val="auto"/>
          <w:sz w:val="24"/>
          <w:highlight w:val="none"/>
          <w:lang w:val="zh-CN"/>
        </w:rPr>
      </w:pPr>
    </w:p>
    <w:p w14:paraId="32960AF5">
      <w:pPr>
        <w:tabs>
          <w:tab w:val="left" w:pos="720"/>
        </w:tabs>
        <w:autoSpaceDE w:val="0"/>
        <w:autoSpaceDN w:val="0"/>
        <w:adjustRightInd w:val="0"/>
        <w:spacing w:line="440" w:lineRule="exact"/>
        <w:ind w:firstLine="480" w:firstLineChars="200"/>
        <w:rPr>
          <w:rFonts w:ascii="宋体" w:hAnsi="宋体" w:cs="宋体"/>
          <w:color w:val="auto"/>
          <w:sz w:val="24"/>
          <w:highlight w:val="none"/>
          <w:lang w:val="zh-CN"/>
        </w:rPr>
      </w:pPr>
    </w:p>
    <w:p w14:paraId="5DBC1D42">
      <w:pPr>
        <w:tabs>
          <w:tab w:val="left" w:pos="720"/>
        </w:tabs>
        <w:autoSpaceDE w:val="0"/>
        <w:autoSpaceDN w:val="0"/>
        <w:adjustRightInd w:val="0"/>
        <w:spacing w:line="440" w:lineRule="exact"/>
        <w:ind w:firstLine="480" w:firstLineChars="200"/>
        <w:rPr>
          <w:rFonts w:ascii="宋体" w:hAnsi="宋体" w:cs="宋体"/>
          <w:color w:val="auto"/>
          <w:sz w:val="24"/>
          <w:highlight w:val="none"/>
          <w:lang w:val="zh-CN"/>
        </w:rPr>
      </w:pPr>
    </w:p>
    <w:p w14:paraId="7941ABA0">
      <w:pPr>
        <w:pStyle w:val="22"/>
        <w:ind w:firstLine="480"/>
        <w:rPr>
          <w:rFonts w:ascii="宋体" w:hAnsi="宋体" w:cs="宋体"/>
          <w:color w:val="auto"/>
          <w:sz w:val="24"/>
          <w:highlight w:val="none"/>
          <w:lang w:val="zh-CN"/>
        </w:rPr>
      </w:pPr>
    </w:p>
    <w:p w14:paraId="636B5EDA">
      <w:pPr>
        <w:pStyle w:val="22"/>
        <w:ind w:firstLine="480"/>
        <w:rPr>
          <w:rFonts w:ascii="宋体" w:hAnsi="宋体" w:cs="宋体"/>
          <w:color w:val="auto"/>
          <w:sz w:val="24"/>
          <w:highlight w:val="none"/>
          <w:lang w:val="zh-CN"/>
        </w:rPr>
      </w:pPr>
    </w:p>
    <w:p w14:paraId="33A14D29">
      <w:pPr>
        <w:pStyle w:val="22"/>
        <w:ind w:firstLine="480"/>
        <w:rPr>
          <w:rFonts w:ascii="宋体" w:hAnsi="宋体" w:cs="宋体"/>
          <w:color w:val="auto"/>
          <w:sz w:val="24"/>
          <w:highlight w:val="none"/>
          <w:lang w:val="zh-CN"/>
        </w:rPr>
      </w:pPr>
    </w:p>
    <w:p w14:paraId="3F4CEE6F">
      <w:pPr>
        <w:pStyle w:val="22"/>
        <w:ind w:firstLine="480"/>
        <w:rPr>
          <w:rFonts w:ascii="宋体" w:hAnsi="宋体" w:cs="宋体"/>
          <w:color w:val="auto"/>
          <w:sz w:val="24"/>
          <w:highlight w:val="none"/>
          <w:lang w:val="zh-CN"/>
        </w:rPr>
      </w:pPr>
    </w:p>
    <w:p w14:paraId="2DA33CFB">
      <w:pPr>
        <w:pStyle w:val="22"/>
        <w:ind w:firstLine="480"/>
        <w:rPr>
          <w:rFonts w:ascii="宋体" w:hAnsi="宋体" w:cs="宋体"/>
          <w:color w:val="auto"/>
          <w:sz w:val="24"/>
          <w:highlight w:val="none"/>
          <w:lang w:val="zh-CN"/>
        </w:rPr>
      </w:pPr>
    </w:p>
    <w:p w14:paraId="7F710A8B">
      <w:pPr>
        <w:pStyle w:val="22"/>
        <w:ind w:firstLine="480"/>
        <w:rPr>
          <w:rFonts w:ascii="宋体" w:hAnsi="宋体" w:cs="宋体"/>
          <w:color w:val="auto"/>
          <w:sz w:val="24"/>
          <w:highlight w:val="none"/>
          <w:lang w:val="zh-CN"/>
        </w:rPr>
      </w:pPr>
    </w:p>
    <w:p w14:paraId="3061309C">
      <w:pPr>
        <w:pStyle w:val="22"/>
        <w:ind w:firstLine="480"/>
        <w:rPr>
          <w:rFonts w:ascii="宋体" w:hAnsi="宋体" w:cs="宋体"/>
          <w:color w:val="auto"/>
          <w:sz w:val="24"/>
          <w:highlight w:val="none"/>
          <w:lang w:val="zh-CN"/>
        </w:rPr>
      </w:pPr>
    </w:p>
    <w:p w14:paraId="4F93CC24">
      <w:pPr>
        <w:pStyle w:val="22"/>
        <w:ind w:firstLine="480"/>
        <w:rPr>
          <w:rFonts w:ascii="宋体" w:hAnsi="宋体" w:cs="宋体"/>
          <w:color w:val="auto"/>
          <w:sz w:val="24"/>
          <w:highlight w:val="none"/>
          <w:lang w:val="zh-CN"/>
        </w:rPr>
      </w:pPr>
    </w:p>
    <w:p w14:paraId="15035DED">
      <w:pPr>
        <w:pStyle w:val="22"/>
        <w:ind w:firstLine="480"/>
        <w:rPr>
          <w:rFonts w:ascii="宋体" w:hAnsi="宋体" w:cs="宋体"/>
          <w:color w:val="auto"/>
          <w:sz w:val="24"/>
          <w:highlight w:val="none"/>
          <w:lang w:val="zh-CN"/>
        </w:rPr>
      </w:pPr>
    </w:p>
    <w:p w14:paraId="479B0851">
      <w:pPr>
        <w:pStyle w:val="22"/>
        <w:ind w:firstLine="480"/>
        <w:rPr>
          <w:rFonts w:ascii="宋体" w:hAnsi="宋体" w:cs="宋体"/>
          <w:color w:val="auto"/>
          <w:sz w:val="24"/>
          <w:highlight w:val="none"/>
          <w:lang w:val="zh-CN"/>
        </w:rPr>
      </w:pPr>
    </w:p>
    <w:p w14:paraId="7B0D2857">
      <w:pPr>
        <w:pStyle w:val="22"/>
        <w:ind w:firstLine="480"/>
        <w:rPr>
          <w:rFonts w:ascii="宋体" w:hAnsi="宋体" w:cs="宋体"/>
          <w:color w:val="auto"/>
          <w:sz w:val="24"/>
          <w:highlight w:val="none"/>
          <w:lang w:val="zh-CN"/>
        </w:rPr>
      </w:pPr>
    </w:p>
    <w:p w14:paraId="6AA1926B">
      <w:pPr>
        <w:tabs>
          <w:tab w:val="left" w:pos="720"/>
        </w:tabs>
        <w:autoSpaceDE w:val="0"/>
        <w:autoSpaceDN w:val="0"/>
        <w:adjustRightInd w:val="0"/>
        <w:spacing w:line="440" w:lineRule="exact"/>
        <w:ind w:firstLine="480" w:firstLineChars="200"/>
        <w:rPr>
          <w:rFonts w:ascii="宋体" w:hAnsi="宋体" w:cs="宋体"/>
          <w:color w:val="auto"/>
          <w:sz w:val="24"/>
          <w:highlight w:val="none"/>
          <w:lang w:val="zh-CN"/>
        </w:rPr>
      </w:pPr>
    </w:p>
    <w:p w14:paraId="1922E8A8">
      <w:pPr>
        <w:spacing w:before="319" w:after="319"/>
        <w:jc w:val="center"/>
        <w:rPr>
          <w:rFonts w:hint="default" w:ascii="宋体" w:hAnsi="宋体" w:eastAsia="宋体" w:cs="宋体"/>
          <w:bCs/>
          <w:color w:val="auto"/>
          <w:sz w:val="24"/>
          <w:highlight w:val="none"/>
          <w:u w:val="single"/>
          <w:lang w:val="en-US" w:eastAsia="zh-CN"/>
        </w:rPr>
      </w:pPr>
      <w:r>
        <w:rPr>
          <w:rFonts w:hint="eastAsia" w:ascii="宋体" w:hAnsi="宋体" w:cs="宋体"/>
          <w:color w:val="auto"/>
          <w:sz w:val="24"/>
          <w:highlight w:val="none"/>
        </w:rPr>
        <w:t xml:space="preserve">                   供应商（全称并盖章）：</w:t>
      </w:r>
      <w:r>
        <w:rPr>
          <w:rFonts w:hint="eastAsia" w:ascii="宋体" w:hAnsi="宋体" w:cs="宋体"/>
          <w:color w:val="auto"/>
          <w:sz w:val="24"/>
          <w:highlight w:val="none"/>
          <w:u w:val="single"/>
          <w:lang w:val="en-US" w:eastAsia="zh-CN"/>
        </w:rPr>
        <w:t xml:space="preserve">                </w:t>
      </w:r>
    </w:p>
    <w:p w14:paraId="3254562B">
      <w:pPr>
        <w:snapToGrid w:val="0"/>
        <w:spacing w:before="319" w:after="319"/>
        <w:jc w:val="center"/>
        <w:rPr>
          <w:rFonts w:hint="default" w:ascii="宋体" w:hAnsi="宋体" w:eastAsia="宋体" w:cs="宋体"/>
          <w:color w:val="auto"/>
          <w:sz w:val="24"/>
          <w:highlight w:val="none"/>
          <w:u w:val="single"/>
          <w:lang w:val="en-US" w:eastAsia="zh-CN"/>
        </w:rPr>
      </w:pPr>
      <w:r>
        <w:rPr>
          <w:rFonts w:hint="eastAsia" w:ascii="宋体" w:hAnsi="宋体" w:cs="宋体"/>
          <w:color w:val="auto"/>
          <w:sz w:val="24"/>
          <w:highlight w:val="none"/>
        </w:rPr>
        <w:t xml:space="preserve">           法定代表人或被授权人</w:t>
      </w:r>
      <w:r>
        <w:rPr>
          <w:rFonts w:hint="eastAsia" w:ascii="宋体" w:hAnsi="宋体" w:cs="宋体"/>
          <w:bCs/>
          <w:color w:val="auto"/>
          <w:sz w:val="24"/>
          <w:highlight w:val="none"/>
        </w:rPr>
        <w:t>（签字）</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u w:val="single"/>
          <w:lang w:val="en-US" w:eastAsia="zh-CN"/>
        </w:rPr>
        <w:t xml:space="preserve">               </w:t>
      </w:r>
    </w:p>
    <w:p w14:paraId="289D57E7">
      <w:pPr>
        <w:adjustRightInd w:val="0"/>
        <w:snapToGrid w:val="0"/>
        <w:spacing w:line="440" w:lineRule="exact"/>
        <w:ind w:firstLine="3360" w:firstLineChars="1400"/>
        <w:jc w:val="right"/>
        <w:rPr>
          <w:rFonts w:ascii="宋体" w:hAnsi="宋体" w:cs="宋体"/>
          <w:b/>
          <w:bCs/>
          <w:color w:val="auto"/>
          <w:sz w:val="24"/>
          <w:highlight w:val="none"/>
        </w:rPr>
      </w:pPr>
      <w:r>
        <w:rPr>
          <w:rFonts w:hint="eastAsia" w:ascii="宋体" w:hAnsi="宋体" w:cs="宋体"/>
          <w:color w:val="auto"/>
          <w:sz w:val="24"/>
          <w:highlight w:val="none"/>
        </w:rPr>
        <w:t>日</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期：</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年</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日</w:t>
      </w:r>
    </w:p>
    <w:p w14:paraId="0FBD5A29">
      <w:pPr>
        <w:tabs>
          <w:tab w:val="left" w:pos="720"/>
        </w:tabs>
        <w:autoSpaceDE w:val="0"/>
        <w:autoSpaceDN w:val="0"/>
        <w:adjustRightInd w:val="0"/>
        <w:spacing w:line="440" w:lineRule="exact"/>
        <w:ind w:firstLine="480" w:firstLineChars="200"/>
        <w:rPr>
          <w:rFonts w:ascii="宋体" w:hAnsi="宋体" w:cs="宋体"/>
          <w:color w:val="auto"/>
          <w:sz w:val="24"/>
          <w:highlight w:val="none"/>
          <w:lang w:val="zh-CN"/>
        </w:rPr>
      </w:pPr>
    </w:p>
    <w:p w14:paraId="27159B83">
      <w:pPr>
        <w:tabs>
          <w:tab w:val="left" w:pos="720"/>
        </w:tabs>
        <w:autoSpaceDE w:val="0"/>
        <w:autoSpaceDN w:val="0"/>
        <w:adjustRightInd w:val="0"/>
        <w:spacing w:line="440" w:lineRule="exact"/>
        <w:rPr>
          <w:rFonts w:ascii="宋体" w:hAnsi="宋体" w:cs="宋体"/>
          <w:color w:val="auto"/>
          <w:sz w:val="24"/>
          <w:highlight w:val="none"/>
          <w:lang w:val="zh-CN"/>
        </w:rPr>
      </w:pPr>
    </w:p>
    <w:p w14:paraId="713D4103">
      <w:pPr>
        <w:tabs>
          <w:tab w:val="left" w:pos="720"/>
        </w:tabs>
        <w:autoSpaceDE w:val="0"/>
        <w:autoSpaceDN w:val="0"/>
        <w:adjustRightInd w:val="0"/>
        <w:spacing w:line="440" w:lineRule="exact"/>
        <w:rPr>
          <w:rFonts w:ascii="宋体" w:hAnsi="宋体" w:cs="宋体"/>
          <w:color w:val="auto"/>
          <w:sz w:val="24"/>
          <w:highlight w:val="none"/>
          <w:lang w:val="zh-CN"/>
        </w:rPr>
      </w:pPr>
    </w:p>
    <w:p w14:paraId="46A91436">
      <w:pPr>
        <w:spacing w:after="159" w:line="440" w:lineRule="exact"/>
        <w:jc w:val="center"/>
        <w:rPr>
          <w:rFonts w:ascii="宋体" w:hAnsi="宋体" w:cs="宋体"/>
          <w:color w:val="auto"/>
          <w:sz w:val="24"/>
          <w:highlight w:val="none"/>
        </w:rPr>
      </w:pPr>
    </w:p>
    <w:p w14:paraId="66F8B424">
      <w:pPr>
        <w:pStyle w:val="22"/>
        <w:spacing w:after="120"/>
        <w:ind w:firstLine="0" w:firstLineChars="0"/>
        <w:rPr>
          <w:rFonts w:ascii="宋体" w:hAnsi="宋体" w:cs="宋体"/>
          <w:color w:val="auto"/>
          <w:highlight w:val="none"/>
        </w:rPr>
      </w:pPr>
    </w:p>
    <w:p w14:paraId="0AFE1388">
      <w:pPr>
        <w:pStyle w:val="22"/>
        <w:spacing w:after="120"/>
        <w:ind w:firstLine="0" w:firstLineChars="0"/>
        <w:rPr>
          <w:rFonts w:ascii="宋体" w:hAnsi="宋体" w:cs="宋体"/>
          <w:color w:val="auto"/>
          <w:highlight w:val="none"/>
        </w:rPr>
      </w:pPr>
    </w:p>
    <w:p w14:paraId="7A4400C6">
      <w:pPr>
        <w:pStyle w:val="22"/>
        <w:spacing w:after="120"/>
        <w:ind w:firstLine="0" w:firstLineChars="0"/>
        <w:rPr>
          <w:rFonts w:ascii="宋体" w:hAnsi="宋体" w:cs="宋体"/>
          <w:color w:val="auto"/>
          <w:highlight w:val="none"/>
        </w:rPr>
      </w:pPr>
    </w:p>
    <w:p w14:paraId="71600E78">
      <w:pPr>
        <w:pStyle w:val="22"/>
        <w:spacing w:after="120"/>
        <w:ind w:firstLine="0" w:firstLineChars="0"/>
        <w:rPr>
          <w:rFonts w:ascii="宋体" w:hAnsi="宋体" w:cs="宋体"/>
          <w:color w:val="auto"/>
          <w:highlight w:val="none"/>
        </w:rPr>
      </w:pPr>
    </w:p>
    <w:p w14:paraId="27A27097">
      <w:pPr>
        <w:pStyle w:val="22"/>
        <w:spacing w:after="120"/>
        <w:ind w:firstLine="0" w:firstLineChars="0"/>
        <w:rPr>
          <w:rFonts w:ascii="宋体" w:hAnsi="宋体" w:cs="宋体"/>
          <w:color w:val="auto"/>
          <w:highlight w:val="none"/>
        </w:rPr>
      </w:pPr>
    </w:p>
    <w:p w14:paraId="1CF412BF">
      <w:pPr>
        <w:pStyle w:val="22"/>
        <w:spacing w:after="120"/>
        <w:ind w:firstLine="0" w:firstLineChars="0"/>
        <w:rPr>
          <w:rFonts w:ascii="宋体" w:hAnsi="宋体" w:cs="宋体"/>
          <w:color w:val="auto"/>
          <w:highlight w:val="none"/>
        </w:rPr>
      </w:pPr>
    </w:p>
    <w:p w14:paraId="6F2D720B">
      <w:pPr>
        <w:spacing w:after="159" w:line="440" w:lineRule="exact"/>
        <w:jc w:val="center"/>
        <w:outlineLvl w:val="1"/>
        <w:rPr>
          <w:rFonts w:ascii="宋体" w:hAnsi="宋体" w:cs="宋体"/>
          <w:b/>
          <w:bCs/>
          <w:color w:val="auto"/>
          <w:kern w:val="0"/>
          <w:sz w:val="30"/>
          <w:szCs w:val="30"/>
          <w:highlight w:val="none"/>
        </w:rPr>
      </w:pPr>
      <w:r>
        <w:rPr>
          <w:rFonts w:hint="eastAsia" w:ascii="宋体" w:hAnsi="宋体" w:cs="宋体"/>
          <w:b/>
          <w:bCs/>
          <w:color w:val="auto"/>
          <w:kern w:val="0"/>
          <w:sz w:val="30"/>
          <w:szCs w:val="30"/>
          <w:highlight w:val="none"/>
          <w:lang w:val="en-US" w:eastAsia="zh-CN"/>
        </w:rPr>
        <w:t>13</w:t>
      </w:r>
      <w:r>
        <w:rPr>
          <w:rFonts w:hint="eastAsia" w:ascii="宋体" w:hAnsi="宋体" w:cs="宋体"/>
          <w:b/>
          <w:bCs/>
          <w:color w:val="auto"/>
          <w:kern w:val="0"/>
          <w:sz w:val="30"/>
          <w:szCs w:val="30"/>
          <w:highlight w:val="none"/>
        </w:rPr>
        <w:t>、申请人的资格要求证明材料</w:t>
      </w:r>
    </w:p>
    <w:p w14:paraId="61591B7E">
      <w:pPr>
        <w:spacing w:after="159" w:line="440" w:lineRule="exact"/>
        <w:jc w:val="center"/>
        <w:outlineLvl w:val="1"/>
        <w:rPr>
          <w:rFonts w:ascii="宋体" w:hAnsi="宋体" w:cs="宋体"/>
          <w:b/>
          <w:bCs/>
          <w:color w:val="auto"/>
          <w:kern w:val="0"/>
          <w:sz w:val="30"/>
          <w:szCs w:val="30"/>
          <w:highlight w:val="none"/>
        </w:rPr>
      </w:pPr>
      <w:r>
        <w:rPr>
          <w:rFonts w:hint="eastAsia" w:ascii="宋体" w:hAnsi="宋体" w:cs="宋体"/>
          <w:b/>
          <w:bCs/>
          <w:color w:val="auto"/>
          <w:kern w:val="0"/>
          <w:sz w:val="30"/>
          <w:szCs w:val="30"/>
          <w:highlight w:val="none"/>
        </w:rPr>
        <w:br w:type="page"/>
      </w:r>
      <w:r>
        <w:rPr>
          <w:rFonts w:hint="eastAsia" w:ascii="宋体" w:hAnsi="宋体" w:cs="宋体"/>
          <w:b/>
          <w:bCs/>
          <w:color w:val="auto"/>
          <w:kern w:val="0"/>
          <w:sz w:val="30"/>
          <w:szCs w:val="30"/>
          <w:highlight w:val="none"/>
        </w:rPr>
        <w:t>1</w:t>
      </w:r>
      <w:r>
        <w:rPr>
          <w:rFonts w:hint="eastAsia" w:ascii="宋体" w:hAnsi="宋体" w:cs="宋体"/>
          <w:b/>
          <w:bCs/>
          <w:color w:val="auto"/>
          <w:kern w:val="0"/>
          <w:sz w:val="30"/>
          <w:szCs w:val="30"/>
          <w:highlight w:val="none"/>
          <w:lang w:val="en-US" w:eastAsia="zh-CN"/>
        </w:rPr>
        <w:t>4</w:t>
      </w:r>
      <w:r>
        <w:rPr>
          <w:rFonts w:hint="eastAsia" w:ascii="宋体" w:hAnsi="宋体" w:cs="宋体"/>
          <w:b/>
          <w:bCs/>
          <w:color w:val="auto"/>
          <w:kern w:val="0"/>
          <w:sz w:val="30"/>
          <w:szCs w:val="30"/>
          <w:highlight w:val="none"/>
        </w:rPr>
        <w:t>、供应商认为需要的其它材料</w:t>
      </w:r>
    </w:p>
    <w:p w14:paraId="79D01945">
      <w:pPr>
        <w:spacing w:after="0" w:line="360" w:lineRule="auto"/>
        <w:ind w:left="19" w:right="0" w:firstLine="0"/>
        <w:jc w:val="center"/>
        <w:rPr>
          <w:b/>
          <w:color w:val="auto"/>
        </w:rPr>
      </w:pPr>
      <w:r>
        <w:rPr>
          <w:rFonts w:hint="eastAsia" w:ascii="Times New Roman" w:hAnsi="Times New Roman" w:eastAsia="宋体" w:cs="Times New Roman"/>
          <w:b/>
          <w:color w:val="auto"/>
          <w:sz w:val="32"/>
          <w:lang w:eastAsia="zh-CN"/>
        </w:rPr>
        <w:t>（</w:t>
      </w:r>
      <w:r>
        <w:rPr>
          <w:rFonts w:hint="eastAsia" w:ascii="Times New Roman" w:hAnsi="Times New Roman" w:eastAsia="宋体" w:cs="Times New Roman"/>
          <w:b/>
          <w:color w:val="auto"/>
          <w:sz w:val="32"/>
          <w:lang w:val="en-US" w:eastAsia="zh-CN"/>
        </w:rPr>
        <w:t>1</w:t>
      </w:r>
      <w:r>
        <w:rPr>
          <w:rFonts w:hint="eastAsia" w:ascii="Times New Roman" w:hAnsi="Times New Roman" w:eastAsia="宋体" w:cs="Times New Roman"/>
          <w:b/>
          <w:color w:val="auto"/>
          <w:sz w:val="32"/>
          <w:lang w:eastAsia="zh-CN"/>
        </w:rPr>
        <w:t>）</w:t>
      </w:r>
      <w:r>
        <w:rPr>
          <w:rFonts w:ascii="Times New Roman" w:hAnsi="Times New Roman" w:eastAsia="宋体" w:cs="Times New Roman"/>
          <w:b/>
          <w:color w:val="auto"/>
          <w:sz w:val="32"/>
        </w:rPr>
        <w:t>联</w:t>
      </w:r>
      <w:r>
        <w:rPr>
          <w:b/>
          <w:color w:val="auto"/>
          <w:sz w:val="32"/>
        </w:rPr>
        <w:t>合投标协议书（</w:t>
      </w:r>
      <w:r>
        <w:rPr>
          <w:rFonts w:hint="eastAsia"/>
          <w:b/>
          <w:color w:val="auto"/>
          <w:sz w:val="32"/>
          <w:lang w:val="en-US" w:eastAsia="zh-CN"/>
        </w:rPr>
        <w:t>仅适用C包</w:t>
      </w:r>
      <w:r>
        <w:rPr>
          <w:b/>
          <w:color w:val="auto"/>
          <w:sz w:val="32"/>
        </w:rPr>
        <w:t>）</w:t>
      </w:r>
    </w:p>
    <w:p w14:paraId="390BD240">
      <w:pPr>
        <w:spacing w:after="0" w:line="360" w:lineRule="auto"/>
        <w:ind w:left="-5"/>
        <w:rPr>
          <w:color w:val="auto"/>
        </w:rPr>
      </w:pPr>
      <w:r>
        <w:rPr>
          <w:color w:val="auto"/>
        </w:rPr>
        <w:t>甲方：乙方：</w:t>
      </w:r>
    </w:p>
    <w:p w14:paraId="7C3A9968">
      <w:pPr>
        <w:spacing w:after="0" w:line="360" w:lineRule="auto"/>
        <w:ind w:left="490" w:right="0"/>
        <w:rPr>
          <w:color w:val="auto"/>
        </w:rPr>
      </w:pPr>
      <w:r>
        <w:rPr>
          <w:color w:val="auto"/>
        </w:rPr>
        <w:t xml:space="preserve">（如果有的话，可按甲、乙、丙、丁…序列增加） </w:t>
      </w:r>
    </w:p>
    <w:p w14:paraId="28A7603A">
      <w:pPr>
        <w:spacing w:after="0" w:line="360" w:lineRule="auto"/>
        <w:ind w:left="-13" w:right="0" w:firstLine="480"/>
        <w:rPr>
          <w:color w:val="auto"/>
        </w:rPr>
      </w:pPr>
      <w:r>
        <w:rPr>
          <w:color w:val="auto"/>
        </w:rPr>
        <w:t>各方经协商，就响应</w:t>
      </w:r>
      <w:r>
        <w:rPr>
          <w:color w:val="auto"/>
          <w:u w:val="single" w:color="000000"/>
        </w:rPr>
        <w:t xml:space="preserve">                </w:t>
      </w:r>
      <w:r>
        <w:rPr>
          <w:color w:val="auto"/>
        </w:rPr>
        <w:t>组织实施的编号为</w:t>
      </w:r>
      <w:r>
        <w:rPr>
          <w:color w:val="auto"/>
          <w:u w:val="single" w:color="000000"/>
        </w:rPr>
        <w:t xml:space="preserve">              </w:t>
      </w:r>
      <w:r>
        <w:rPr>
          <w:color w:val="auto"/>
        </w:rPr>
        <w:t xml:space="preserve">的采购活动联合进行投标之事宜，达成如下协议： </w:t>
      </w:r>
    </w:p>
    <w:p w14:paraId="3CD32260">
      <w:pPr>
        <w:numPr>
          <w:ilvl w:val="0"/>
          <w:numId w:val="7"/>
        </w:numPr>
        <w:spacing w:after="0" w:line="360" w:lineRule="auto"/>
        <w:ind w:right="0" w:firstLine="480"/>
        <w:rPr>
          <w:color w:val="auto"/>
        </w:rPr>
      </w:pPr>
      <w:r>
        <w:rPr>
          <w:color w:val="auto"/>
        </w:rPr>
        <w:t>各方一致决定，以</w:t>
      </w:r>
      <w:r>
        <w:rPr>
          <w:color w:val="auto"/>
          <w:u w:val="single" w:color="000000"/>
        </w:rPr>
        <w:t xml:space="preserve">                 </w:t>
      </w:r>
      <w:r>
        <w:rPr>
          <w:color w:val="auto"/>
        </w:rPr>
        <w:t xml:space="preserve">为主投方进行投标，并按照采购文件的规定分别提交资格文件。 </w:t>
      </w:r>
    </w:p>
    <w:p w14:paraId="50DA6259">
      <w:pPr>
        <w:numPr>
          <w:ilvl w:val="0"/>
          <w:numId w:val="7"/>
        </w:numPr>
        <w:spacing w:after="0" w:line="360" w:lineRule="auto"/>
        <w:ind w:right="0" w:firstLine="480"/>
        <w:rPr>
          <w:color w:val="auto"/>
        </w:rPr>
      </w:pPr>
      <w:r>
        <w:rPr>
          <w:color w:val="auto"/>
        </w:rPr>
        <w:t xml:space="preserve">在本次投标过程中，主投方的法定代表人或授权代理人根据采购文件规定及投标内容而对集中采购代理机构和采购人所作的任何合法承诺，包括书面澄清及响应等均对联合投标各方产生约束力。如果中标并签订合同，则联合投标各方将共同履行对集中采购代理机构和采购人所负有的全部义务并就采购合同约定的事项对采购人承担连带责任。 </w:t>
      </w:r>
    </w:p>
    <w:p w14:paraId="479595DF">
      <w:pPr>
        <w:numPr>
          <w:ilvl w:val="0"/>
          <w:numId w:val="7"/>
        </w:numPr>
        <w:spacing w:after="0" w:line="360" w:lineRule="auto"/>
        <w:ind w:right="0" w:firstLine="480"/>
        <w:rPr>
          <w:color w:val="auto"/>
        </w:rPr>
      </w:pPr>
      <w:r>
        <w:rPr>
          <w:color w:val="auto"/>
        </w:rPr>
        <w:t xml:space="preserve">联合投标其余各方保证对主投方为响应本次采购而提供的产品和服务提供全部质量保证及售后服务支持。 </w:t>
      </w:r>
    </w:p>
    <w:p w14:paraId="317227DE">
      <w:pPr>
        <w:numPr>
          <w:ilvl w:val="0"/>
          <w:numId w:val="7"/>
        </w:numPr>
        <w:spacing w:after="0" w:line="360" w:lineRule="auto"/>
        <w:ind w:right="0" w:firstLine="480"/>
        <w:rPr>
          <w:color w:val="auto"/>
        </w:rPr>
      </w:pPr>
      <w:r>
        <w:rPr>
          <w:color w:val="auto"/>
        </w:rPr>
        <w:t xml:space="preserve">关于联合各方工作、权利和义务的约定。 </w:t>
      </w:r>
    </w:p>
    <w:p w14:paraId="2DBC0988">
      <w:pPr>
        <w:numPr>
          <w:ilvl w:val="0"/>
          <w:numId w:val="7"/>
        </w:numPr>
        <w:spacing w:after="0" w:line="360" w:lineRule="auto"/>
        <w:ind w:right="0" w:firstLine="480"/>
        <w:rPr>
          <w:color w:val="auto"/>
        </w:rPr>
      </w:pPr>
      <w:r>
        <w:rPr>
          <w:color w:val="auto"/>
        </w:rPr>
        <w:t xml:space="preserve">关于联合投标授权委托代理人的代理权限。 </w:t>
      </w:r>
    </w:p>
    <w:p w14:paraId="7D9BB406">
      <w:pPr>
        <w:numPr>
          <w:ilvl w:val="0"/>
          <w:numId w:val="7"/>
        </w:numPr>
        <w:spacing w:after="0" w:line="360" w:lineRule="auto"/>
        <w:ind w:right="0" w:firstLine="480"/>
        <w:rPr>
          <w:color w:val="auto"/>
        </w:rPr>
      </w:pPr>
      <w:r>
        <w:rPr>
          <w:color w:val="auto"/>
        </w:rPr>
        <w:t xml:space="preserve">有关本次联合投标的其他事宜： </w:t>
      </w:r>
    </w:p>
    <w:p w14:paraId="1BE9FC95">
      <w:pPr>
        <w:numPr>
          <w:ilvl w:val="0"/>
          <w:numId w:val="7"/>
        </w:numPr>
        <w:spacing w:after="0" w:line="360" w:lineRule="auto"/>
        <w:ind w:right="0" w:firstLine="480"/>
        <w:rPr>
          <w:color w:val="auto"/>
        </w:rPr>
      </w:pPr>
      <w:r>
        <w:rPr>
          <w:color w:val="auto"/>
        </w:rPr>
        <w:t xml:space="preserve">本协议作为投标文件的一部分，联合投标各方不得以任何形式对上述实质内容进行修改或撤销。 </w:t>
      </w:r>
    </w:p>
    <w:p w14:paraId="48722137">
      <w:pPr>
        <w:numPr>
          <w:ilvl w:val="0"/>
          <w:numId w:val="7"/>
        </w:numPr>
        <w:spacing w:after="0" w:line="360" w:lineRule="auto"/>
        <w:ind w:right="0" w:firstLine="480"/>
        <w:rPr>
          <w:color w:val="auto"/>
        </w:rPr>
      </w:pPr>
      <w:r>
        <w:rPr>
          <w:color w:val="auto"/>
        </w:rPr>
        <w:t xml:space="preserve">本协议书于XX年XX月XX日起双方盖章签字生效至XX年XX月XX日终止，特此声明。 </w:t>
      </w:r>
    </w:p>
    <w:p w14:paraId="3AE4D69A">
      <w:pPr>
        <w:spacing w:after="0" w:line="360" w:lineRule="auto"/>
        <w:ind w:left="-5" w:right="0"/>
        <w:rPr>
          <w:color w:val="auto"/>
        </w:rPr>
      </w:pPr>
      <w:r>
        <w:rPr>
          <w:color w:val="auto"/>
        </w:rPr>
        <w:t>投标人甲：（公章）</w:t>
      </w:r>
      <w:r>
        <w:rPr>
          <w:color w:val="auto"/>
          <w:u w:val="single" w:color="000000"/>
        </w:rPr>
        <w:t xml:space="preserve">                                   .</w:t>
      </w:r>
    </w:p>
    <w:p w14:paraId="4FB3B34F">
      <w:pPr>
        <w:spacing w:after="0" w:line="360" w:lineRule="auto"/>
        <w:ind w:left="-5" w:right="0"/>
        <w:rPr>
          <w:color w:val="auto"/>
        </w:rPr>
      </w:pPr>
      <w:r>
        <w:rPr>
          <w:color w:val="auto"/>
        </w:rPr>
        <w:t>法定地址：</w:t>
      </w:r>
      <w:r>
        <w:rPr>
          <w:color w:val="auto"/>
          <w:u w:val="single" w:color="000000"/>
        </w:rPr>
        <w:t xml:space="preserve">                                          .</w:t>
      </w:r>
      <w:r>
        <w:rPr>
          <w:color w:val="auto"/>
        </w:rPr>
        <w:t xml:space="preserve"> </w:t>
      </w:r>
    </w:p>
    <w:p w14:paraId="2D5BD0A8">
      <w:pPr>
        <w:spacing w:after="0" w:line="360" w:lineRule="auto"/>
        <w:ind w:left="-5" w:right="0"/>
        <w:rPr>
          <w:color w:val="auto"/>
        </w:rPr>
      </w:pPr>
      <w:r>
        <w:rPr>
          <w:color w:val="auto"/>
        </w:rPr>
        <w:t>法定代表人（或法人授权代表）：</w:t>
      </w:r>
      <w:r>
        <w:rPr>
          <w:color w:val="auto"/>
          <w:u w:val="single" w:color="000000"/>
        </w:rPr>
        <w:t xml:space="preserve">                        </w:t>
      </w:r>
      <w:r>
        <w:rPr>
          <w:color w:val="auto"/>
        </w:rPr>
        <w:t>（</w:t>
      </w:r>
      <w:r>
        <w:rPr>
          <w:rFonts w:hint="eastAsia"/>
          <w:color w:val="auto"/>
        </w:rPr>
        <w:t>签字或盖章</w:t>
      </w:r>
      <w:r>
        <w:rPr>
          <w:color w:val="auto"/>
        </w:rPr>
        <w:t xml:space="preserve">） </w:t>
      </w:r>
    </w:p>
    <w:p w14:paraId="6BB8304A">
      <w:pPr>
        <w:spacing w:after="0" w:line="360" w:lineRule="auto"/>
        <w:ind w:left="-5" w:right="0"/>
        <w:rPr>
          <w:color w:val="auto"/>
        </w:rPr>
      </w:pPr>
      <w:r>
        <w:rPr>
          <w:color w:val="auto"/>
        </w:rPr>
        <w:t xml:space="preserve">投标人乙：（公章）  </w:t>
      </w:r>
      <w:r>
        <w:rPr>
          <w:color w:val="auto"/>
          <w:u w:val="single" w:color="000000"/>
        </w:rPr>
        <w:t xml:space="preserve">                                 .</w:t>
      </w:r>
      <w:r>
        <w:rPr>
          <w:color w:val="auto"/>
        </w:rPr>
        <w:t xml:space="preserve"> </w:t>
      </w:r>
    </w:p>
    <w:p w14:paraId="33676F4F">
      <w:pPr>
        <w:spacing w:after="0" w:line="360" w:lineRule="auto"/>
        <w:ind w:left="-5" w:right="0"/>
        <w:rPr>
          <w:color w:val="auto"/>
        </w:rPr>
      </w:pPr>
      <w:r>
        <w:rPr>
          <w:color w:val="auto"/>
        </w:rPr>
        <w:t>法定地址：</w:t>
      </w:r>
      <w:r>
        <w:rPr>
          <w:color w:val="auto"/>
          <w:u w:val="single" w:color="000000"/>
        </w:rPr>
        <w:t xml:space="preserve">                                          .</w:t>
      </w:r>
      <w:r>
        <w:rPr>
          <w:color w:val="auto"/>
        </w:rPr>
        <w:t xml:space="preserve"> </w:t>
      </w:r>
    </w:p>
    <w:p w14:paraId="3A703B78">
      <w:pPr>
        <w:spacing w:after="0" w:line="360" w:lineRule="auto"/>
        <w:ind w:left="-5" w:right="0"/>
        <w:rPr>
          <w:color w:val="auto"/>
        </w:rPr>
      </w:pPr>
      <w:r>
        <w:rPr>
          <w:color w:val="auto"/>
        </w:rPr>
        <w:t>法定代表人（或法人授权代表）：</w:t>
      </w:r>
      <w:r>
        <w:rPr>
          <w:color w:val="auto"/>
          <w:u w:val="single" w:color="000000"/>
        </w:rPr>
        <w:t xml:space="preserve">                        </w:t>
      </w:r>
      <w:r>
        <w:rPr>
          <w:color w:val="auto"/>
        </w:rPr>
        <w:t>（</w:t>
      </w:r>
      <w:r>
        <w:rPr>
          <w:rFonts w:hint="eastAsia"/>
          <w:color w:val="auto"/>
        </w:rPr>
        <w:t>签字或盖章</w:t>
      </w:r>
      <w:r>
        <w:rPr>
          <w:color w:val="auto"/>
        </w:rPr>
        <w:t xml:space="preserve">） </w:t>
      </w:r>
    </w:p>
    <w:p w14:paraId="47954B8D">
      <w:pPr>
        <w:pStyle w:val="22"/>
        <w:spacing w:after="120"/>
        <w:ind w:firstLine="0" w:firstLineChars="0"/>
        <w:rPr>
          <w:rFonts w:hint="eastAsia" w:ascii="宋体" w:hAnsi="宋体" w:eastAsia="宋体" w:cs="宋体"/>
          <w:color w:val="auto"/>
          <w:highlight w:val="none"/>
          <w:lang w:eastAsia="zh-CN"/>
        </w:rPr>
        <w:sectPr>
          <w:headerReference r:id="rId12" w:type="default"/>
          <w:footerReference r:id="rId13" w:type="default"/>
          <w:pgSz w:w="11906" w:h="16838"/>
          <w:pgMar w:top="1417" w:right="1587" w:bottom="1417" w:left="1587" w:header="851" w:footer="992" w:gutter="0"/>
          <w:pgNumType w:start="40"/>
          <w:cols w:space="0" w:num="1"/>
          <w:rtlGutter w:val="0"/>
          <w:docGrid w:type="lines" w:linePitch="326" w:charSpace="0"/>
        </w:sectPr>
      </w:pPr>
      <w:r>
        <w:rPr>
          <w:color w:val="auto"/>
        </w:rPr>
        <w:t xml:space="preserve">                                          日    期：</w:t>
      </w:r>
      <w:r>
        <w:rPr>
          <w:color w:val="auto"/>
          <w:u w:val="single" w:color="000000"/>
        </w:rPr>
        <w:t xml:space="preserve">                 </w:t>
      </w:r>
    </w:p>
    <w:p w14:paraId="1F2C8C2E">
      <w:pPr>
        <w:pStyle w:val="2"/>
        <w:numPr>
          <w:ilvl w:val="2"/>
          <w:numId w:val="0"/>
        </w:numPr>
        <w:jc w:val="center"/>
        <w:rPr>
          <w:rStyle w:val="40"/>
          <w:b/>
          <w:bCs/>
          <w:color w:val="auto"/>
          <w:highlight w:val="none"/>
        </w:rPr>
      </w:pPr>
      <w:bookmarkStart w:id="24" w:name="_Toc21377"/>
      <w:r>
        <w:rPr>
          <w:rStyle w:val="40"/>
          <w:rFonts w:hint="eastAsia"/>
          <w:b/>
          <w:bCs/>
          <w:color w:val="auto"/>
          <w:highlight w:val="none"/>
        </w:rPr>
        <w:t>第五部分  采购需求</w:t>
      </w:r>
      <w:bookmarkEnd w:id="24"/>
    </w:p>
    <w:p w14:paraId="4F71AC5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一、项目概况</w:t>
      </w:r>
    </w:p>
    <w:p w14:paraId="336960D9">
      <w:pPr>
        <w:pStyle w:val="55"/>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项目名称：</w:t>
      </w:r>
      <w:r>
        <w:rPr>
          <w:rFonts w:hint="eastAsia" w:cs="宋体"/>
          <w:color w:val="auto"/>
          <w:sz w:val="24"/>
          <w:szCs w:val="24"/>
          <w:highlight w:val="none"/>
          <w:lang w:val="en-US" w:eastAsia="zh-CN"/>
        </w:rPr>
        <w:t>海口市琼山区振群幼儿园2025年秋季设施设备采购项目</w:t>
      </w:r>
    </w:p>
    <w:p w14:paraId="5F13A9B8">
      <w:pPr>
        <w:pStyle w:val="55"/>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cs="宋体"/>
          <w:color w:val="auto"/>
          <w:sz w:val="24"/>
          <w:highlight w:val="none"/>
          <w:lang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预算金额：</w:t>
      </w:r>
      <w:r>
        <w:rPr>
          <w:rFonts w:hint="eastAsia" w:cs="宋体"/>
          <w:color w:val="auto"/>
          <w:sz w:val="24"/>
          <w:highlight w:val="none"/>
          <w:lang w:val="en-US" w:eastAsia="zh-CN"/>
        </w:rPr>
        <w:t>1822903.00元（其中A包：厨房设备347687.00元；B包：教学设备999780.00元；C包：办公用品475436.00元）</w:t>
      </w:r>
      <w:r>
        <w:rPr>
          <w:rFonts w:hint="eastAsia" w:cs="宋体"/>
          <w:color w:val="auto"/>
          <w:sz w:val="24"/>
          <w:highlight w:val="none"/>
          <w:lang w:eastAsia="zh-CN"/>
        </w:rPr>
        <w:t>。</w:t>
      </w:r>
    </w:p>
    <w:p w14:paraId="299DB62A">
      <w:pPr>
        <w:pStyle w:val="55"/>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cs="宋体"/>
          <w:color w:val="auto"/>
          <w:sz w:val="24"/>
          <w:szCs w:val="24"/>
          <w:highlight w:val="none"/>
          <w:lang w:eastAsia="zh-CN"/>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最高限价：</w:t>
      </w:r>
      <w:r>
        <w:rPr>
          <w:rFonts w:hint="eastAsia" w:cs="宋体"/>
          <w:color w:val="auto"/>
          <w:sz w:val="24"/>
          <w:highlight w:val="none"/>
          <w:lang w:val="en-US" w:eastAsia="zh-CN"/>
        </w:rPr>
        <w:t>1822903.00元（其中A包：厨房设备347687.00元；B包：教学设备999780.00元；C包：办公用品475436.00元）</w:t>
      </w:r>
      <w:r>
        <w:rPr>
          <w:rFonts w:hint="eastAsia" w:ascii="宋体" w:hAnsi="宋体" w:cs="宋体"/>
          <w:b/>
          <w:bCs/>
          <w:color w:val="auto"/>
          <w:sz w:val="24"/>
          <w:highlight w:val="none"/>
        </w:rPr>
        <w:t>超出最高限价</w:t>
      </w:r>
      <w:r>
        <w:rPr>
          <w:rFonts w:hint="eastAsia" w:ascii="宋体" w:hAnsi="宋体" w:cs="宋体"/>
          <w:b/>
          <w:bCs/>
          <w:color w:val="auto"/>
          <w:sz w:val="24"/>
          <w:highlight w:val="none"/>
          <w:lang w:eastAsia="zh-CN"/>
        </w:rPr>
        <w:t>及单项最高限价</w:t>
      </w:r>
      <w:r>
        <w:rPr>
          <w:rFonts w:hint="eastAsia" w:ascii="宋体" w:hAnsi="宋体" w:cs="宋体"/>
          <w:b/>
          <w:bCs/>
          <w:color w:val="auto"/>
          <w:sz w:val="24"/>
          <w:highlight w:val="none"/>
        </w:rPr>
        <w:t>的投标报价，按无效响应处理</w:t>
      </w:r>
      <w:r>
        <w:rPr>
          <w:rFonts w:hint="eastAsia" w:cs="宋体"/>
          <w:color w:val="auto"/>
          <w:sz w:val="24"/>
          <w:szCs w:val="24"/>
          <w:highlight w:val="none"/>
          <w:lang w:eastAsia="zh-CN"/>
        </w:rPr>
        <w:t>。</w:t>
      </w:r>
    </w:p>
    <w:p w14:paraId="239F0A03">
      <w:pPr>
        <w:pStyle w:val="55"/>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default" w:cs="宋体"/>
          <w:b/>
          <w:bCs/>
          <w:color w:val="auto"/>
          <w:sz w:val="24"/>
          <w:szCs w:val="24"/>
          <w:highlight w:val="none"/>
          <w:lang w:val="en-US" w:eastAsia="zh-CN"/>
        </w:rPr>
      </w:pPr>
      <w:r>
        <w:rPr>
          <w:rFonts w:hint="eastAsia" w:cs="宋体"/>
          <w:b/>
          <w:bCs/>
          <w:color w:val="auto"/>
          <w:sz w:val="24"/>
          <w:szCs w:val="24"/>
          <w:highlight w:val="none"/>
          <w:lang w:val="en-US" w:eastAsia="zh-CN"/>
        </w:rPr>
        <w:t>4、本项目核心产品：钢琴</w:t>
      </w:r>
    </w:p>
    <w:p w14:paraId="0BDFE323">
      <w:pPr>
        <w:pStyle w:val="5"/>
        <w:keepNext/>
        <w:keepLines/>
        <w:pageBreakBefore w:val="0"/>
        <w:widowControl w:val="0"/>
        <w:kinsoku/>
        <w:wordWrap/>
        <w:overflowPunct/>
        <w:topLinePunct w:val="0"/>
        <w:autoSpaceDE/>
        <w:autoSpaceDN/>
        <w:bidi w:val="0"/>
        <w:adjustRightInd/>
        <w:snapToGrid/>
        <w:spacing w:after="0" w:line="240" w:lineRule="auto"/>
        <w:textAlignment w:val="auto"/>
        <w:rPr>
          <w:rFonts w:hint="eastAsia"/>
          <w:color w:val="auto"/>
          <w:highlight w:val="none"/>
        </w:rPr>
      </w:pPr>
      <w:r>
        <w:rPr>
          <w:rFonts w:hint="eastAsia" w:ascii="宋体" w:hAnsi="宋体" w:eastAsia="宋体" w:cs="宋体"/>
          <w:b/>
          <w:color w:val="auto"/>
          <w:sz w:val="24"/>
          <w:szCs w:val="24"/>
          <w:highlight w:val="none"/>
          <w:lang w:val="en-US" w:eastAsia="zh-CN"/>
        </w:rPr>
        <w:t>二、采购清单及技术参数</w:t>
      </w:r>
    </w:p>
    <w:p w14:paraId="1A875257">
      <w:pPr>
        <w:jc w:val="center"/>
        <w:rPr>
          <w:rFonts w:hint="eastAsia" w:ascii="宋体" w:hAnsi="宋体" w:eastAsia="宋体" w:cs="宋体"/>
          <w:b/>
          <w:color w:val="auto"/>
          <w:sz w:val="52"/>
          <w:szCs w:val="52"/>
          <w:highlight w:val="none"/>
          <w:lang w:val="en-US" w:eastAsia="zh-CN"/>
        </w:rPr>
      </w:pPr>
      <w:r>
        <w:rPr>
          <w:rFonts w:hint="eastAsia" w:ascii="宋体" w:hAnsi="宋体" w:eastAsia="宋体" w:cs="宋体"/>
          <w:b/>
          <w:color w:val="auto"/>
          <w:sz w:val="52"/>
          <w:szCs w:val="52"/>
          <w:highlight w:val="none"/>
          <w:lang w:val="en-US" w:eastAsia="zh-CN"/>
        </w:rPr>
        <w:t>A包：厨房设备</w:t>
      </w:r>
    </w:p>
    <w:tbl>
      <w:tblPr>
        <w:tblStyle w:val="23"/>
        <w:tblW w:w="861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774"/>
        <w:gridCol w:w="1020"/>
        <w:gridCol w:w="2627"/>
        <w:gridCol w:w="618"/>
        <w:gridCol w:w="618"/>
        <w:gridCol w:w="797"/>
        <w:gridCol w:w="1159"/>
      </w:tblGrid>
      <w:tr w14:paraId="32EC9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5" w:hRule="atLeast"/>
        </w:trPr>
        <w:tc>
          <w:tcPr>
            <w:tcW w:w="8613" w:type="dxa"/>
            <w:gridSpan w:val="7"/>
            <w:tcBorders>
              <w:top w:val="single" w:color="000000" w:sz="4" w:space="0"/>
              <w:left w:val="single" w:color="000000" w:sz="4" w:space="0"/>
              <w:bottom w:val="nil"/>
              <w:right w:val="single" w:color="000000" w:sz="4" w:space="0"/>
            </w:tcBorders>
            <w:shd w:val="clear" w:color="auto" w:fill="auto"/>
            <w:noWrap/>
            <w:vAlign w:val="center"/>
          </w:tcPr>
          <w:p w14:paraId="482021FC">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3190875</wp:posOffset>
                  </wp:positionH>
                  <wp:positionV relativeFrom="paragraph">
                    <wp:posOffset>0</wp:posOffset>
                  </wp:positionV>
                  <wp:extent cx="10160" cy="8890"/>
                  <wp:effectExtent l="0" t="0" r="0" b="0"/>
                  <wp:wrapNone/>
                  <wp:docPr id="34" name="Picture_1"/>
                  <wp:cNvGraphicFramePr/>
                  <a:graphic xmlns:a="http://schemas.openxmlformats.org/drawingml/2006/main">
                    <a:graphicData uri="http://schemas.openxmlformats.org/drawingml/2006/picture">
                      <pic:pic xmlns:pic="http://schemas.openxmlformats.org/drawingml/2006/picture">
                        <pic:nvPicPr>
                          <pic:cNvPr id="34" name="Picture_1"/>
                          <pic:cNvPicPr/>
                        </pic:nvPicPr>
                        <pic:blipFill>
                          <a:blip r:embed="rId16"/>
                          <a:stretch>
                            <a:fillRect/>
                          </a:stretch>
                        </pic:blipFill>
                        <pic:spPr>
                          <a:xfrm>
                            <a:off x="0" y="0"/>
                            <a:ext cx="10160" cy="889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3190875</wp:posOffset>
                  </wp:positionH>
                  <wp:positionV relativeFrom="paragraph">
                    <wp:posOffset>0</wp:posOffset>
                  </wp:positionV>
                  <wp:extent cx="10160" cy="8890"/>
                  <wp:effectExtent l="0" t="0" r="0" b="0"/>
                  <wp:wrapNone/>
                  <wp:docPr id="3" name="Picture_3"/>
                  <wp:cNvGraphicFramePr/>
                  <a:graphic xmlns:a="http://schemas.openxmlformats.org/drawingml/2006/main">
                    <a:graphicData uri="http://schemas.openxmlformats.org/drawingml/2006/picture">
                      <pic:pic xmlns:pic="http://schemas.openxmlformats.org/drawingml/2006/picture">
                        <pic:nvPicPr>
                          <pic:cNvPr id="3" name="Picture_3"/>
                          <pic:cNvPicPr/>
                        </pic:nvPicPr>
                        <pic:blipFill>
                          <a:blip r:embed="rId16"/>
                          <a:stretch>
                            <a:fillRect/>
                          </a:stretch>
                        </pic:blipFill>
                        <pic:spPr>
                          <a:xfrm>
                            <a:off x="0" y="0"/>
                            <a:ext cx="10160" cy="889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3190875</wp:posOffset>
                  </wp:positionH>
                  <wp:positionV relativeFrom="paragraph">
                    <wp:posOffset>0</wp:posOffset>
                  </wp:positionV>
                  <wp:extent cx="10160" cy="8890"/>
                  <wp:effectExtent l="0" t="0" r="0" b="0"/>
                  <wp:wrapNone/>
                  <wp:docPr id="23" name="Picture_7"/>
                  <wp:cNvGraphicFramePr/>
                  <a:graphic xmlns:a="http://schemas.openxmlformats.org/drawingml/2006/main">
                    <a:graphicData uri="http://schemas.openxmlformats.org/drawingml/2006/picture">
                      <pic:pic xmlns:pic="http://schemas.openxmlformats.org/drawingml/2006/picture">
                        <pic:nvPicPr>
                          <pic:cNvPr id="23" name="Picture_7"/>
                          <pic:cNvPicPr/>
                        </pic:nvPicPr>
                        <pic:blipFill>
                          <a:blip r:embed="rId17"/>
                          <a:stretch>
                            <a:fillRect/>
                          </a:stretch>
                        </pic:blipFill>
                        <pic:spPr>
                          <a:xfrm>
                            <a:off x="0" y="0"/>
                            <a:ext cx="10160" cy="889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3190875</wp:posOffset>
                  </wp:positionH>
                  <wp:positionV relativeFrom="paragraph">
                    <wp:posOffset>0</wp:posOffset>
                  </wp:positionV>
                  <wp:extent cx="10160" cy="8890"/>
                  <wp:effectExtent l="0" t="0" r="0" b="0"/>
                  <wp:wrapNone/>
                  <wp:docPr id="16" name="Picture_15"/>
                  <wp:cNvGraphicFramePr/>
                  <a:graphic xmlns:a="http://schemas.openxmlformats.org/drawingml/2006/main">
                    <a:graphicData uri="http://schemas.openxmlformats.org/drawingml/2006/picture">
                      <pic:pic xmlns:pic="http://schemas.openxmlformats.org/drawingml/2006/picture">
                        <pic:nvPicPr>
                          <pic:cNvPr id="16" name="Picture_15"/>
                          <pic:cNvPicPr/>
                        </pic:nvPicPr>
                        <pic:blipFill>
                          <a:blip r:embed="rId18"/>
                          <a:stretch>
                            <a:fillRect/>
                          </a:stretch>
                        </pic:blipFill>
                        <pic:spPr>
                          <a:xfrm>
                            <a:off x="0" y="0"/>
                            <a:ext cx="10160" cy="889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3190875</wp:posOffset>
                  </wp:positionH>
                  <wp:positionV relativeFrom="paragraph">
                    <wp:posOffset>0</wp:posOffset>
                  </wp:positionV>
                  <wp:extent cx="10160" cy="8890"/>
                  <wp:effectExtent l="0" t="0" r="0" b="0"/>
                  <wp:wrapNone/>
                  <wp:docPr id="32" name="Picture_14"/>
                  <wp:cNvGraphicFramePr/>
                  <a:graphic xmlns:a="http://schemas.openxmlformats.org/drawingml/2006/main">
                    <a:graphicData uri="http://schemas.openxmlformats.org/drawingml/2006/picture">
                      <pic:pic xmlns:pic="http://schemas.openxmlformats.org/drawingml/2006/picture">
                        <pic:nvPicPr>
                          <pic:cNvPr id="32" name="Picture_14"/>
                          <pic:cNvPicPr/>
                        </pic:nvPicPr>
                        <pic:blipFill>
                          <a:blip r:embed="rId19"/>
                          <a:stretch>
                            <a:fillRect/>
                          </a:stretch>
                        </pic:blipFill>
                        <pic:spPr>
                          <a:xfrm>
                            <a:off x="0" y="0"/>
                            <a:ext cx="10160" cy="889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3190875</wp:posOffset>
                  </wp:positionH>
                  <wp:positionV relativeFrom="paragraph">
                    <wp:posOffset>0</wp:posOffset>
                  </wp:positionV>
                  <wp:extent cx="10160" cy="8890"/>
                  <wp:effectExtent l="0" t="0" r="0" b="0"/>
                  <wp:wrapNone/>
                  <wp:docPr id="4" name="Picture_29"/>
                  <wp:cNvGraphicFramePr/>
                  <a:graphic xmlns:a="http://schemas.openxmlformats.org/drawingml/2006/main">
                    <a:graphicData uri="http://schemas.openxmlformats.org/drawingml/2006/picture">
                      <pic:pic xmlns:pic="http://schemas.openxmlformats.org/drawingml/2006/picture">
                        <pic:nvPicPr>
                          <pic:cNvPr id="4" name="Picture_29"/>
                          <pic:cNvPicPr/>
                        </pic:nvPicPr>
                        <pic:blipFill>
                          <a:blip r:embed="rId20"/>
                          <a:stretch>
                            <a:fillRect/>
                          </a:stretch>
                        </pic:blipFill>
                        <pic:spPr>
                          <a:xfrm>
                            <a:off x="0" y="0"/>
                            <a:ext cx="10160" cy="889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3190875</wp:posOffset>
                  </wp:positionH>
                  <wp:positionV relativeFrom="paragraph">
                    <wp:posOffset>0</wp:posOffset>
                  </wp:positionV>
                  <wp:extent cx="10160" cy="8890"/>
                  <wp:effectExtent l="0" t="0" r="0" b="0"/>
                  <wp:wrapNone/>
                  <wp:docPr id="10" name="Picture_28"/>
                  <wp:cNvGraphicFramePr/>
                  <a:graphic xmlns:a="http://schemas.openxmlformats.org/drawingml/2006/main">
                    <a:graphicData uri="http://schemas.openxmlformats.org/drawingml/2006/picture">
                      <pic:pic xmlns:pic="http://schemas.openxmlformats.org/drawingml/2006/picture">
                        <pic:nvPicPr>
                          <pic:cNvPr id="10" name="Picture_28"/>
                          <pic:cNvPicPr/>
                        </pic:nvPicPr>
                        <pic:blipFill>
                          <a:blip r:embed="rId21"/>
                          <a:stretch>
                            <a:fillRect/>
                          </a:stretch>
                        </pic:blipFill>
                        <pic:spPr>
                          <a:xfrm>
                            <a:off x="0" y="0"/>
                            <a:ext cx="10160" cy="889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3190875</wp:posOffset>
                  </wp:positionH>
                  <wp:positionV relativeFrom="paragraph">
                    <wp:posOffset>0</wp:posOffset>
                  </wp:positionV>
                  <wp:extent cx="10160" cy="8890"/>
                  <wp:effectExtent l="0" t="0" r="0" b="0"/>
                  <wp:wrapNone/>
                  <wp:docPr id="11" name="Picture_6"/>
                  <wp:cNvGraphicFramePr/>
                  <a:graphic xmlns:a="http://schemas.openxmlformats.org/drawingml/2006/main">
                    <a:graphicData uri="http://schemas.openxmlformats.org/drawingml/2006/picture">
                      <pic:pic xmlns:pic="http://schemas.openxmlformats.org/drawingml/2006/picture">
                        <pic:nvPicPr>
                          <pic:cNvPr id="11" name="Picture_6"/>
                          <pic:cNvPicPr/>
                        </pic:nvPicPr>
                        <pic:blipFill>
                          <a:blip r:embed="rId22"/>
                          <a:stretch>
                            <a:fillRect/>
                          </a:stretch>
                        </pic:blipFill>
                        <pic:spPr>
                          <a:xfrm>
                            <a:off x="0" y="0"/>
                            <a:ext cx="10160" cy="889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3190875</wp:posOffset>
                  </wp:positionH>
                  <wp:positionV relativeFrom="paragraph">
                    <wp:posOffset>0</wp:posOffset>
                  </wp:positionV>
                  <wp:extent cx="10160" cy="8890"/>
                  <wp:effectExtent l="0" t="0" r="0" b="0"/>
                  <wp:wrapNone/>
                  <wp:docPr id="12" name="Picture_13"/>
                  <wp:cNvGraphicFramePr/>
                  <a:graphic xmlns:a="http://schemas.openxmlformats.org/drawingml/2006/main">
                    <a:graphicData uri="http://schemas.openxmlformats.org/drawingml/2006/picture">
                      <pic:pic xmlns:pic="http://schemas.openxmlformats.org/drawingml/2006/picture">
                        <pic:nvPicPr>
                          <pic:cNvPr id="12" name="Picture_13"/>
                          <pic:cNvPicPr/>
                        </pic:nvPicPr>
                        <pic:blipFill>
                          <a:blip r:embed="rId23"/>
                          <a:stretch>
                            <a:fillRect/>
                          </a:stretch>
                        </pic:blipFill>
                        <pic:spPr>
                          <a:xfrm>
                            <a:off x="0" y="0"/>
                            <a:ext cx="10160" cy="889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3190875</wp:posOffset>
                  </wp:positionH>
                  <wp:positionV relativeFrom="paragraph">
                    <wp:posOffset>0</wp:posOffset>
                  </wp:positionV>
                  <wp:extent cx="10160" cy="8890"/>
                  <wp:effectExtent l="0" t="0" r="0" b="0"/>
                  <wp:wrapNone/>
                  <wp:docPr id="17" name="Picture_27"/>
                  <wp:cNvGraphicFramePr/>
                  <a:graphic xmlns:a="http://schemas.openxmlformats.org/drawingml/2006/main">
                    <a:graphicData uri="http://schemas.openxmlformats.org/drawingml/2006/picture">
                      <pic:pic xmlns:pic="http://schemas.openxmlformats.org/drawingml/2006/picture">
                        <pic:nvPicPr>
                          <pic:cNvPr id="17" name="Picture_27"/>
                          <pic:cNvPicPr/>
                        </pic:nvPicPr>
                        <pic:blipFill>
                          <a:blip r:embed="rId24"/>
                          <a:stretch>
                            <a:fillRect/>
                          </a:stretch>
                        </pic:blipFill>
                        <pic:spPr>
                          <a:xfrm>
                            <a:off x="0" y="0"/>
                            <a:ext cx="10160" cy="889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3190875</wp:posOffset>
                  </wp:positionH>
                  <wp:positionV relativeFrom="paragraph">
                    <wp:posOffset>0</wp:posOffset>
                  </wp:positionV>
                  <wp:extent cx="10160" cy="8890"/>
                  <wp:effectExtent l="0" t="0" r="0" b="0"/>
                  <wp:wrapNone/>
                  <wp:docPr id="7" name="Picture_26"/>
                  <wp:cNvGraphicFramePr/>
                  <a:graphic xmlns:a="http://schemas.openxmlformats.org/drawingml/2006/main">
                    <a:graphicData uri="http://schemas.openxmlformats.org/drawingml/2006/picture">
                      <pic:pic xmlns:pic="http://schemas.openxmlformats.org/drawingml/2006/picture">
                        <pic:nvPicPr>
                          <pic:cNvPr id="7" name="Picture_26"/>
                          <pic:cNvPicPr/>
                        </pic:nvPicPr>
                        <pic:blipFill>
                          <a:blip r:embed="rId25"/>
                          <a:stretch>
                            <a:fillRect/>
                          </a:stretch>
                        </pic:blipFill>
                        <pic:spPr>
                          <a:xfrm>
                            <a:off x="0" y="0"/>
                            <a:ext cx="10160" cy="889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3190875</wp:posOffset>
                  </wp:positionH>
                  <wp:positionV relativeFrom="paragraph">
                    <wp:posOffset>0</wp:posOffset>
                  </wp:positionV>
                  <wp:extent cx="10160" cy="8890"/>
                  <wp:effectExtent l="0" t="0" r="0" b="0"/>
                  <wp:wrapNone/>
                  <wp:docPr id="27" name="Picture_12"/>
                  <wp:cNvGraphicFramePr/>
                  <a:graphic xmlns:a="http://schemas.openxmlformats.org/drawingml/2006/main">
                    <a:graphicData uri="http://schemas.openxmlformats.org/drawingml/2006/picture">
                      <pic:pic xmlns:pic="http://schemas.openxmlformats.org/drawingml/2006/picture">
                        <pic:nvPicPr>
                          <pic:cNvPr id="27" name="Picture_12"/>
                          <pic:cNvPicPr/>
                        </pic:nvPicPr>
                        <pic:blipFill>
                          <a:blip r:embed="rId19"/>
                          <a:stretch>
                            <a:fillRect/>
                          </a:stretch>
                        </pic:blipFill>
                        <pic:spPr>
                          <a:xfrm>
                            <a:off x="0" y="0"/>
                            <a:ext cx="10160" cy="889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3190875</wp:posOffset>
                  </wp:positionH>
                  <wp:positionV relativeFrom="paragraph">
                    <wp:posOffset>0</wp:posOffset>
                  </wp:positionV>
                  <wp:extent cx="10160" cy="8890"/>
                  <wp:effectExtent l="0" t="0" r="0" b="0"/>
                  <wp:wrapNone/>
                  <wp:docPr id="26" name="Picture_25"/>
                  <wp:cNvGraphicFramePr/>
                  <a:graphic xmlns:a="http://schemas.openxmlformats.org/drawingml/2006/main">
                    <a:graphicData uri="http://schemas.openxmlformats.org/drawingml/2006/picture">
                      <pic:pic xmlns:pic="http://schemas.openxmlformats.org/drawingml/2006/picture">
                        <pic:nvPicPr>
                          <pic:cNvPr id="26" name="Picture_25"/>
                          <pic:cNvPicPr/>
                        </pic:nvPicPr>
                        <pic:blipFill>
                          <a:blip r:embed="rId18"/>
                          <a:stretch>
                            <a:fillRect/>
                          </a:stretch>
                        </pic:blipFill>
                        <pic:spPr>
                          <a:xfrm>
                            <a:off x="0" y="0"/>
                            <a:ext cx="10160" cy="889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3190875</wp:posOffset>
                  </wp:positionH>
                  <wp:positionV relativeFrom="paragraph">
                    <wp:posOffset>0</wp:posOffset>
                  </wp:positionV>
                  <wp:extent cx="10160" cy="8890"/>
                  <wp:effectExtent l="0" t="0" r="0" b="0"/>
                  <wp:wrapNone/>
                  <wp:docPr id="22" name="Picture_24"/>
                  <wp:cNvGraphicFramePr/>
                  <a:graphic xmlns:a="http://schemas.openxmlformats.org/drawingml/2006/main">
                    <a:graphicData uri="http://schemas.openxmlformats.org/drawingml/2006/picture">
                      <pic:pic xmlns:pic="http://schemas.openxmlformats.org/drawingml/2006/picture">
                        <pic:nvPicPr>
                          <pic:cNvPr id="22" name="Picture_24"/>
                          <pic:cNvPicPr/>
                        </pic:nvPicPr>
                        <pic:blipFill>
                          <a:blip r:embed="rId26"/>
                          <a:stretch>
                            <a:fillRect/>
                          </a:stretch>
                        </pic:blipFill>
                        <pic:spPr>
                          <a:xfrm>
                            <a:off x="0" y="0"/>
                            <a:ext cx="10160" cy="889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3190875</wp:posOffset>
                  </wp:positionH>
                  <wp:positionV relativeFrom="paragraph">
                    <wp:posOffset>0</wp:posOffset>
                  </wp:positionV>
                  <wp:extent cx="10160" cy="8890"/>
                  <wp:effectExtent l="0" t="0" r="0" b="0"/>
                  <wp:wrapNone/>
                  <wp:docPr id="6" name="Picture_2"/>
                  <wp:cNvGraphicFramePr/>
                  <a:graphic xmlns:a="http://schemas.openxmlformats.org/drawingml/2006/main">
                    <a:graphicData uri="http://schemas.openxmlformats.org/drawingml/2006/picture">
                      <pic:pic xmlns:pic="http://schemas.openxmlformats.org/drawingml/2006/picture">
                        <pic:nvPicPr>
                          <pic:cNvPr id="6" name="Picture_2"/>
                          <pic:cNvPicPr/>
                        </pic:nvPicPr>
                        <pic:blipFill>
                          <a:blip r:embed="rId26"/>
                          <a:stretch>
                            <a:fillRect/>
                          </a:stretch>
                        </pic:blipFill>
                        <pic:spPr>
                          <a:xfrm>
                            <a:off x="0" y="0"/>
                            <a:ext cx="10160" cy="889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3190875</wp:posOffset>
                  </wp:positionH>
                  <wp:positionV relativeFrom="paragraph">
                    <wp:posOffset>0</wp:posOffset>
                  </wp:positionV>
                  <wp:extent cx="10160" cy="8890"/>
                  <wp:effectExtent l="0" t="0" r="0" b="0"/>
                  <wp:wrapNone/>
                  <wp:docPr id="28" name="Picture_5"/>
                  <wp:cNvGraphicFramePr/>
                  <a:graphic xmlns:a="http://schemas.openxmlformats.org/drawingml/2006/main">
                    <a:graphicData uri="http://schemas.openxmlformats.org/drawingml/2006/picture">
                      <pic:pic xmlns:pic="http://schemas.openxmlformats.org/drawingml/2006/picture">
                        <pic:nvPicPr>
                          <pic:cNvPr id="28" name="Picture_5"/>
                          <pic:cNvPicPr/>
                        </pic:nvPicPr>
                        <pic:blipFill>
                          <a:blip r:embed="rId27"/>
                          <a:stretch>
                            <a:fillRect/>
                          </a:stretch>
                        </pic:blipFill>
                        <pic:spPr>
                          <a:xfrm>
                            <a:off x="0" y="0"/>
                            <a:ext cx="10160" cy="889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3190875</wp:posOffset>
                  </wp:positionH>
                  <wp:positionV relativeFrom="paragraph">
                    <wp:posOffset>0</wp:posOffset>
                  </wp:positionV>
                  <wp:extent cx="10160" cy="8890"/>
                  <wp:effectExtent l="0" t="0" r="0" b="0"/>
                  <wp:wrapNone/>
                  <wp:docPr id="9" name="Picture_11"/>
                  <wp:cNvGraphicFramePr/>
                  <a:graphic xmlns:a="http://schemas.openxmlformats.org/drawingml/2006/main">
                    <a:graphicData uri="http://schemas.openxmlformats.org/drawingml/2006/picture">
                      <pic:pic xmlns:pic="http://schemas.openxmlformats.org/drawingml/2006/picture">
                        <pic:nvPicPr>
                          <pic:cNvPr id="9" name="Picture_11"/>
                          <pic:cNvPicPr/>
                        </pic:nvPicPr>
                        <pic:blipFill>
                          <a:blip r:embed="rId28"/>
                          <a:stretch>
                            <a:fillRect/>
                          </a:stretch>
                        </pic:blipFill>
                        <pic:spPr>
                          <a:xfrm>
                            <a:off x="0" y="0"/>
                            <a:ext cx="10160" cy="889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3190875</wp:posOffset>
                  </wp:positionH>
                  <wp:positionV relativeFrom="paragraph">
                    <wp:posOffset>0</wp:posOffset>
                  </wp:positionV>
                  <wp:extent cx="10160" cy="8890"/>
                  <wp:effectExtent l="0" t="0" r="0" b="0"/>
                  <wp:wrapNone/>
                  <wp:docPr id="19" name="Picture_23"/>
                  <wp:cNvGraphicFramePr/>
                  <a:graphic xmlns:a="http://schemas.openxmlformats.org/drawingml/2006/main">
                    <a:graphicData uri="http://schemas.openxmlformats.org/drawingml/2006/picture">
                      <pic:pic xmlns:pic="http://schemas.openxmlformats.org/drawingml/2006/picture">
                        <pic:nvPicPr>
                          <pic:cNvPr id="19" name="Picture_23"/>
                          <pic:cNvPicPr/>
                        </pic:nvPicPr>
                        <pic:blipFill>
                          <a:blip r:embed="rId29"/>
                          <a:stretch>
                            <a:fillRect/>
                          </a:stretch>
                        </pic:blipFill>
                        <pic:spPr>
                          <a:xfrm>
                            <a:off x="0" y="0"/>
                            <a:ext cx="10160" cy="889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3190875</wp:posOffset>
                  </wp:positionH>
                  <wp:positionV relativeFrom="paragraph">
                    <wp:posOffset>0</wp:posOffset>
                  </wp:positionV>
                  <wp:extent cx="10160" cy="8890"/>
                  <wp:effectExtent l="0" t="0" r="0" b="0"/>
                  <wp:wrapNone/>
                  <wp:docPr id="8" name="Picture_22"/>
                  <wp:cNvGraphicFramePr/>
                  <a:graphic xmlns:a="http://schemas.openxmlformats.org/drawingml/2006/main">
                    <a:graphicData uri="http://schemas.openxmlformats.org/drawingml/2006/picture">
                      <pic:pic xmlns:pic="http://schemas.openxmlformats.org/drawingml/2006/picture">
                        <pic:nvPicPr>
                          <pic:cNvPr id="8" name="Picture_22"/>
                          <pic:cNvPicPr/>
                        </pic:nvPicPr>
                        <pic:blipFill>
                          <a:blip r:embed="rId19"/>
                          <a:stretch>
                            <a:fillRect/>
                          </a:stretch>
                        </pic:blipFill>
                        <pic:spPr>
                          <a:xfrm>
                            <a:off x="0" y="0"/>
                            <a:ext cx="10160" cy="889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3190875</wp:posOffset>
                  </wp:positionH>
                  <wp:positionV relativeFrom="paragraph">
                    <wp:posOffset>0</wp:posOffset>
                  </wp:positionV>
                  <wp:extent cx="10160" cy="8890"/>
                  <wp:effectExtent l="0" t="0" r="0" b="0"/>
                  <wp:wrapNone/>
                  <wp:docPr id="13" name="Picture_10"/>
                  <wp:cNvGraphicFramePr/>
                  <a:graphic xmlns:a="http://schemas.openxmlformats.org/drawingml/2006/main">
                    <a:graphicData uri="http://schemas.openxmlformats.org/drawingml/2006/picture">
                      <pic:pic xmlns:pic="http://schemas.openxmlformats.org/drawingml/2006/picture">
                        <pic:nvPicPr>
                          <pic:cNvPr id="13" name="Picture_10"/>
                          <pic:cNvPicPr/>
                        </pic:nvPicPr>
                        <pic:blipFill>
                          <a:blip r:embed="rId30"/>
                          <a:stretch>
                            <a:fillRect/>
                          </a:stretch>
                        </pic:blipFill>
                        <pic:spPr>
                          <a:xfrm>
                            <a:off x="0" y="0"/>
                            <a:ext cx="10160" cy="889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3190875</wp:posOffset>
                  </wp:positionH>
                  <wp:positionV relativeFrom="paragraph">
                    <wp:posOffset>0</wp:posOffset>
                  </wp:positionV>
                  <wp:extent cx="10160" cy="8890"/>
                  <wp:effectExtent l="0" t="0" r="0" b="0"/>
                  <wp:wrapNone/>
                  <wp:docPr id="21" name="Picture_21"/>
                  <wp:cNvGraphicFramePr/>
                  <a:graphic xmlns:a="http://schemas.openxmlformats.org/drawingml/2006/main">
                    <a:graphicData uri="http://schemas.openxmlformats.org/drawingml/2006/picture">
                      <pic:pic xmlns:pic="http://schemas.openxmlformats.org/drawingml/2006/picture">
                        <pic:nvPicPr>
                          <pic:cNvPr id="21" name="Picture_21"/>
                          <pic:cNvPicPr/>
                        </pic:nvPicPr>
                        <pic:blipFill>
                          <a:blip r:embed="rId23"/>
                          <a:stretch>
                            <a:fillRect/>
                          </a:stretch>
                        </pic:blipFill>
                        <pic:spPr>
                          <a:xfrm>
                            <a:off x="0" y="0"/>
                            <a:ext cx="10160" cy="889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3190875</wp:posOffset>
                  </wp:positionH>
                  <wp:positionV relativeFrom="paragraph">
                    <wp:posOffset>0</wp:posOffset>
                  </wp:positionV>
                  <wp:extent cx="10160" cy="8890"/>
                  <wp:effectExtent l="0" t="0" r="0" b="0"/>
                  <wp:wrapNone/>
                  <wp:docPr id="31" name="Picture_20"/>
                  <wp:cNvGraphicFramePr/>
                  <a:graphic xmlns:a="http://schemas.openxmlformats.org/drawingml/2006/main">
                    <a:graphicData uri="http://schemas.openxmlformats.org/drawingml/2006/picture">
                      <pic:pic xmlns:pic="http://schemas.openxmlformats.org/drawingml/2006/picture">
                        <pic:nvPicPr>
                          <pic:cNvPr id="31" name="Picture_20"/>
                          <pic:cNvPicPr/>
                        </pic:nvPicPr>
                        <pic:blipFill>
                          <a:blip r:embed="rId31"/>
                          <a:stretch>
                            <a:fillRect/>
                          </a:stretch>
                        </pic:blipFill>
                        <pic:spPr>
                          <a:xfrm>
                            <a:off x="0" y="0"/>
                            <a:ext cx="10160" cy="889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3190875</wp:posOffset>
                  </wp:positionH>
                  <wp:positionV relativeFrom="paragraph">
                    <wp:posOffset>0</wp:posOffset>
                  </wp:positionV>
                  <wp:extent cx="10160" cy="8890"/>
                  <wp:effectExtent l="0" t="0" r="0" b="0"/>
                  <wp:wrapNone/>
                  <wp:docPr id="5" name="Picture_4"/>
                  <wp:cNvGraphicFramePr/>
                  <a:graphic xmlns:a="http://schemas.openxmlformats.org/drawingml/2006/main">
                    <a:graphicData uri="http://schemas.openxmlformats.org/drawingml/2006/picture">
                      <pic:pic xmlns:pic="http://schemas.openxmlformats.org/drawingml/2006/picture">
                        <pic:nvPicPr>
                          <pic:cNvPr id="5" name="Picture_4"/>
                          <pic:cNvPicPr/>
                        </pic:nvPicPr>
                        <pic:blipFill>
                          <a:blip r:embed="rId32"/>
                          <a:stretch>
                            <a:fillRect/>
                          </a:stretch>
                        </pic:blipFill>
                        <pic:spPr>
                          <a:xfrm>
                            <a:off x="0" y="0"/>
                            <a:ext cx="10160" cy="889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3190875</wp:posOffset>
                  </wp:positionH>
                  <wp:positionV relativeFrom="paragraph">
                    <wp:posOffset>0</wp:posOffset>
                  </wp:positionV>
                  <wp:extent cx="10160" cy="8890"/>
                  <wp:effectExtent l="0" t="0" r="0" b="0"/>
                  <wp:wrapNone/>
                  <wp:docPr id="1" name="Picture_9"/>
                  <wp:cNvGraphicFramePr/>
                  <a:graphic xmlns:a="http://schemas.openxmlformats.org/drawingml/2006/main">
                    <a:graphicData uri="http://schemas.openxmlformats.org/drawingml/2006/picture">
                      <pic:pic xmlns:pic="http://schemas.openxmlformats.org/drawingml/2006/picture">
                        <pic:nvPicPr>
                          <pic:cNvPr id="1" name="Picture_9"/>
                          <pic:cNvPicPr/>
                        </pic:nvPicPr>
                        <pic:blipFill>
                          <a:blip r:embed="rId33"/>
                          <a:stretch>
                            <a:fillRect/>
                          </a:stretch>
                        </pic:blipFill>
                        <pic:spPr>
                          <a:xfrm>
                            <a:off x="0" y="0"/>
                            <a:ext cx="10160" cy="889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3190875</wp:posOffset>
                  </wp:positionH>
                  <wp:positionV relativeFrom="paragraph">
                    <wp:posOffset>0</wp:posOffset>
                  </wp:positionV>
                  <wp:extent cx="10160" cy="8890"/>
                  <wp:effectExtent l="0" t="0" r="0" b="0"/>
                  <wp:wrapNone/>
                  <wp:docPr id="29" name="Picture_19"/>
                  <wp:cNvGraphicFramePr/>
                  <a:graphic xmlns:a="http://schemas.openxmlformats.org/drawingml/2006/main">
                    <a:graphicData uri="http://schemas.openxmlformats.org/drawingml/2006/picture">
                      <pic:pic xmlns:pic="http://schemas.openxmlformats.org/drawingml/2006/picture">
                        <pic:nvPicPr>
                          <pic:cNvPr id="29" name="Picture_19"/>
                          <pic:cNvPicPr/>
                        </pic:nvPicPr>
                        <pic:blipFill>
                          <a:blip r:embed="rId20"/>
                          <a:stretch>
                            <a:fillRect/>
                          </a:stretch>
                        </pic:blipFill>
                        <pic:spPr>
                          <a:xfrm>
                            <a:off x="0" y="0"/>
                            <a:ext cx="10160" cy="889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3190875</wp:posOffset>
                  </wp:positionH>
                  <wp:positionV relativeFrom="paragraph">
                    <wp:posOffset>0</wp:posOffset>
                  </wp:positionV>
                  <wp:extent cx="10160" cy="8890"/>
                  <wp:effectExtent l="0" t="0" r="0" b="0"/>
                  <wp:wrapNone/>
                  <wp:docPr id="14" name="Picture_18"/>
                  <wp:cNvGraphicFramePr/>
                  <a:graphic xmlns:a="http://schemas.openxmlformats.org/drawingml/2006/main">
                    <a:graphicData uri="http://schemas.openxmlformats.org/drawingml/2006/picture">
                      <pic:pic xmlns:pic="http://schemas.openxmlformats.org/drawingml/2006/picture">
                        <pic:nvPicPr>
                          <pic:cNvPr id="14" name="Picture_18"/>
                          <pic:cNvPicPr/>
                        </pic:nvPicPr>
                        <pic:blipFill>
                          <a:blip r:embed="rId21"/>
                          <a:stretch>
                            <a:fillRect/>
                          </a:stretch>
                        </pic:blipFill>
                        <pic:spPr>
                          <a:xfrm>
                            <a:off x="0" y="0"/>
                            <a:ext cx="10160" cy="889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3190875</wp:posOffset>
                  </wp:positionH>
                  <wp:positionV relativeFrom="paragraph">
                    <wp:posOffset>0</wp:posOffset>
                  </wp:positionV>
                  <wp:extent cx="10160" cy="8890"/>
                  <wp:effectExtent l="0" t="0" r="0" b="0"/>
                  <wp:wrapNone/>
                  <wp:docPr id="15" name="Picture_8"/>
                  <wp:cNvGraphicFramePr/>
                  <a:graphic xmlns:a="http://schemas.openxmlformats.org/drawingml/2006/main">
                    <a:graphicData uri="http://schemas.openxmlformats.org/drawingml/2006/picture">
                      <pic:pic xmlns:pic="http://schemas.openxmlformats.org/drawingml/2006/picture">
                        <pic:nvPicPr>
                          <pic:cNvPr id="15" name="Picture_8"/>
                          <pic:cNvPicPr/>
                        </pic:nvPicPr>
                        <pic:blipFill>
                          <a:blip r:embed="rId34"/>
                          <a:stretch>
                            <a:fillRect/>
                          </a:stretch>
                        </pic:blipFill>
                        <pic:spPr>
                          <a:xfrm>
                            <a:off x="0" y="0"/>
                            <a:ext cx="10160" cy="889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3190875</wp:posOffset>
                  </wp:positionH>
                  <wp:positionV relativeFrom="paragraph">
                    <wp:posOffset>0</wp:posOffset>
                  </wp:positionV>
                  <wp:extent cx="10160" cy="8890"/>
                  <wp:effectExtent l="0" t="0" r="0" b="0"/>
                  <wp:wrapNone/>
                  <wp:docPr id="18" name="Picture_17"/>
                  <wp:cNvGraphicFramePr/>
                  <a:graphic xmlns:a="http://schemas.openxmlformats.org/drawingml/2006/main">
                    <a:graphicData uri="http://schemas.openxmlformats.org/drawingml/2006/picture">
                      <pic:pic xmlns:pic="http://schemas.openxmlformats.org/drawingml/2006/picture">
                        <pic:nvPicPr>
                          <pic:cNvPr id="18" name="Picture_17"/>
                          <pic:cNvPicPr/>
                        </pic:nvPicPr>
                        <pic:blipFill>
                          <a:blip r:embed="rId35"/>
                          <a:stretch>
                            <a:fillRect/>
                          </a:stretch>
                        </pic:blipFill>
                        <pic:spPr>
                          <a:xfrm>
                            <a:off x="0" y="0"/>
                            <a:ext cx="10160" cy="889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3190875</wp:posOffset>
                  </wp:positionH>
                  <wp:positionV relativeFrom="paragraph">
                    <wp:posOffset>0</wp:posOffset>
                  </wp:positionV>
                  <wp:extent cx="10160" cy="8890"/>
                  <wp:effectExtent l="0" t="0" r="0" b="0"/>
                  <wp:wrapNone/>
                  <wp:docPr id="24" name="Picture_16"/>
                  <wp:cNvGraphicFramePr/>
                  <a:graphic xmlns:a="http://schemas.openxmlformats.org/drawingml/2006/main">
                    <a:graphicData uri="http://schemas.openxmlformats.org/drawingml/2006/picture">
                      <pic:pic xmlns:pic="http://schemas.openxmlformats.org/drawingml/2006/picture">
                        <pic:nvPicPr>
                          <pic:cNvPr id="24" name="Picture_16"/>
                          <pic:cNvPicPr/>
                        </pic:nvPicPr>
                        <pic:blipFill>
                          <a:blip r:embed="rId36"/>
                          <a:stretch>
                            <a:fillRect/>
                          </a:stretch>
                        </pic:blipFill>
                        <pic:spPr>
                          <a:xfrm>
                            <a:off x="0" y="0"/>
                            <a:ext cx="10160" cy="889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lang w:val="en-US" w:eastAsia="zh-CN" w:bidi="ar"/>
              </w:rPr>
              <w:t>厨房设备清单</w:t>
            </w:r>
          </w:p>
        </w:tc>
      </w:tr>
      <w:tr w14:paraId="3408E8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3978563F">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编号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6644B">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产品名称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DBDBA">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技术参数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CE785">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28100">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单位</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F1C5A">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1BC3C528">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产品图片</w:t>
            </w:r>
          </w:p>
        </w:tc>
      </w:tr>
      <w:tr w14:paraId="559253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nil"/>
            </w:tcBorders>
            <w:shd w:val="clear" w:color="auto" w:fill="auto"/>
            <w:noWrap/>
            <w:vAlign w:val="center"/>
          </w:tcPr>
          <w:p w14:paraId="7E7BA0C9">
            <w:pPr>
              <w:keepNext w:val="0"/>
              <w:keepLines w:val="0"/>
              <w:widowControl/>
              <w:suppressLineNumbers w:val="0"/>
              <w:jc w:val="left"/>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A更衣/仓库/检测</w:t>
            </w:r>
          </w:p>
        </w:tc>
        <w:tc>
          <w:tcPr>
            <w:tcW w:w="0" w:type="auto"/>
            <w:tcBorders>
              <w:top w:val="single" w:color="000000" w:sz="4" w:space="0"/>
              <w:left w:val="nil"/>
              <w:bottom w:val="single" w:color="000000" w:sz="4" w:space="0"/>
              <w:right w:val="nil"/>
            </w:tcBorders>
            <w:shd w:val="clear" w:color="auto" w:fill="auto"/>
            <w:noWrap/>
            <w:vAlign w:val="center"/>
          </w:tcPr>
          <w:p w14:paraId="00F2AB8B">
            <w:pPr>
              <w:rPr>
                <w:rFonts w:hint="eastAsia" w:ascii="宋体" w:hAnsi="宋体" w:eastAsia="宋体" w:cs="宋体"/>
                <w:b/>
                <w:bCs/>
                <w:i w:val="0"/>
                <w:iCs w:val="0"/>
                <w:color w:val="auto"/>
                <w:sz w:val="20"/>
                <w:szCs w:val="20"/>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226FF859">
            <w:pPr>
              <w:rPr>
                <w:rFonts w:hint="eastAsia" w:ascii="宋体" w:hAnsi="宋体" w:eastAsia="宋体" w:cs="宋体"/>
                <w:b/>
                <w:bCs/>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E11BF">
            <w:pP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986C7">
            <w:pP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6DF5A">
            <w:pP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077C2804">
            <w:pPr>
              <w:rPr>
                <w:rFonts w:hint="eastAsia" w:ascii="宋体" w:hAnsi="宋体" w:eastAsia="宋体" w:cs="宋体"/>
                <w:i w:val="0"/>
                <w:iCs w:val="0"/>
                <w:color w:val="auto"/>
                <w:sz w:val="20"/>
                <w:szCs w:val="20"/>
                <w:u w:val="none"/>
              </w:rPr>
            </w:pPr>
          </w:p>
        </w:tc>
      </w:tr>
      <w:tr w14:paraId="139EC8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EF73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8617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洗手池</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F576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1、尺寸：400*300*400mm；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2、优质发纹贴塑不锈钢板制造，配一次性压制斗，配优质落水器及拦渣片。</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E096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53A6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390B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7F4DE9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-41275</wp:posOffset>
                  </wp:positionH>
                  <wp:positionV relativeFrom="paragraph">
                    <wp:posOffset>114300</wp:posOffset>
                  </wp:positionV>
                  <wp:extent cx="715010" cy="495300"/>
                  <wp:effectExtent l="0" t="0" r="8890" b="0"/>
                  <wp:wrapNone/>
                  <wp:docPr id="33" name="Picture_25_SpCnt_1"/>
                  <wp:cNvGraphicFramePr/>
                  <a:graphic xmlns:a="http://schemas.openxmlformats.org/drawingml/2006/main">
                    <a:graphicData uri="http://schemas.openxmlformats.org/drawingml/2006/picture">
                      <pic:pic xmlns:pic="http://schemas.openxmlformats.org/drawingml/2006/picture">
                        <pic:nvPicPr>
                          <pic:cNvPr id="33" name="Picture_25_SpCnt_1"/>
                          <pic:cNvPicPr/>
                        </pic:nvPicPr>
                        <pic:blipFill>
                          <a:blip r:embed="rId37"/>
                          <a:stretch>
                            <a:fillRect/>
                          </a:stretch>
                        </pic:blipFill>
                        <pic:spPr>
                          <a:xfrm>
                            <a:off x="0" y="0"/>
                            <a:ext cx="715010" cy="495300"/>
                          </a:xfrm>
                          <a:prstGeom prst="rect">
                            <a:avLst/>
                          </a:prstGeom>
                          <a:noFill/>
                          <a:ln>
                            <a:noFill/>
                          </a:ln>
                        </pic:spPr>
                      </pic:pic>
                    </a:graphicData>
                  </a:graphic>
                </wp:anchor>
              </w:drawing>
            </w:r>
          </w:p>
        </w:tc>
      </w:tr>
      <w:tr w14:paraId="612605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D9F6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58DF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米面架</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68E9B">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1、尺寸：1200*500*200mm；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2、优质发纹贴塑不锈钢板制造，边横档50*50*δ=0.8不锈钢方管、中档38*38*δ=0.8不锈钢方管，全不锈钢方管制作。</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09DF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8FC4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4674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EA0338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-41275</wp:posOffset>
                  </wp:positionH>
                  <wp:positionV relativeFrom="paragraph">
                    <wp:posOffset>177800</wp:posOffset>
                  </wp:positionV>
                  <wp:extent cx="715010" cy="495300"/>
                  <wp:effectExtent l="0" t="0" r="8890" b="0"/>
                  <wp:wrapNone/>
                  <wp:docPr id="20" name="Picture_26_SpCnt_1"/>
                  <wp:cNvGraphicFramePr/>
                  <a:graphic xmlns:a="http://schemas.openxmlformats.org/drawingml/2006/main">
                    <a:graphicData uri="http://schemas.openxmlformats.org/drawingml/2006/picture">
                      <pic:pic xmlns:pic="http://schemas.openxmlformats.org/drawingml/2006/picture">
                        <pic:nvPicPr>
                          <pic:cNvPr id="20" name="Picture_26_SpCnt_1"/>
                          <pic:cNvPicPr/>
                        </pic:nvPicPr>
                        <pic:blipFill>
                          <a:blip r:embed="rId38"/>
                          <a:stretch>
                            <a:fillRect/>
                          </a:stretch>
                        </pic:blipFill>
                        <pic:spPr>
                          <a:xfrm>
                            <a:off x="0" y="0"/>
                            <a:ext cx="715010" cy="495300"/>
                          </a:xfrm>
                          <a:prstGeom prst="rect">
                            <a:avLst/>
                          </a:prstGeom>
                          <a:noFill/>
                          <a:ln>
                            <a:noFill/>
                          </a:ln>
                        </pic:spPr>
                      </pic:pic>
                    </a:graphicData>
                  </a:graphic>
                </wp:anchor>
              </w:drawing>
            </w:r>
          </w:p>
        </w:tc>
      </w:tr>
      <w:tr w14:paraId="2C5FAD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1"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9B32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FEF6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四层平板货架</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52303">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1、尺寸：1200*500*1550mm；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2、优质发纹贴塑不锈钢板制造，柱Φ38*δ=0.8不锈钢管，平板δ=0.8mm配置Φ39mm不锈钢可调节重力子弹脚。</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EE4A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6117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7B0B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445135</wp:posOffset>
                  </wp:positionH>
                  <wp:positionV relativeFrom="paragraph">
                    <wp:posOffset>10795</wp:posOffset>
                  </wp:positionV>
                  <wp:extent cx="715010" cy="495300"/>
                  <wp:effectExtent l="0" t="0" r="8890" b="0"/>
                  <wp:wrapNone/>
                  <wp:docPr id="25" name="Picture_27_SpCnt_1"/>
                  <wp:cNvGraphicFramePr/>
                  <a:graphic xmlns:a="http://schemas.openxmlformats.org/drawingml/2006/main">
                    <a:graphicData uri="http://schemas.openxmlformats.org/drawingml/2006/picture">
                      <pic:pic xmlns:pic="http://schemas.openxmlformats.org/drawingml/2006/picture">
                        <pic:nvPicPr>
                          <pic:cNvPr id="25" name="Picture_27_SpCnt_1"/>
                          <pic:cNvPicPr/>
                        </pic:nvPicPr>
                        <pic:blipFill>
                          <a:blip r:embed="rId39"/>
                          <a:stretch>
                            <a:fillRect/>
                          </a:stretch>
                        </pic:blipFill>
                        <pic:spPr>
                          <a:xfrm>
                            <a:off x="0" y="0"/>
                            <a:ext cx="715010" cy="495300"/>
                          </a:xfrm>
                          <a:prstGeom prst="rect">
                            <a:avLst/>
                          </a:prstGeom>
                          <a:noFill/>
                          <a:ln>
                            <a:noFill/>
                          </a:ln>
                        </pic:spPr>
                      </pic:pic>
                    </a:graphicData>
                  </a:graphic>
                </wp:anchor>
              </w:drawing>
            </w:r>
            <w:r>
              <w:rPr>
                <w:rFonts w:hint="eastAsia" w:ascii="宋体" w:hAnsi="宋体" w:eastAsia="宋体" w:cs="宋体"/>
                <w:i w:val="0"/>
                <w:iCs w:val="0"/>
                <w:color w:val="auto"/>
                <w:kern w:val="0"/>
                <w:sz w:val="20"/>
                <w:szCs w:val="20"/>
                <w:u w:val="none"/>
                <w:lang w:val="en-US" w:eastAsia="zh-CN" w:bidi="ar"/>
              </w:rPr>
              <w:t>1600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F09DDD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r>
      <w:tr w14:paraId="6BB59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9"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D290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889A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四层平板货架</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E880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1、尺寸：900*500*1550mm；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2、优质发纹贴塑不锈钢板制造，柱Φ38*δ=0.8不锈钢管，平板δ=0.8mm配置Φ39mm不锈钢可调节重力子弹脚。</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F044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BBDA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BAB6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3FCABA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-52070</wp:posOffset>
                  </wp:positionH>
                  <wp:positionV relativeFrom="paragraph">
                    <wp:posOffset>-151765</wp:posOffset>
                  </wp:positionV>
                  <wp:extent cx="715010" cy="495300"/>
                  <wp:effectExtent l="0" t="0" r="8890" b="0"/>
                  <wp:wrapNone/>
                  <wp:docPr id="30" name="Picture_28_SpCnt_1"/>
                  <wp:cNvGraphicFramePr/>
                  <a:graphic xmlns:a="http://schemas.openxmlformats.org/drawingml/2006/main">
                    <a:graphicData uri="http://schemas.openxmlformats.org/drawingml/2006/picture">
                      <pic:pic xmlns:pic="http://schemas.openxmlformats.org/drawingml/2006/picture">
                        <pic:nvPicPr>
                          <pic:cNvPr id="30" name="Picture_28_SpCnt_1"/>
                          <pic:cNvPicPr/>
                        </pic:nvPicPr>
                        <pic:blipFill>
                          <a:blip r:embed="rId40"/>
                          <a:stretch>
                            <a:fillRect/>
                          </a:stretch>
                        </pic:blipFill>
                        <pic:spPr>
                          <a:xfrm>
                            <a:off x="0" y="0"/>
                            <a:ext cx="715010" cy="495300"/>
                          </a:xfrm>
                          <a:prstGeom prst="rect">
                            <a:avLst/>
                          </a:prstGeom>
                          <a:noFill/>
                          <a:ln>
                            <a:noFill/>
                          </a:ln>
                        </pic:spPr>
                      </pic:pic>
                    </a:graphicData>
                  </a:graphic>
                </wp:anchor>
              </w:drawing>
            </w:r>
          </w:p>
        </w:tc>
      </w:tr>
      <w:tr w14:paraId="1DE54C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2DF1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2E82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单门留样柜</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D2483">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1、尺寸：600*580*1950mm；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2、电压:220V；</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3、温度:0~8℃；</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4、容积:288L；</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31DA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0506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8B9B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3600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C68F55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-41275</wp:posOffset>
                  </wp:positionH>
                  <wp:positionV relativeFrom="paragraph">
                    <wp:posOffset>93345</wp:posOffset>
                  </wp:positionV>
                  <wp:extent cx="715010" cy="495300"/>
                  <wp:effectExtent l="0" t="0" r="8890" b="0"/>
                  <wp:wrapNone/>
                  <wp:docPr id="35" name="Picture_29_SpCnt_1"/>
                  <wp:cNvGraphicFramePr/>
                  <a:graphic xmlns:a="http://schemas.openxmlformats.org/drawingml/2006/main">
                    <a:graphicData uri="http://schemas.openxmlformats.org/drawingml/2006/picture">
                      <pic:pic xmlns:pic="http://schemas.openxmlformats.org/drawingml/2006/picture">
                        <pic:nvPicPr>
                          <pic:cNvPr id="35" name="Picture_29_SpCnt_1"/>
                          <pic:cNvPicPr/>
                        </pic:nvPicPr>
                        <pic:blipFill>
                          <a:blip r:embed="rId41"/>
                          <a:stretch>
                            <a:fillRect/>
                          </a:stretch>
                        </pic:blipFill>
                        <pic:spPr>
                          <a:xfrm>
                            <a:off x="0" y="0"/>
                            <a:ext cx="715010" cy="495300"/>
                          </a:xfrm>
                          <a:prstGeom prst="rect">
                            <a:avLst/>
                          </a:prstGeom>
                          <a:noFill/>
                          <a:ln>
                            <a:noFill/>
                          </a:ln>
                        </pic:spPr>
                      </pic:pic>
                    </a:graphicData>
                  </a:graphic>
                </wp:anchor>
              </w:drawing>
            </w:r>
          </w:p>
        </w:tc>
      </w:tr>
      <w:tr w14:paraId="7F551C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9"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0EF2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BC4D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三抽屉连移门柜</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65000">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1、尺寸：1500*700*800mm；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2、优质发纹贴塑不锈钢板制造，台面δ=1.0mm (下衬12.0密度板减噪),侧板δ0.8mm,门面δ0.8mm、底板、层板δ0.8mm，重力脚Φ60*150不锈钢重力脚。</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B333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3C8C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320A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3900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8F7668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-7620</wp:posOffset>
                  </wp:positionH>
                  <wp:positionV relativeFrom="paragraph">
                    <wp:posOffset>656590</wp:posOffset>
                  </wp:positionV>
                  <wp:extent cx="715010" cy="495300"/>
                  <wp:effectExtent l="0" t="0" r="8890" b="0"/>
                  <wp:wrapNone/>
                  <wp:docPr id="48" name="Picture_30"/>
                  <wp:cNvGraphicFramePr/>
                  <a:graphic xmlns:a="http://schemas.openxmlformats.org/drawingml/2006/main">
                    <a:graphicData uri="http://schemas.openxmlformats.org/drawingml/2006/picture">
                      <pic:pic xmlns:pic="http://schemas.openxmlformats.org/drawingml/2006/picture">
                        <pic:nvPicPr>
                          <pic:cNvPr id="48" name="Picture_30"/>
                          <pic:cNvPicPr/>
                        </pic:nvPicPr>
                        <pic:blipFill>
                          <a:blip r:embed="rId42"/>
                          <a:stretch>
                            <a:fillRect/>
                          </a:stretch>
                        </pic:blipFill>
                        <pic:spPr>
                          <a:xfrm>
                            <a:off x="0" y="0"/>
                            <a:ext cx="715010" cy="495300"/>
                          </a:xfrm>
                          <a:prstGeom prst="rect">
                            <a:avLst/>
                          </a:prstGeom>
                          <a:noFill/>
                          <a:ln>
                            <a:noFill/>
                          </a:ln>
                        </pic:spPr>
                      </pic:pic>
                    </a:graphicData>
                  </a:graphic>
                </wp:anchor>
              </w:drawing>
            </w:r>
          </w:p>
        </w:tc>
      </w:tr>
      <w:tr w14:paraId="786E0E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C660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540E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单星盆水池</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8EEF0">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1、尺寸：500*500*800+150mm；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2、优质发纹贴塑不锈钢板制造，台面δ=1.0mm、星盆斗δ=1.0mm、柱φ38 *δ=0.8不锈钢管（配可调节子弹脚），配优质不锈钢落水器、拦渣斗。</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B60A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A3A6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1921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271CA1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-62865</wp:posOffset>
                  </wp:positionH>
                  <wp:positionV relativeFrom="paragraph">
                    <wp:posOffset>198755</wp:posOffset>
                  </wp:positionV>
                  <wp:extent cx="715010" cy="495300"/>
                  <wp:effectExtent l="0" t="0" r="8890" b="0"/>
                  <wp:wrapNone/>
                  <wp:docPr id="39" name="Picture_31"/>
                  <wp:cNvGraphicFramePr/>
                  <a:graphic xmlns:a="http://schemas.openxmlformats.org/drawingml/2006/main">
                    <a:graphicData uri="http://schemas.openxmlformats.org/drawingml/2006/picture">
                      <pic:pic xmlns:pic="http://schemas.openxmlformats.org/drawingml/2006/picture">
                        <pic:nvPicPr>
                          <pic:cNvPr id="39" name="Picture_31"/>
                          <pic:cNvPicPr/>
                        </pic:nvPicPr>
                        <pic:blipFill>
                          <a:blip r:embed="rId43"/>
                          <a:stretch>
                            <a:fillRect/>
                          </a:stretch>
                        </pic:blipFill>
                        <pic:spPr>
                          <a:xfrm>
                            <a:off x="0" y="0"/>
                            <a:ext cx="715010" cy="495300"/>
                          </a:xfrm>
                          <a:prstGeom prst="rect">
                            <a:avLst/>
                          </a:prstGeom>
                          <a:noFill/>
                          <a:ln>
                            <a:noFill/>
                          </a:ln>
                        </pic:spPr>
                      </pic:pic>
                    </a:graphicData>
                  </a:graphic>
                </wp:anchor>
              </w:drawing>
            </w:r>
          </w:p>
        </w:tc>
      </w:tr>
      <w:tr w14:paraId="2CFF5D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21"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0BF4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16A5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单温水龙头</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1E96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1、优质陶瓷阀芯不滴漏</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2、开关顺滑轻松拨动</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3、304不锈钢材质，安全更实用</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4、精选优质把手，顺滑手感设计，使用更加方便</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9011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8F73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D0F7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88</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0FA11D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-41275</wp:posOffset>
                  </wp:positionH>
                  <wp:positionV relativeFrom="paragraph">
                    <wp:posOffset>146050</wp:posOffset>
                  </wp:positionV>
                  <wp:extent cx="715010" cy="495300"/>
                  <wp:effectExtent l="0" t="0" r="8890" b="0"/>
                  <wp:wrapNone/>
                  <wp:docPr id="42" name="Picture_32"/>
                  <wp:cNvGraphicFramePr/>
                  <a:graphic xmlns:a="http://schemas.openxmlformats.org/drawingml/2006/main">
                    <a:graphicData uri="http://schemas.openxmlformats.org/drawingml/2006/picture">
                      <pic:pic xmlns:pic="http://schemas.openxmlformats.org/drawingml/2006/picture">
                        <pic:nvPicPr>
                          <pic:cNvPr id="42" name="Picture_32"/>
                          <pic:cNvPicPr/>
                        </pic:nvPicPr>
                        <pic:blipFill>
                          <a:blip r:embed="rId44"/>
                          <a:stretch>
                            <a:fillRect/>
                          </a:stretch>
                        </pic:blipFill>
                        <pic:spPr>
                          <a:xfrm>
                            <a:off x="0" y="0"/>
                            <a:ext cx="715010" cy="495300"/>
                          </a:xfrm>
                          <a:prstGeom prst="rect">
                            <a:avLst/>
                          </a:prstGeom>
                          <a:noFill/>
                          <a:ln>
                            <a:noFill/>
                          </a:ln>
                        </pic:spPr>
                      </pic:pic>
                    </a:graphicData>
                  </a:graphic>
                </wp:anchor>
              </w:drawing>
            </w:r>
          </w:p>
        </w:tc>
      </w:tr>
      <w:tr w14:paraId="64759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0" w:type="auto"/>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14:paraId="40A2F337">
            <w:pPr>
              <w:keepNext w:val="0"/>
              <w:keepLines w:val="0"/>
              <w:widowControl/>
              <w:suppressLineNumbers w:val="0"/>
              <w:jc w:val="left"/>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B加工间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3A078">
            <w:pP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19612">
            <w:pP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8D2A2">
            <w:pP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369CB">
            <w:pP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4C76E8CE">
            <w:pPr>
              <w:rPr>
                <w:rFonts w:hint="eastAsia" w:ascii="宋体" w:hAnsi="宋体" w:eastAsia="宋体" w:cs="宋体"/>
                <w:i w:val="0"/>
                <w:iCs w:val="0"/>
                <w:color w:val="auto"/>
                <w:sz w:val="20"/>
                <w:szCs w:val="20"/>
                <w:u w:val="none"/>
              </w:rPr>
            </w:pPr>
          </w:p>
        </w:tc>
      </w:tr>
      <w:tr w14:paraId="394141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52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FCA97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A218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单星盆水池</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5DAC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1、尺寸：700*700*800+150mm；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2、优质发纹贴塑不锈钢板制造，台面δ=1.0mm、星盆斗δ=1.0mm、柱φ38 *δ=0.8不锈钢管（配可调节子弹脚），配优质不锈钢落水器、拦渣斗。</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4772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80D3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BCB4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A2C449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-41275</wp:posOffset>
                  </wp:positionH>
                  <wp:positionV relativeFrom="paragraph">
                    <wp:posOffset>125095</wp:posOffset>
                  </wp:positionV>
                  <wp:extent cx="715010" cy="495300"/>
                  <wp:effectExtent l="0" t="0" r="8890" b="0"/>
                  <wp:wrapNone/>
                  <wp:docPr id="43" name="Picture_34"/>
                  <wp:cNvGraphicFramePr/>
                  <a:graphic xmlns:a="http://schemas.openxmlformats.org/drawingml/2006/main">
                    <a:graphicData uri="http://schemas.openxmlformats.org/drawingml/2006/picture">
                      <pic:pic xmlns:pic="http://schemas.openxmlformats.org/drawingml/2006/picture">
                        <pic:nvPicPr>
                          <pic:cNvPr id="43" name="Picture_34"/>
                          <pic:cNvPicPr/>
                        </pic:nvPicPr>
                        <pic:blipFill>
                          <a:blip r:embed="rId43"/>
                          <a:stretch>
                            <a:fillRect/>
                          </a:stretch>
                        </pic:blipFill>
                        <pic:spPr>
                          <a:xfrm>
                            <a:off x="0" y="0"/>
                            <a:ext cx="715010" cy="495300"/>
                          </a:xfrm>
                          <a:prstGeom prst="rect">
                            <a:avLst/>
                          </a:prstGeom>
                          <a:noFill/>
                          <a:ln>
                            <a:noFill/>
                          </a:ln>
                        </pic:spPr>
                      </pic:pic>
                    </a:graphicData>
                  </a:graphic>
                </wp:anchor>
              </w:drawing>
            </w:r>
          </w:p>
        </w:tc>
      </w:tr>
      <w:tr w14:paraId="2F6D73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81" w:hRule="atLeast"/>
        </w:trPr>
        <w:tc>
          <w:tcPr>
            <w:tcW w:w="52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A6D56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55C2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单温水龙头</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BFCA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1、优质陶瓷阀芯不滴漏；</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2、开关顺滑轻松拨动；</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3、304不锈钢材质，安全更实用；</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4、精选优质把手，顺滑手感设计，使用更加方便。</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ADCD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02CD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6CDB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88</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383EDF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-20320</wp:posOffset>
                  </wp:positionH>
                  <wp:positionV relativeFrom="paragraph">
                    <wp:posOffset>177800</wp:posOffset>
                  </wp:positionV>
                  <wp:extent cx="715010" cy="495300"/>
                  <wp:effectExtent l="0" t="0" r="8890" b="0"/>
                  <wp:wrapNone/>
                  <wp:docPr id="37" name="Picture_33"/>
                  <wp:cNvGraphicFramePr/>
                  <a:graphic xmlns:a="http://schemas.openxmlformats.org/drawingml/2006/main">
                    <a:graphicData uri="http://schemas.openxmlformats.org/drawingml/2006/picture">
                      <pic:pic xmlns:pic="http://schemas.openxmlformats.org/drawingml/2006/picture">
                        <pic:nvPicPr>
                          <pic:cNvPr id="37" name="Picture_33"/>
                          <pic:cNvPicPr/>
                        </pic:nvPicPr>
                        <pic:blipFill>
                          <a:blip r:embed="rId44"/>
                          <a:stretch>
                            <a:fillRect/>
                          </a:stretch>
                        </pic:blipFill>
                        <pic:spPr>
                          <a:xfrm>
                            <a:off x="0" y="0"/>
                            <a:ext cx="715010" cy="495300"/>
                          </a:xfrm>
                          <a:prstGeom prst="rect">
                            <a:avLst/>
                          </a:prstGeom>
                          <a:noFill/>
                          <a:ln>
                            <a:noFill/>
                          </a:ln>
                        </pic:spPr>
                      </pic:pic>
                    </a:graphicData>
                  </a:graphic>
                </wp:anchor>
              </w:drawing>
            </w:r>
          </w:p>
        </w:tc>
      </w:tr>
      <w:tr w14:paraId="6CBBF2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52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D3040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6AE4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单星工作台</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1D040">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1、尺寸：1200*700*800+150mm；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2、优质发纹贴塑不锈钢板制造，台面δ=1.0mm、星盆斗δ=1.0mm、柱φ38 *δ=0.8不锈钢管（配可调节子弹脚），配优质不锈钢落水器、拦渣斗。</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4DD8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7856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2CA0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F8DBEE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-62865</wp:posOffset>
                  </wp:positionH>
                  <wp:positionV relativeFrom="paragraph">
                    <wp:posOffset>-161925</wp:posOffset>
                  </wp:positionV>
                  <wp:extent cx="715010" cy="495300"/>
                  <wp:effectExtent l="0" t="0" r="8890" b="0"/>
                  <wp:wrapNone/>
                  <wp:docPr id="57" name="Picture_36"/>
                  <wp:cNvGraphicFramePr/>
                  <a:graphic xmlns:a="http://schemas.openxmlformats.org/drawingml/2006/main">
                    <a:graphicData uri="http://schemas.openxmlformats.org/drawingml/2006/picture">
                      <pic:pic xmlns:pic="http://schemas.openxmlformats.org/drawingml/2006/picture">
                        <pic:nvPicPr>
                          <pic:cNvPr id="57" name="Picture_36"/>
                          <pic:cNvPicPr/>
                        </pic:nvPicPr>
                        <pic:blipFill>
                          <a:blip r:embed="rId45"/>
                          <a:stretch>
                            <a:fillRect/>
                          </a:stretch>
                        </pic:blipFill>
                        <pic:spPr>
                          <a:xfrm>
                            <a:off x="0" y="0"/>
                            <a:ext cx="715010" cy="495300"/>
                          </a:xfrm>
                          <a:prstGeom prst="rect">
                            <a:avLst/>
                          </a:prstGeom>
                          <a:noFill/>
                          <a:ln>
                            <a:noFill/>
                          </a:ln>
                        </pic:spPr>
                      </pic:pic>
                    </a:graphicData>
                  </a:graphic>
                </wp:anchor>
              </w:drawing>
            </w:r>
          </w:p>
        </w:tc>
      </w:tr>
      <w:tr w14:paraId="68A842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9" w:hRule="atLeast"/>
        </w:trPr>
        <w:tc>
          <w:tcPr>
            <w:tcW w:w="52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41E8C6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AE5B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单温水龙头</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FBD9B">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1、优质陶瓷阀芯不滴漏；</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2、开关顺滑轻松拨动；</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3、304不锈钢材质，安全更实用；</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4、精选优质把手，顺滑手感设计，使用更加方便；</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7996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AA10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5178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407035</wp:posOffset>
                  </wp:positionH>
                  <wp:positionV relativeFrom="paragraph">
                    <wp:posOffset>166370</wp:posOffset>
                  </wp:positionV>
                  <wp:extent cx="715010" cy="495300"/>
                  <wp:effectExtent l="0" t="0" r="8890" b="0"/>
                  <wp:wrapNone/>
                  <wp:docPr id="46" name="Picture_35"/>
                  <wp:cNvGraphicFramePr/>
                  <a:graphic xmlns:a="http://schemas.openxmlformats.org/drawingml/2006/main">
                    <a:graphicData uri="http://schemas.openxmlformats.org/drawingml/2006/picture">
                      <pic:pic xmlns:pic="http://schemas.openxmlformats.org/drawingml/2006/picture">
                        <pic:nvPicPr>
                          <pic:cNvPr id="46" name="Picture_35"/>
                          <pic:cNvPicPr/>
                        </pic:nvPicPr>
                        <pic:blipFill>
                          <a:blip r:embed="rId44"/>
                          <a:stretch>
                            <a:fillRect/>
                          </a:stretch>
                        </pic:blipFill>
                        <pic:spPr>
                          <a:xfrm>
                            <a:off x="0" y="0"/>
                            <a:ext cx="715010" cy="495300"/>
                          </a:xfrm>
                          <a:prstGeom prst="rect">
                            <a:avLst/>
                          </a:prstGeom>
                          <a:noFill/>
                          <a:ln>
                            <a:noFill/>
                          </a:ln>
                        </pic:spPr>
                      </pic:pic>
                    </a:graphicData>
                  </a:graphic>
                </wp:anchor>
              </w:drawing>
            </w:r>
            <w:r>
              <w:rPr>
                <w:rFonts w:hint="eastAsia" w:ascii="宋体" w:hAnsi="宋体" w:eastAsia="宋体" w:cs="宋体"/>
                <w:i w:val="0"/>
                <w:iCs w:val="0"/>
                <w:color w:val="auto"/>
                <w:kern w:val="0"/>
                <w:sz w:val="20"/>
                <w:szCs w:val="20"/>
                <w:u w:val="none"/>
                <w:lang w:val="en-US" w:eastAsia="zh-CN" w:bidi="ar"/>
              </w:rPr>
              <w:t>88</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E05A64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r>
      <w:tr w14:paraId="5137DA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52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BF2A52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DF05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单星工作台</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2B3B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1、尺寸：1200*700*800+150mm；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2、优质发纹贴塑不锈钢板制造，台面δ=1.0mm、星盆斗δ=1.0mm、柱φ38 *δ=0.8不锈钢管（配可调节子弹脚），配优质不锈钢落水器、拦渣斗。</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B033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B28E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72A7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9972AE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-52070</wp:posOffset>
                  </wp:positionH>
                  <wp:positionV relativeFrom="paragraph">
                    <wp:posOffset>29845</wp:posOffset>
                  </wp:positionV>
                  <wp:extent cx="715010" cy="495300"/>
                  <wp:effectExtent l="0" t="0" r="8890" b="0"/>
                  <wp:wrapNone/>
                  <wp:docPr id="56" name="Picture_38"/>
                  <wp:cNvGraphicFramePr/>
                  <a:graphic xmlns:a="http://schemas.openxmlformats.org/drawingml/2006/main">
                    <a:graphicData uri="http://schemas.openxmlformats.org/drawingml/2006/picture">
                      <pic:pic xmlns:pic="http://schemas.openxmlformats.org/drawingml/2006/picture">
                        <pic:nvPicPr>
                          <pic:cNvPr id="56" name="Picture_38"/>
                          <pic:cNvPicPr/>
                        </pic:nvPicPr>
                        <pic:blipFill>
                          <a:blip r:embed="rId46"/>
                          <a:stretch>
                            <a:fillRect/>
                          </a:stretch>
                        </pic:blipFill>
                        <pic:spPr>
                          <a:xfrm>
                            <a:off x="0" y="0"/>
                            <a:ext cx="715010" cy="495300"/>
                          </a:xfrm>
                          <a:prstGeom prst="rect">
                            <a:avLst/>
                          </a:prstGeom>
                          <a:noFill/>
                          <a:ln>
                            <a:noFill/>
                          </a:ln>
                        </pic:spPr>
                      </pic:pic>
                    </a:graphicData>
                  </a:graphic>
                </wp:anchor>
              </w:drawing>
            </w:r>
          </w:p>
        </w:tc>
      </w:tr>
      <w:tr w14:paraId="78441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80" w:hRule="atLeast"/>
        </w:trPr>
        <w:tc>
          <w:tcPr>
            <w:tcW w:w="52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AFEC1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14</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9337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单温水龙头</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1A4A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1、优质陶瓷阀芯不滴漏；</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2、开关顺滑轻松拨动；</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3、304不锈钢材质，安全更实用；</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4、精选优质把手，顺滑手感设计，使用更加方便。</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712C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AF59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1ED2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88</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35F520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-66675</wp:posOffset>
                  </wp:positionH>
                  <wp:positionV relativeFrom="paragraph">
                    <wp:posOffset>-191770</wp:posOffset>
                  </wp:positionV>
                  <wp:extent cx="715010" cy="495300"/>
                  <wp:effectExtent l="0" t="0" r="8890" b="0"/>
                  <wp:wrapNone/>
                  <wp:docPr id="36" name="Picture_37"/>
                  <wp:cNvGraphicFramePr/>
                  <a:graphic xmlns:a="http://schemas.openxmlformats.org/drawingml/2006/main">
                    <a:graphicData uri="http://schemas.openxmlformats.org/drawingml/2006/picture">
                      <pic:pic xmlns:pic="http://schemas.openxmlformats.org/drawingml/2006/picture">
                        <pic:nvPicPr>
                          <pic:cNvPr id="36" name="Picture_37"/>
                          <pic:cNvPicPr/>
                        </pic:nvPicPr>
                        <pic:blipFill>
                          <a:blip r:embed="rId44"/>
                          <a:stretch>
                            <a:fillRect/>
                          </a:stretch>
                        </pic:blipFill>
                        <pic:spPr>
                          <a:xfrm>
                            <a:off x="0" y="0"/>
                            <a:ext cx="715010" cy="495300"/>
                          </a:xfrm>
                          <a:prstGeom prst="rect">
                            <a:avLst/>
                          </a:prstGeom>
                          <a:noFill/>
                          <a:ln>
                            <a:noFill/>
                          </a:ln>
                        </pic:spPr>
                      </pic:pic>
                    </a:graphicData>
                  </a:graphic>
                </wp:anchor>
              </w:drawing>
            </w:r>
          </w:p>
        </w:tc>
      </w:tr>
      <w:tr w14:paraId="71088E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52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811D4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D3F5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绞切肉机</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0A07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1、绞肉产量：150kg/h；</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2、使用电压：220V/50Hz；</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3、电机功率：2200W；</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4、切片产量：400kg/h；</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5、外形尺寸：630*430*800mm；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6、整机重量：90kg；</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4587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C53B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D256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3300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EBEB22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22225</wp:posOffset>
                  </wp:positionH>
                  <wp:positionV relativeFrom="paragraph">
                    <wp:posOffset>194945</wp:posOffset>
                  </wp:positionV>
                  <wp:extent cx="715010" cy="495300"/>
                  <wp:effectExtent l="0" t="0" r="8890" b="0"/>
                  <wp:wrapNone/>
                  <wp:docPr id="47" name="Picture_39"/>
                  <wp:cNvGraphicFramePr/>
                  <a:graphic xmlns:a="http://schemas.openxmlformats.org/drawingml/2006/main">
                    <a:graphicData uri="http://schemas.openxmlformats.org/drawingml/2006/picture">
                      <pic:pic xmlns:pic="http://schemas.openxmlformats.org/drawingml/2006/picture">
                        <pic:nvPicPr>
                          <pic:cNvPr id="47" name="Picture_39"/>
                          <pic:cNvPicPr/>
                        </pic:nvPicPr>
                        <pic:blipFill>
                          <a:blip r:embed="rId47"/>
                          <a:stretch>
                            <a:fillRect/>
                          </a:stretch>
                        </pic:blipFill>
                        <pic:spPr>
                          <a:xfrm>
                            <a:off x="0" y="0"/>
                            <a:ext cx="715010" cy="495300"/>
                          </a:xfrm>
                          <a:prstGeom prst="rect">
                            <a:avLst/>
                          </a:prstGeom>
                          <a:noFill/>
                          <a:ln>
                            <a:noFill/>
                          </a:ln>
                        </pic:spPr>
                      </pic:pic>
                    </a:graphicData>
                  </a:graphic>
                </wp:anchor>
              </w:drawing>
            </w:r>
          </w:p>
        </w:tc>
      </w:tr>
      <w:tr w14:paraId="29B74B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0" w:hRule="atLeast"/>
        </w:trPr>
        <w:tc>
          <w:tcPr>
            <w:tcW w:w="52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FC6BC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D8FD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四层栅格货架</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3217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1、尺寸：1200*500*1550mm；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2、优质发纹贴塑不锈钢板制造，柱Φ38*δ=0.8不锈钢管，横档38*25*δ=0.8的不锈钢扁管，栅板δ=0.8mm配置Φ39mm不锈钢可调节子弹脚。</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4009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3798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0CA2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6C6D23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-47625</wp:posOffset>
                  </wp:positionH>
                  <wp:positionV relativeFrom="paragraph">
                    <wp:posOffset>599440</wp:posOffset>
                  </wp:positionV>
                  <wp:extent cx="715010" cy="495300"/>
                  <wp:effectExtent l="0" t="0" r="8890" b="0"/>
                  <wp:wrapNone/>
                  <wp:docPr id="44" name="Picture_40"/>
                  <wp:cNvGraphicFramePr/>
                  <a:graphic xmlns:a="http://schemas.openxmlformats.org/drawingml/2006/main">
                    <a:graphicData uri="http://schemas.openxmlformats.org/drawingml/2006/picture">
                      <pic:pic xmlns:pic="http://schemas.openxmlformats.org/drawingml/2006/picture">
                        <pic:nvPicPr>
                          <pic:cNvPr id="44" name="Picture_40"/>
                          <pic:cNvPicPr/>
                        </pic:nvPicPr>
                        <pic:blipFill>
                          <a:blip r:embed="rId48"/>
                          <a:stretch>
                            <a:fillRect/>
                          </a:stretch>
                        </pic:blipFill>
                        <pic:spPr>
                          <a:xfrm>
                            <a:off x="0" y="0"/>
                            <a:ext cx="715010" cy="495300"/>
                          </a:xfrm>
                          <a:prstGeom prst="rect">
                            <a:avLst/>
                          </a:prstGeom>
                          <a:noFill/>
                          <a:ln>
                            <a:noFill/>
                          </a:ln>
                        </pic:spPr>
                      </pic:pic>
                    </a:graphicData>
                  </a:graphic>
                </wp:anchor>
              </w:drawing>
            </w:r>
          </w:p>
        </w:tc>
      </w:tr>
      <w:tr w14:paraId="7C21D5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52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D94DD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17</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D5A0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开水器带底座</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FA666">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1、尺寸：520*530*1300mm；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2、产品采用耐用电器元件，外壳全不锈钢制造，水箱式结构，具有自动进、自动控温及水位和温度显示功能；</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3、容量：≧60L。</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B9B4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FC54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DD55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3600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038B66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-19685</wp:posOffset>
                  </wp:positionH>
                  <wp:positionV relativeFrom="paragraph">
                    <wp:posOffset>146050</wp:posOffset>
                  </wp:positionV>
                  <wp:extent cx="715010" cy="495300"/>
                  <wp:effectExtent l="0" t="0" r="8890" b="0"/>
                  <wp:wrapNone/>
                  <wp:docPr id="49" name="Picture_41"/>
                  <wp:cNvGraphicFramePr/>
                  <a:graphic xmlns:a="http://schemas.openxmlformats.org/drawingml/2006/main">
                    <a:graphicData uri="http://schemas.openxmlformats.org/drawingml/2006/picture">
                      <pic:pic xmlns:pic="http://schemas.openxmlformats.org/drawingml/2006/picture">
                        <pic:nvPicPr>
                          <pic:cNvPr id="49" name="Picture_41"/>
                          <pic:cNvPicPr/>
                        </pic:nvPicPr>
                        <pic:blipFill>
                          <a:blip r:embed="rId49"/>
                          <a:stretch>
                            <a:fillRect/>
                          </a:stretch>
                        </pic:blipFill>
                        <pic:spPr>
                          <a:xfrm>
                            <a:off x="0" y="0"/>
                            <a:ext cx="715010" cy="495300"/>
                          </a:xfrm>
                          <a:prstGeom prst="rect">
                            <a:avLst/>
                          </a:prstGeom>
                          <a:noFill/>
                          <a:ln>
                            <a:noFill/>
                          </a:ln>
                        </pic:spPr>
                      </pic:pic>
                    </a:graphicData>
                  </a:graphic>
                </wp:anchor>
              </w:drawing>
            </w:r>
          </w:p>
        </w:tc>
      </w:tr>
      <w:tr w14:paraId="3E7BAB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0" w:hRule="atLeast"/>
        </w:trPr>
        <w:tc>
          <w:tcPr>
            <w:tcW w:w="52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DBE00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40DE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灭蚊灯</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1AAD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1、工作方式：粘捕式；</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2、额定功率：0.008KW；</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3、覆盖面积：30-50；</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4、额定电压：220V-50HZ；</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5、材料等级：ABS阻燃材料；</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6、尺寸：400*120*170mm；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B8B5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2EE1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DF6E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260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CB60EA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11430</wp:posOffset>
                  </wp:positionH>
                  <wp:positionV relativeFrom="paragraph">
                    <wp:posOffset>692150</wp:posOffset>
                  </wp:positionV>
                  <wp:extent cx="715010" cy="495300"/>
                  <wp:effectExtent l="0" t="0" r="8890" b="0"/>
                  <wp:wrapNone/>
                  <wp:docPr id="58" name="Picture_42"/>
                  <wp:cNvGraphicFramePr/>
                  <a:graphic xmlns:a="http://schemas.openxmlformats.org/drawingml/2006/main">
                    <a:graphicData uri="http://schemas.openxmlformats.org/drawingml/2006/picture">
                      <pic:pic xmlns:pic="http://schemas.openxmlformats.org/drawingml/2006/picture">
                        <pic:nvPicPr>
                          <pic:cNvPr id="58" name="Picture_42"/>
                          <pic:cNvPicPr/>
                        </pic:nvPicPr>
                        <pic:blipFill>
                          <a:blip r:embed="rId50"/>
                          <a:stretch>
                            <a:fillRect/>
                          </a:stretch>
                        </pic:blipFill>
                        <pic:spPr>
                          <a:xfrm>
                            <a:off x="0" y="0"/>
                            <a:ext cx="715010" cy="495300"/>
                          </a:xfrm>
                          <a:prstGeom prst="rect">
                            <a:avLst/>
                          </a:prstGeom>
                          <a:noFill/>
                          <a:ln>
                            <a:noFill/>
                          </a:ln>
                        </pic:spPr>
                      </pic:pic>
                    </a:graphicData>
                  </a:graphic>
                </wp:anchor>
              </w:drawing>
            </w:r>
          </w:p>
        </w:tc>
      </w:tr>
      <w:tr w14:paraId="17E28C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52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94D9B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19</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4F8D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挂墙双层架</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0D43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1、尺寸：1800*350*680mm；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2、优质发纹贴塑不锈钢板制造，δ=1.0mm。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1AD2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0D7A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CB9C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A6E132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-60325</wp:posOffset>
                  </wp:positionH>
                  <wp:positionV relativeFrom="paragraph">
                    <wp:posOffset>109855</wp:posOffset>
                  </wp:positionV>
                  <wp:extent cx="715010" cy="495300"/>
                  <wp:effectExtent l="0" t="0" r="8890" b="0"/>
                  <wp:wrapNone/>
                  <wp:docPr id="59" name="Picture_24_SpCnt_1"/>
                  <wp:cNvGraphicFramePr/>
                  <a:graphic xmlns:a="http://schemas.openxmlformats.org/drawingml/2006/main">
                    <a:graphicData uri="http://schemas.openxmlformats.org/drawingml/2006/picture">
                      <pic:pic xmlns:pic="http://schemas.openxmlformats.org/drawingml/2006/picture">
                        <pic:nvPicPr>
                          <pic:cNvPr id="59" name="Picture_24_SpCnt_1"/>
                          <pic:cNvPicPr/>
                        </pic:nvPicPr>
                        <pic:blipFill>
                          <a:blip r:embed="rId51"/>
                          <a:stretch>
                            <a:fillRect/>
                          </a:stretch>
                        </pic:blipFill>
                        <pic:spPr>
                          <a:xfrm>
                            <a:off x="0" y="0"/>
                            <a:ext cx="715010" cy="495300"/>
                          </a:xfrm>
                          <a:prstGeom prst="rect">
                            <a:avLst/>
                          </a:prstGeom>
                          <a:noFill/>
                          <a:ln>
                            <a:noFill/>
                          </a:ln>
                        </pic:spPr>
                      </pic:pic>
                    </a:graphicData>
                  </a:graphic>
                </wp:anchor>
              </w:drawing>
            </w:r>
          </w:p>
        </w:tc>
      </w:tr>
      <w:tr w14:paraId="0DBDAA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trPr>
        <w:tc>
          <w:tcPr>
            <w:tcW w:w="0" w:type="auto"/>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14:paraId="2A1BADC0">
            <w:pPr>
              <w:keepNext w:val="0"/>
              <w:keepLines w:val="0"/>
              <w:widowControl/>
              <w:suppressLineNumbers w:val="0"/>
              <w:jc w:val="left"/>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C切配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EBFE0">
            <w:pP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D6483">
            <w:pP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14F01">
            <w:pP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72095">
            <w:pP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60C8E9E5">
            <w:pPr>
              <w:rPr>
                <w:rFonts w:hint="eastAsia" w:ascii="宋体" w:hAnsi="宋体" w:eastAsia="宋体" w:cs="宋体"/>
                <w:i w:val="0"/>
                <w:iCs w:val="0"/>
                <w:color w:val="auto"/>
                <w:sz w:val="20"/>
                <w:szCs w:val="20"/>
                <w:u w:val="none"/>
              </w:rPr>
            </w:pPr>
          </w:p>
        </w:tc>
      </w:tr>
      <w:tr w14:paraId="49462E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BCEE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7552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单星盆水池</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65D1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1、尺寸：700*700*800+150mm；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2、优质发纹贴塑不锈钢板制造，台面δ=1.0mm、星盆斗δ=1.0mm、柱φ38 *δ=0.8不锈钢管（配可调节子弹脚），配优质不锈钢落水器、拦渣斗。</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592A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6A98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63F7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7143ED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-20320</wp:posOffset>
                  </wp:positionH>
                  <wp:positionV relativeFrom="paragraph">
                    <wp:posOffset>-172720</wp:posOffset>
                  </wp:positionV>
                  <wp:extent cx="715010" cy="495300"/>
                  <wp:effectExtent l="0" t="0" r="8890" b="0"/>
                  <wp:wrapNone/>
                  <wp:docPr id="55" name="Picture_44"/>
                  <wp:cNvGraphicFramePr/>
                  <a:graphic xmlns:a="http://schemas.openxmlformats.org/drawingml/2006/main">
                    <a:graphicData uri="http://schemas.openxmlformats.org/drawingml/2006/picture">
                      <pic:pic xmlns:pic="http://schemas.openxmlformats.org/drawingml/2006/picture">
                        <pic:nvPicPr>
                          <pic:cNvPr id="55" name="Picture_44"/>
                          <pic:cNvPicPr/>
                        </pic:nvPicPr>
                        <pic:blipFill>
                          <a:blip r:embed="rId43"/>
                          <a:stretch>
                            <a:fillRect/>
                          </a:stretch>
                        </pic:blipFill>
                        <pic:spPr>
                          <a:xfrm>
                            <a:off x="0" y="0"/>
                            <a:ext cx="715010" cy="495300"/>
                          </a:xfrm>
                          <a:prstGeom prst="rect">
                            <a:avLst/>
                          </a:prstGeom>
                          <a:noFill/>
                          <a:ln>
                            <a:noFill/>
                          </a:ln>
                        </pic:spPr>
                      </pic:pic>
                    </a:graphicData>
                  </a:graphic>
                </wp:anchor>
              </w:drawing>
            </w:r>
          </w:p>
        </w:tc>
      </w:tr>
      <w:tr w14:paraId="0AF75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4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5E1A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21</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4A35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单温水龙头</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085B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1、优质陶瓷阀芯不滴漏；</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2、开关顺滑轻松拨动；</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3、304不锈钢材质，安全更实用；</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4、精选优质把手，顺滑手感设计，使用更加方便。</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BFF5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8C8E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9059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440690</wp:posOffset>
                  </wp:positionH>
                  <wp:positionV relativeFrom="paragraph">
                    <wp:posOffset>62865</wp:posOffset>
                  </wp:positionV>
                  <wp:extent cx="715010" cy="495300"/>
                  <wp:effectExtent l="0" t="0" r="8890" b="0"/>
                  <wp:wrapNone/>
                  <wp:docPr id="40" name="Picture_43"/>
                  <wp:cNvGraphicFramePr/>
                  <a:graphic xmlns:a="http://schemas.openxmlformats.org/drawingml/2006/main">
                    <a:graphicData uri="http://schemas.openxmlformats.org/drawingml/2006/picture">
                      <pic:pic xmlns:pic="http://schemas.openxmlformats.org/drawingml/2006/picture">
                        <pic:nvPicPr>
                          <pic:cNvPr id="40" name="Picture_43"/>
                          <pic:cNvPicPr/>
                        </pic:nvPicPr>
                        <pic:blipFill>
                          <a:blip r:embed="rId44"/>
                          <a:stretch>
                            <a:fillRect/>
                          </a:stretch>
                        </pic:blipFill>
                        <pic:spPr>
                          <a:xfrm>
                            <a:off x="0" y="0"/>
                            <a:ext cx="715010" cy="495300"/>
                          </a:xfrm>
                          <a:prstGeom prst="rect">
                            <a:avLst/>
                          </a:prstGeom>
                          <a:noFill/>
                          <a:ln>
                            <a:noFill/>
                          </a:ln>
                        </pic:spPr>
                      </pic:pic>
                    </a:graphicData>
                  </a:graphic>
                </wp:anchor>
              </w:drawing>
            </w:r>
            <w:r>
              <w:rPr>
                <w:rFonts w:hint="eastAsia" w:ascii="宋体" w:hAnsi="宋体" w:eastAsia="宋体" w:cs="宋体"/>
                <w:i w:val="0"/>
                <w:iCs w:val="0"/>
                <w:color w:val="auto"/>
                <w:kern w:val="0"/>
                <w:sz w:val="20"/>
                <w:szCs w:val="20"/>
                <w:u w:val="none"/>
                <w:lang w:val="en-US" w:eastAsia="zh-CN" w:bidi="ar"/>
              </w:rPr>
              <w:t>88</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B59685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r>
      <w:tr w14:paraId="2C127C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4B22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22</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F2C9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双温四门高身柜</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2718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1、尺寸：1220*700*1980mm；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2、产品整体发泡，内外不锈钢板材，国内知名品牌压缩机、风机、冷凝器，时尚把手，耐用美观，开关轻松自如；可拆卸门封条，便于清洗；配锁片，储物更放心。</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3、冷冻温度：-6℃~-15℃。</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4、冷藏温度：-5℃~5℃。</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5、制冷方式：直冷。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8763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D6D4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DB46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8300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DBDAE9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-13970</wp:posOffset>
                  </wp:positionH>
                  <wp:positionV relativeFrom="paragraph">
                    <wp:posOffset>364490</wp:posOffset>
                  </wp:positionV>
                  <wp:extent cx="715010" cy="495300"/>
                  <wp:effectExtent l="0" t="0" r="8890" b="0"/>
                  <wp:wrapNone/>
                  <wp:docPr id="50" name="Picture_45"/>
                  <wp:cNvGraphicFramePr/>
                  <a:graphic xmlns:a="http://schemas.openxmlformats.org/drawingml/2006/main">
                    <a:graphicData uri="http://schemas.openxmlformats.org/drawingml/2006/picture">
                      <pic:pic xmlns:pic="http://schemas.openxmlformats.org/drawingml/2006/picture">
                        <pic:nvPicPr>
                          <pic:cNvPr id="50" name="Picture_45"/>
                          <pic:cNvPicPr/>
                        </pic:nvPicPr>
                        <pic:blipFill>
                          <a:blip r:embed="rId52"/>
                          <a:stretch>
                            <a:fillRect/>
                          </a:stretch>
                        </pic:blipFill>
                        <pic:spPr>
                          <a:xfrm>
                            <a:off x="0" y="0"/>
                            <a:ext cx="715010" cy="495300"/>
                          </a:xfrm>
                          <a:prstGeom prst="rect">
                            <a:avLst/>
                          </a:prstGeom>
                          <a:noFill/>
                          <a:ln>
                            <a:noFill/>
                          </a:ln>
                        </pic:spPr>
                      </pic:pic>
                    </a:graphicData>
                  </a:graphic>
                </wp:anchor>
              </w:drawing>
            </w:r>
          </w:p>
        </w:tc>
      </w:tr>
      <w:tr w14:paraId="600041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2DFE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23</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438C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刀具砧板消毒柜</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B67F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▲1、透明钢化玻璃门板，刀具门板带锁，优质光波烘干管，紫外线+臭氧一体消毒灯管，具备相关检验检测报告证书。</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2、不小于60分钟定时设置。</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3、功率:0.7千瓦。电压220V。</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D3AB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A701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3591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6600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D56B48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-41910</wp:posOffset>
                  </wp:positionH>
                  <wp:positionV relativeFrom="paragraph">
                    <wp:posOffset>-278130</wp:posOffset>
                  </wp:positionV>
                  <wp:extent cx="715010" cy="495300"/>
                  <wp:effectExtent l="0" t="0" r="8890" b="0"/>
                  <wp:wrapNone/>
                  <wp:docPr id="45" name="Picture_46"/>
                  <wp:cNvGraphicFramePr/>
                  <a:graphic xmlns:a="http://schemas.openxmlformats.org/drawingml/2006/main">
                    <a:graphicData uri="http://schemas.openxmlformats.org/drawingml/2006/picture">
                      <pic:pic xmlns:pic="http://schemas.openxmlformats.org/drawingml/2006/picture">
                        <pic:nvPicPr>
                          <pic:cNvPr id="45" name="Picture_46"/>
                          <pic:cNvPicPr/>
                        </pic:nvPicPr>
                        <pic:blipFill>
                          <a:blip r:embed="rId53"/>
                          <a:stretch>
                            <a:fillRect/>
                          </a:stretch>
                        </pic:blipFill>
                        <pic:spPr>
                          <a:xfrm>
                            <a:off x="0" y="0"/>
                            <a:ext cx="715010" cy="495300"/>
                          </a:xfrm>
                          <a:prstGeom prst="rect">
                            <a:avLst/>
                          </a:prstGeom>
                          <a:noFill/>
                          <a:ln>
                            <a:noFill/>
                          </a:ln>
                        </pic:spPr>
                      </pic:pic>
                    </a:graphicData>
                  </a:graphic>
                </wp:anchor>
              </w:drawing>
            </w:r>
          </w:p>
        </w:tc>
      </w:tr>
      <w:tr w14:paraId="252F46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8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4C81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26CE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双层工作台</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37FE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1、尺寸：1800*700*800mm；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2、优质发纹贴塑不锈钢板制造，台面δ=1.0mm (下衬12.0密度板减噪),层板0.8mm、脚Φ38*0.8mm(配有可调子弹脚)、脚杯Φ50*100*0.8mm。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57BB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03AD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1062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7C1C1E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-64135</wp:posOffset>
                  </wp:positionH>
                  <wp:positionV relativeFrom="paragraph">
                    <wp:posOffset>506095</wp:posOffset>
                  </wp:positionV>
                  <wp:extent cx="715010" cy="495300"/>
                  <wp:effectExtent l="0" t="0" r="8890" b="0"/>
                  <wp:wrapNone/>
                  <wp:docPr id="66" name="Picture_47"/>
                  <wp:cNvGraphicFramePr/>
                  <a:graphic xmlns:a="http://schemas.openxmlformats.org/drawingml/2006/main">
                    <a:graphicData uri="http://schemas.openxmlformats.org/drawingml/2006/picture">
                      <pic:pic xmlns:pic="http://schemas.openxmlformats.org/drawingml/2006/picture">
                        <pic:nvPicPr>
                          <pic:cNvPr id="66" name="Picture_47"/>
                          <pic:cNvPicPr/>
                        </pic:nvPicPr>
                        <pic:blipFill>
                          <a:blip r:embed="rId54"/>
                          <a:stretch>
                            <a:fillRect/>
                          </a:stretch>
                        </pic:blipFill>
                        <pic:spPr>
                          <a:xfrm>
                            <a:off x="0" y="0"/>
                            <a:ext cx="715010" cy="495300"/>
                          </a:xfrm>
                          <a:prstGeom prst="rect">
                            <a:avLst/>
                          </a:prstGeom>
                          <a:noFill/>
                          <a:ln>
                            <a:noFill/>
                          </a:ln>
                        </pic:spPr>
                      </pic:pic>
                    </a:graphicData>
                  </a:graphic>
                </wp:anchor>
              </w:drawing>
            </w:r>
          </w:p>
        </w:tc>
      </w:tr>
      <w:tr w14:paraId="32A622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7B1C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B7E1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风幕机</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46F0A">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1、电压：220V；</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2、功率：315W；</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3、噪声：59dB；</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4、风量：1670(m3/h)；</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5、风轮直径：120mm；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6、重量：15kg；</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7、尺寸：1500*212*226mm；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FD71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3D46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0FE7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675297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85725</wp:posOffset>
                  </wp:positionH>
                  <wp:positionV relativeFrom="paragraph">
                    <wp:posOffset>177800</wp:posOffset>
                  </wp:positionV>
                  <wp:extent cx="715010" cy="495300"/>
                  <wp:effectExtent l="0" t="0" r="8890" b="0"/>
                  <wp:wrapNone/>
                  <wp:docPr id="38" name="Picture_48"/>
                  <wp:cNvGraphicFramePr/>
                  <a:graphic xmlns:a="http://schemas.openxmlformats.org/drawingml/2006/main">
                    <a:graphicData uri="http://schemas.openxmlformats.org/drawingml/2006/picture">
                      <pic:pic xmlns:pic="http://schemas.openxmlformats.org/drawingml/2006/picture">
                        <pic:nvPicPr>
                          <pic:cNvPr id="38" name="Picture_48"/>
                          <pic:cNvPicPr/>
                        </pic:nvPicPr>
                        <pic:blipFill>
                          <a:blip r:embed="rId55"/>
                          <a:stretch>
                            <a:fillRect/>
                          </a:stretch>
                        </pic:blipFill>
                        <pic:spPr>
                          <a:xfrm>
                            <a:off x="0" y="0"/>
                            <a:ext cx="715010" cy="495300"/>
                          </a:xfrm>
                          <a:prstGeom prst="rect">
                            <a:avLst/>
                          </a:prstGeom>
                          <a:noFill/>
                          <a:ln>
                            <a:noFill/>
                          </a:ln>
                        </pic:spPr>
                      </pic:pic>
                    </a:graphicData>
                  </a:graphic>
                </wp:anchor>
              </w:drawing>
            </w:r>
          </w:p>
        </w:tc>
      </w:tr>
      <w:tr w14:paraId="5B9ECA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8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6BDA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26</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9915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灭蚊灯</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BD46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1、工作方式：粘捕式；</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2、额定功率：0.008KW；</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3、覆盖面积：30-50；</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4、额定电压：220V-50HZ；</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5、材料等级：ABS阻燃材料；</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6、尺寸：400*120*170mm；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A44B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8B2C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E3C1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260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A2EA3F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-62230</wp:posOffset>
                  </wp:positionH>
                  <wp:positionV relativeFrom="paragraph">
                    <wp:posOffset>416560</wp:posOffset>
                  </wp:positionV>
                  <wp:extent cx="715010" cy="495300"/>
                  <wp:effectExtent l="0" t="0" r="8890" b="0"/>
                  <wp:wrapNone/>
                  <wp:docPr id="51" name="Picture_49"/>
                  <wp:cNvGraphicFramePr/>
                  <a:graphic xmlns:a="http://schemas.openxmlformats.org/drawingml/2006/main">
                    <a:graphicData uri="http://schemas.openxmlformats.org/drawingml/2006/picture">
                      <pic:pic xmlns:pic="http://schemas.openxmlformats.org/drawingml/2006/picture">
                        <pic:nvPicPr>
                          <pic:cNvPr id="51" name="Picture_49"/>
                          <pic:cNvPicPr/>
                        </pic:nvPicPr>
                        <pic:blipFill>
                          <a:blip r:embed="rId50"/>
                          <a:stretch>
                            <a:fillRect/>
                          </a:stretch>
                        </pic:blipFill>
                        <pic:spPr>
                          <a:xfrm>
                            <a:off x="0" y="0"/>
                            <a:ext cx="715010" cy="495300"/>
                          </a:xfrm>
                          <a:prstGeom prst="rect">
                            <a:avLst/>
                          </a:prstGeom>
                          <a:noFill/>
                          <a:ln>
                            <a:noFill/>
                          </a:ln>
                        </pic:spPr>
                      </pic:pic>
                    </a:graphicData>
                  </a:graphic>
                </wp:anchor>
              </w:drawing>
            </w:r>
          </w:p>
        </w:tc>
      </w:tr>
      <w:tr w14:paraId="7EDD2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62D3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27</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EEA6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四层平板货架</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18D1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1、尺寸：1200*500*1550mm；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2、优质发纹贴塑不锈钢板制造，柱Φ38*δ=0.8不锈钢管，平板δ=0.8mm配置Φ39mm不锈钢可调节重力子弹脚。</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06B9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E24B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0FDC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DDA24F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-52070</wp:posOffset>
                  </wp:positionH>
                  <wp:positionV relativeFrom="paragraph">
                    <wp:posOffset>104140</wp:posOffset>
                  </wp:positionV>
                  <wp:extent cx="715010" cy="495300"/>
                  <wp:effectExtent l="0" t="0" r="8890" b="0"/>
                  <wp:wrapNone/>
                  <wp:docPr id="60" name="Picture_50"/>
                  <wp:cNvGraphicFramePr/>
                  <a:graphic xmlns:a="http://schemas.openxmlformats.org/drawingml/2006/main">
                    <a:graphicData uri="http://schemas.openxmlformats.org/drawingml/2006/picture">
                      <pic:pic xmlns:pic="http://schemas.openxmlformats.org/drawingml/2006/picture">
                        <pic:nvPicPr>
                          <pic:cNvPr id="60" name="Picture_50"/>
                          <pic:cNvPicPr/>
                        </pic:nvPicPr>
                        <pic:blipFill>
                          <a:blip r:embed="rId39"/>
                          <a:stretch>
                            <a:fillRect/>
                          </a:stretch>
                        </pic:blipFill>
                        <pic:spPr>
                          <a:xfrm>
                            <a:off x="0" y="0"/>
                            <a:ext cx="715010" cy="495300"/>
                          </a:xfrm>
                          <a:prstGeom prst="rect">
                            <a:avLst/>
                          </a:prstGeom>
                          <a:noFill/>
                          <a:ln>
                            <a:noFill/>
                          </a:ln>
                        </pic:spPr>
                      </pic:pic>
                    </a:graphicData>
                  </a:graphic>
                </wp:anchor>
              </w:drawing>
            </w:r>
          </w:p>
        </w:tc>
      </w:tr>
      <w:tr w14:paraId="35CC1B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14:paraId="291B1C2F">
            <w:pPr>
              <w:keepNext w:val="0"/>
              <w:keepLines w:val="0"/>
              <w:widowControl/>
              <w:suppressLineNumbers w:val="0"/>
              <w:jc w:val="left"/>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D烹饪/蒸煮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96017">
            <w:pP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47C42">
            <w:pP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8170B">
            <w:pP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A11F7">
            <w:pP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2109ED3C">
            <w:pPr>
              <w:rPr>
                <w:rFonts w:hint="eastAsia" w:ascii="宋体" w:hAnsi="宋体" w:eastAsia="宋体" w:cs="宋体"/>
                <w:i w:val="0"/>
                <w:iCs w:val="0"/>
                <w:color w:val="auto"/>
                <w:sz w:val="20"/>
                <w:szCs w:val="20"/>
                <w:u w:val="none"/>
              </w:rPr>
            </w:pPr>
          </w:p>
        </w:tc>
      </w:tr>
      <w:tr w14:paraId="07D251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4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18C7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28</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677D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单头矮汤炉</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86EB3">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1、尺寸：700*700*600+650mm；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▲2、优质发纹贴塑不锈钢板制造，δ=1.2mm,框架采用4*4加厚角铁焊接而成，坚固耐用，承重力好。燃气旺火型8寸强力炉炉芯带长明火装置、厚扁钢炉栅，配置国标熄火保护装置。并获得国家颁发的3C认证证书。</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2E8C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913D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DB64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4400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39C860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-62865</wp:posOffset>
                  </wp:positionH>
                  <wp:positionV relativeFrom="paragraph">
                    <wp:posOffset>421640</wp:posOffset>
                  </wp:positionV>
                  <wp:extent cx="715010" cy="495300"/>
                  <wp:effectExtent l="0" t="0" r="8890" b="0"/>
                  <wp:wrapNone/>
                  <wp:docPr id="53" name="Picture_51"/>
                  <wp:cNvGraphicFramePr/>
                  <a:graphic xmlns:a="http://schemas.openxmlformats.org/drawingml/2006/main">
                    <a:graphicData uri="http://schemas.openxmlformats.org/drawingml/2006/picture">
                      <pic:pic xmlns:pic="http://schemas.openxmlformats.org/drawingml/2006/picture">
                        <pic:nvPicPr>
                          <pic:cNvPr id="53" name="Picture_51"/>
                          <pic:cNvPicPr/>
                        </pic:nvPicPr>
                        <pic:blipFill>
                          <a:blip r:embed="rId56"/>
                          <a:stretch>
                            <a:fillRect/>
                          </a:stretch>
                        </pic:blipFill>
                        <pic:spPr>
                          <a:xfrm>
                            <a:off x="0" y="0"/>
                            <a:ext cx="715010" cy="495300"/>
                          </a:xfrm>
                          <a:prstGeom prst="rect">
                            <a:avLst/>
                          </a:prstGeom>
                          <a:noFill/>
                          <a:ln>
                            <a:noFill/>
                          </a:ln>
                        </pic:spPr>
                      </pic:pic>
                    </a:graphicData>
                  </a:graphic>
                </wp:anchor>
              </w:drawing>
            </w:r>
          </w:p>
        </w:tc>
      </w:tr>
      <w:tr w14:paraId="4BF2CA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80DA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29</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BC45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炉拼台</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4FC3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1、尺寸：500*1000*800+300mm；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2、优质发纹贴塑不锈钢板制造，台面δ=1.0mm、柱Φ38 *δ=0.8不锈钢管(配有可调子弹脚)、脚杯Φ50*100*0.8mm，横通Φ25*0.8mm。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E79C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78B9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9446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263CB9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-30480</wp:posOffset>
                  </wp:positionH>
                  <wp:positionV relativeFrom="paragraph">
                    <wp:posOffset>114300</wp:posOffset>
                  </wp:positionV>
                  <wp:extent cx="715010" cy="495300"/>
                  <wp:effectExtent l="0" t="0" r="8890" b="0"/>
                  <wp:wrapNone/>
                  <wp:docPr id="41" name="Picture_52"/>
                  <wp:cNvGraphicFramePr/>
                  <a:graphic xmlns:a="http://schemas.openxmlformats.org/drawingml/2006/main">
                    <a:graphicData uri="http://schemas.openxmlformats.org/drawingml/2006/picture">
                      <pic:pic xmlns:pic="http://schemas.openxmlformats.org/drawingml/2006/picture">
                        <pic:nvPicPr>
                          <pic:cNvPr id="41" name="Picture_52"/>
                          <pic:cNvPicPr/>
                        </pic:nvPicPr>
                        <pic:blipFill>
                          <a:blip r:embed="rId57"/>
                          <a:stretch>
                            <a:fillRect/>
                          </a:stretch>
                        </pic:blipFill>
                        <pic:spPr>
                          <a:xfrm>
                            <a:off x="0" y="0"/>
                            <a:ext cx="715010" cy="495300"/>
                          </a:xfrm>
                          <a:prstGeom prst="rect">
                            <a:avLst/>
                          </a:prstGeom>
                          <a:noFill/>
                          <a:ln>
                            <a:noFill/>
                          </a:ln>
                        </pic:spPr>
                      </pic:pic>
                    </a:graphicData>
                  </a:graphic>
                </wp:anchor>
              </w:drawing>
            </w:r>
          </w:p>
        </w:tc>
      </w:tr>
      <w:tr w14:paraId="403A26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25DC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9DA4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双头单尾小炒灶</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952C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1、尺寸：1800*1000*800+300mm；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▲2、优质发纹贴塑不锈钢板制造，台面δ1.2mm面板、侧板、后板δ1.0mm炉架40*40角铁 (国标)锅围与面板一次性压制成型脚Φ48厚壁铁管外套Φ50不锈钢管，连不锈钢可调节脚全铸铁炉芯配备全铜芯助燃防水鼓风机、摇摆龙头。采用节能炉头，比传统燃烧器节能30%。可放Φ300mm小锅，配置国标熄火保护装置。并获得国家颁发的3C认证证书。</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3、电量：0.5KW/1PH/220V</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4CAE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B139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9437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7900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1E6F9C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-19685</wp:posOffset>
                  </wp:positionH>
                  <wp:positionV relativeFrom="paragraph">
                    <wp:posOffset>810260</wp:posOffset>
                  </wp:positionV>
                  <wp:extent cx="715010" cy="495300"/>
                  <wp:effectExtent l="0" t="0" r="8890" b="0"/>
                  <wp:wrapNone/>
                  <wp:docPr id="54" name="Picture_53"/>
                  <wp:cNvGraphicFramePr/>
                  <a:graphic xmlns:a="http://schemas.openxmlformats.org/drawingml/2006/main">
                    <a:graphicData uri="http://schemas.openxmlformats.org/drawingml/2006/picture">
                      <pic:pic xmlns:pic="http://schemas.openxmlformats.org/drawingml/2006/picture">
                        <pic:nvPicPr>
                          <pic:cNvPr id="54" name="Picture_53"/>
                          <pic:cNvPicPr/>
                        </pic:nvPicPr>
                        <pic:blipFill>
                          <a:blip r:embed="rId58"/>
                          <a:stretch>
                            <a:fillRect/>
                          </a:stretch>
                        </pic:blipFill>
                        <pic:spPr>
                          <a:xfrm>
                            <a:off x="0" y="0"/>
                            <a:ext cx="715010" cy="495300"/>
                          </a:xfrm>
                          <a:prstGeom prst="rect">
                            <a:avLst/>
                          </a:prstGeom>
                          <a:noFill/>
                          <a:ln>
                            <a:noFill/>
                          </a:ln>
                        </pic:spPr>
                      </pic:pic>
                    </a:graphicData>
                  </a:graphic>
                </wp:anchor>
              </w:drawing>
            </w:r>
          </w:p>
        </w:tc>
      </w:tr>
      <w:tr w14:paraId="0020A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CCC1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31</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5AEC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油网烟罩</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8613B">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1、尺寸：3600*1100*500mm；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2、优质发纹贴塑不锈钢板制造，前板、侧板、δ=1.0mm后板δ=0.8mm，配双层隔油烟排、积油杯、防爆灯。(风机及排烟管另计)</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E214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3.96</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9377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平方</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E1F0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247AF7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-41275</wp:posOffset>
                  </wp:positionH>
                  <wp:positionV relativeFrom="paragraph">
                    <wp:posOffset>114300</wp:posOffset>
                  </wp:positionV>
                  <wp:extent cx="715010" cy="495300"/>
                  <wp:effectExtent l="0" t="0" r="8890" b="0"/>
                  <wp:wrapNone/>
                  <wp:docPr id="52" name="Picture_54"/>
                  <wp:cNvGraphicFramePr/>
                  <a:graphic xmlns:a="http://schemas.openxmlformats.org/drawingml/2006/main">
                    <a:graphicData uri="http://schemas.openxmlformats.org/drawingml/2006/picture">
                      <pic:pic xmlns:pic="http://schemas.openxmlformats.org/drawingml/2006/picture">
                        <pic:nvPicPr>
                          <pic:cNvPr id="52" name="Picture_54"/>
                          <pic:cNvPicPr/>
                        </pic:nvPicPr>
                        <pic:blipFill>
                          <a:blip r:embed="rId59"/>
                          <a:stretch>
                            <a:fillRect/>
                          </a:stretch>
                        </pic:blipFill>
                        <pic:spPr>
                          <a:xfrm>
                            <a:off x="0" y="0"/>
                            <a:ext cx="715010" cy="495300"/>
                          </a:xfrm>
                          <a:prstGeom prst="rect">
                            <a:avLst/>
                          </a:prstGeom>
                          <a:noFill/>
                          <a:ln>
                            <a:noFill/>
                          </a:ln>
                        </pic:spPr>
                      </pic:pic>
                    </a:graphicData>
                  </a:graphic>
                </wp:anchor>
              </w:drawing>
            </w:r>
          </w:p>
        </w:tc>
      </w:tr>
      <w:tr w14:paraId="445D68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6E58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32</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87F6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单通移门荷台柜</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C3DF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1、尺寸：1800*800*800mm；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2、优质发纹贴塑不锈钢板制造，台面δ=1.0mm (下衬12.0密度板减噪),侧板δ0.8mm,门面δ0.8mm、底板、层板δ0.8mm，重力脚Φ60*150不锈钢重力脚。</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99E3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ED22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CFCB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3900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B8BE94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-47625</wp:posOffset>
                  </wp:positionH>
                  <wp:positionV relativeFrom="paragraph">
                    <wp:posOffset>363855</wp:posOffset>
                  </wp:positionV>
                  <wp:extent cx="715010" cy="495300"/>
                  <wp:effectExtent l="0" t="0" r="8890" b="0"/>
                  <wp:wrapNone/>
                  <wp:docPr id="61" name="Picture_55"/>
                  <wp:cNvGraphicFramePr/>
                  <a:graphic xmlns:a="http://schemas.openxmlformats.org/drawingml/2006/main">
                    <a:graphicData uri="http://schemas.openxmlformats.org/drawingml/2006/picture">
                      <pic:pic xmlns:pic="http://schemas.openxmlformats.org/drawingml/2006/picture">
                        <pic:nvPicPr>
                          <pic:cNvPr id="61" name="Picture_55"/>
                          <pic:cNvPicPr/>
                        </pic:nvPicPr>
                        <pic:blipFill>
                          <a:blip r:embed="rId60"/>
                          <a:stretch>
                            <a:fillRect/>
                          </a:stretch>
                        </pic:blipFill>
                        <pic:spPr>
                          <a:xfrm>
                            <a:off x="0" y="0"/>
                            <a:ext cx="715010" cy="495300"/>
                          </a:xfrm>
                          <a:prstGeom prst="rect">
                            <a:avLst/>
                          </a:prstGeom>
                          <a:noFill/>
                          <a:ln>
                            <a:noFill/>
                          </a:ln>
                        </pic:spPr>
                      </pic:pic>
                    </a:graphicData>
                  </a:graphic>
                </wp:anchor>
              </w:drawing>
            </w:r>
          </w:p>
        </w:tc>
      </w:tr>
      <w:tr w14:paraId="59CA59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6339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33</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0327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单门蒸饭车(电热)</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86A9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1、尺寸：700*650*1700mm；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2、优质发纹贴塑不锈钢板制造，面板、侧板、门面、后板δ=1.0mm；重力脚Φ50*150不锈钢重力脚；自动进水，配蒸汽安全阀。</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3、功率：2*12KW/380V</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2977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6DE0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4AE5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4900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50C30B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126365</wp:posOffset>
                  </wp:positionH>
                  <wp:positionV relativeFrom="paragraph">
                    <wp:posOffset>228600</wp:posOffset>
                  </wp:positionV>
                  <wp:extent cx="544195" cy="535305"/>
                  <wp:effectExtent l="0" t="0" r="8255" b="17145"/>
                  <wp:wrapNone/>
                  <wp:docPr id="62" name="Picture_13_SpCnt_1"/>
                  <wp:cNvGraphicFramePr/>
                  <a:graphic xmlns:a="http://schemas.openxmlformats.org/drawingml/2006/main">
                    <a:graphicData uri="http://schemas.openxmlformats.org/drawingml/2006/picture">
                      <pic:pic xmlns:pic="http://schemas.openxmlformats.org/drawingml/2006/picture">
                        <pic:nvPicPr>
                          <pic:cNvPr id="62" name="Picture_13_SpCnt_1"/>
                          <pic:cNvPicPr/>
                        </pic:nvPicPr>
                        <pic:blipFill>
                          <a:blip r:embed="rId61"/>
                          <a:stretch>
                            <a:fillRect/>
                          </a:stretch>
                        </pic:blipFill>
                        <pic:spPr>
                          <a:xfrm>
                            <a:off x="0" y="0"/>
                            <a:ext cx="544195" cy="535305"/>
                          </a:xfrm>
                          <a:prstGeom prst="rect">
                            <a:avLst/>
                          </a:prstGeom>
                          <a:noFill/>
                          <a:ln>
                            <a:noFill/>
                          </a:ln>
                        </pic:spPr>
                      </pic:pic>
                    </a:graphicData>
                  </a:graphic>
                </wp:anchor>
              </w:drawing>
            </w:r>
          </w:p>
        </w:tc>
      </w:tr>
      <w:tr w14:paraId="0E47A6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6895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34</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FF57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双层四盘不锈钢烤箱</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9980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1、尺寸：1225*770*1240mm；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2、功率：13.6KW；</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3、电压：3-380V；</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4、重量：200KG；</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5、规格：双层四盘；</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EB14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7FEE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2F38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6000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404074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-9525</wp:posOffset>
                  </wp:positionH>
                  <wp:positionV relativeFrom="paragraph">
                    <wp:posOffset>146050</wp:posOffset>
                  </wp:positionV>
                  <wp:extent cx="715010" cy="495300"/>
                  <wp:effectExtent l="0" t="0" r="8890" b="0"/>
                  <wp:wrapNone/>
                  <wp:docPr id="63" name="Picture_57"/>
                  <wp:cNvGraphicFramePr/>
                  <a:graphic xmlns:a="http://schemas.openxmlformats.org/drawingml/2006/main">
                    <a:graphicData uri="http://schemas.openxmlformats.org/drawingml/2006/picture">
                      <pic:pic xmlns:pic="http://schemas.openxmlformats.org/drawingml/2006/picture">
                        <pic:nvPicPr>
                          <pic:cNvPr id="63" name="Picture_57"/>
                          <pic:cNvPicPr/>
                        </pic:nvPicPr>
                        <pic:blipFill>
                          <a:blip r:embed="rId62"/>
                          <a:stretch>
                            <a:fillRect/>
                          </a:stretch>
                        </pic:blipFill>
                        <pic:spPr>
                          <a:xfrm>
                            <a:off x="0" y="0"/>
                            <a:ext cx="715010" cy="495300"/>
                          </a:xfrm>
                          <a:prstGeom prst="rect">
                            <a:avLst/>
                          </a:prstGeom>
                          <a:noFill/>
                          <a:ln>
                            <a:noFill/>
                          </a:ln>
                        </pic:spPr>
                      </pic:pic>
                    </a:graphicData>
                  </a:graphic>
                </wp:anchor>
              </w:drawing>
            </w:r>
          </w:p>
        </w:tc>
      </w:tr>
      <w:tr w14:paraId="50270D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4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FB02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839B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饼盘车</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202E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1、尺寸：495*790*1670mm；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2、优质发纹贴塑不锈钢板制造，38*25*1.0㎜，￡=1.2㎜，配￠5"平底车轮,对角有刹车。</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286D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C74C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59C4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396240</wp:posOffset>
                  </wp:positionH>
                  <wp:positionV relativeFrom="paragraph">
                    <wp:posOffset>-23495</wp:posOffset>
                  </wp:positionV>
                  <wp:extent cx="715010" cy="495300"/>
                  <wp:effectExtent l="0" t="0" r="8890" b="0"/>
                  <wp:wrapNone/>
                  <wp:docPr id="64" name="Picture_58"/>
                  <wp:cNvGraphicFramePr/>
                  <a:graphic xmlns:a="http://schemas.openxmlformats.org/drawingml/2006/main">
                    <a:graphicData uri="http://schemas.openxmlformats.org/drawingml/2006/picture">
                      <pic:pic xmlns:pic="http://schemas.openxmlformats.org/drawingml/2006/picture">
                        <pic:nvPicPr>
                          <pic:cNvPr id="64" name="Picture_58"/>
                          <pic:cNvPicPr/>
                        </pic:nvPicPr>
                        <pic:blipFill>
                          <a:blip r:embed="rId63"/>
                          <a:stretch>
                            <a:fillRect/>
                          </a:stretch>
                        </pic:blipFill>
                        <pic:spPr>
                          <a:xfrm>
                            <a:off x="0" y="0"/>
                            <a:ext cx="715010" cy="495300"/>
                          </a:xfrm>
                          <a:prstGeom prst="rect">
                            <a:avLst/>
                          </a:prstGeom>
                          <a:noFill/>
                          <a:ln>
                            <a:noFill/>
                          </a:ln>
                        </pic:spPr>
                      </pic:pic>
                    </a:graphicData>
                  </a:graphic>
                </wp:anchor>
              </w:drawing>
            </w:r>
            <w:r>
              <w:rPr>
                <w:rFonts w:hint="eastAsia" w:ascii="宋体" w:hAnsi="宋体" w:eastAsia="宋体" w:cs="宋体"/>
                <w:i w:val="0"/>
                <w:iCs w:val="0"/>
                <w:color w:val="auto"/>
                <w:kern w:val="0"/>
                <w:sz w:val="20"/>
                <w:szCs w:val="20"/>
                <w:u w:val="none"/>
                <w:lang w:val="en-US" w:eastAsia="zh-CN" w:bidi="ar"/>
              </w:rPr>
              <w:t>2200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9E5610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r>
      <w:tr w14:paraId="173466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9B64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36</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8D53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集气罩</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686EB">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1、尺寸：3800*1000*500mm；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2、优质发纹贴塑不锈钢板制造，前板、侧板、δ=1.0mm、后板δ=0.8mm，(风机及排烟管另计)。</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5DB8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3.8</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5F57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平方</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4DF7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6F88A2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-43815</wp:posOffset>
                  </wp:positionH>
                  <wp:positionV relativeFrom="paragraph">
                    <wp:posOffset>-50800</wp:posOffset>
                  </wp:positionV>
                  <wp:extent cx="715010" cy="495300"/>
                  <wp:effectExtent l="0" t="0" r="8890" b="0"/>
                  <wp:wrapNone/>
                  <wp:docPr id="65" name="Picture_59"/>
                  <wp:cNvGraphicFramePr/>
                  <a:graphic xmlns:a="http://schemas.openxmlformats.org/drawingml/2006/main">
                    <a:graphicData uri="http://schemas.openxmlformats.org/drawingml/2006/picture">
                      <pic:pic xmlns:pic="http://schemas.openxmlformats.org/drawingml/2006/picture">
                        <pic:nvPicPr>
                          <pic:cNvPr id="65" name="Picture_59"/>
                          <pic:cNvPicPr/>
                        </pic:nvPicPr>
                        <pic:blipFill>
                          <a:blip r:embed="rId59"/>
                          <a:stretch>
                            <a:fillRect/>
                          </a:stretch>
                        </pic:blipFill>
                        <pic:spPr>
                          <a:xfrm>
                            <a:off x="0" y="0"/>
                            <a:ext cx="715010" cy="495300"/>
                          </a:xfrm>
                          <a:prstGeom prst="rect">
                            <a:avLst/>
                          </a:prstGeom>
                          <a:noFill/>
                          <a:ln>
                            <a:noFill/>
                          </a:ln>
                        </pic:spPr>
                      </pic:pic>
                    </a:graphicData>
                  </a:graphic>
                </wp:anchor>
              </w:drawing>
            </w:r>
          </w:p>
        </w:tc>
      </w:tr>
      <w:tr w14:paraId="4F489D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5291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37</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E61F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双层工作台</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F296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1、尺寸：1800*800*800mm；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2、优质发纹贴塑不锈钢板制造，台面δ=1.0mm (下衬12.0密度板减噪),层板0.8mm、脚Φ38*0.8mm(配有可调子弹脚)、脚杯Φ50*100*0.8mm。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3B26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A45B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F5C2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436880</wp:posOffset>
                  </wp:positionH>
                  <wp:positionV relativeFrom="paragraph">
                    <wp:posOffset>69850</wp:posOffset>
                  </wp:positionV>
                  <wp:extent cx="715010" cy="495300"/>
                  <wp:effectExtent l="0" t="0" r="8890" b="0"/>
                  <wp:wrapNone/>
                  <wp:docPr id="67" name="Picture_60"/>
                  <wp:cNvGraphicFramePr/>
                  <a:graphic xmlns:a="http://schemas.openxmlformats.org/drawingml/2006/main">
                    <a:graphicData uri="http://schemas.openxmlformats.org/drawingml/2006/picture">
                      <pic:pic xmlns:pic="http://schemas.openxmlformats.org/drawingml/2006/picture">
                        <pic:nvPicPr>
                          <pic:cNvPr id="67" name="Picture_60"/>
                          <pic:cNvPicPr/>
                        </pic:nvPicPr>
                        <pic:blipFill>
                          <a:blip r:embed="rId54"/>
                          <a:stretch>
                            <a:fillRect/>
                          </a:stretch>
                        </pic:blipFill>
                        <pic:spPr>
                          <a:xfrm>
                            <a:off x="0" y="0"/>
                            <a:ext cx="715010" cy="495300"/>
                          </a:xfrm>
                          <a:prstGeom prst="rect">
                            <a:avLst/>
                          </a:prstGeom>
                          <a:noFill/>
                          <a:ln>
                            <a:noFill/>
                          </a:ln>
                        </pic:spPr>
                      </pic:pic>
                    </a:graphicData>
                  </a:graphic>
                </wp:anchor>
              </w:drawing>
            </w:r>
            <w:r>
              <w:rPr>
                <w:rFonts w:hint="eastAsia" w:ascii="宋体" w:hAnsi="宋体" w:eastAsia="宋体" w:cs="宋体"/>
                <w:i w:val="0"/>
                <w:iCs w:val="0"/>
                <w:color w:val="auto"/>
                <w:kern w:val="0"/>
                <w:sz w:val="20"/>
                <w:szCs w:val="20"/>
                <w:u w:val="none"/>
                <w:lang w:val="en-US" w:eastAsia="zh-CN" w:bidi="ar"/>
              </w:rPr>
              <w:t>1800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253355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r>
      <w:tr w14:paraId="2075BA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D2F1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38</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32C7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淘米星盆</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E853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1、尺寸：800*800*800mm；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2、优质发纹贴塑不锈钢板制造，台面δ=1.0mm、星盆斗δ=1.0mm、柱φ38 *δ=0.8不锈钢管（配可调节子弹脚），配优质不锈钢落水器、拦渣斗。</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4079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3AA1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6B62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59EF96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-52070</wp:posOffset>
                  </wp:positionH>
                  <wp:positionV relativeFrom="paragraph">
                    <wp:posOffset>125095</wp:posOffset>
                  </wp:positionV>
                  <wp:extent cx="715010" cy="495300"/>
                  <wp:effectExtent l="0" t="0" r="8890" b="0"/>
                  <wp:wrapNone/>
                  <wp:docPr id="76" name="Picture_62"/>
                  <wp:cNvGraphicFramePr/>
                  <a:graphic xmlns:a="http://schemas.openxmlformats.org/drawingml/2006/main">
                    <a:graphicData uri="http://schemas.openxmlformats.org/drawingml/2006/picture">
                      <pic:pic xmlns:pic="http://schemas.openxmlformats.org/drawingml/2006/picture">
                        <pic:nvPicPr>
                          <pic:cNvPr id="76" name="Picture_62"/>
                          <pic:cNvPicPr/>
                        </pic:nvPicPr>
                        <pic:blipFill>
                          <a:blip r:embed="rId43"/>
                          <a:stretch>
                            <a:fillRect/>
                          </a:stretch>
                        </pic:blipFill>
                        <pic:spPr>
                          <a:xfrm>
                            <a:off x="0" y="0"/>
                            <a:ext cx="715010" cy="495300"/>
                          </a:xfrm>
                          <a:prstGeom prst="rect">
                            <a:avLst/>
                          </a:prstGeom>
                          <a:noFill/>
                          <a:ln>
                            <a:noFill/>
                          </a:ln>
                        </pic:spPr>
                      </pic:pic>
                    </a:graphicData>
                  </a:graphic>
                </wp:anchor>
              </w:drawing>
            </w:r>
          </w:p>
        </w:tc>
      </w:tr>
      <w:tr w14:paraId="11CF20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2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5AA5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39</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5C9E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单温水龙头</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F8AE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1、优质陶瓷阀芯不滴漏。</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2、开关顺滑轻松拨动。</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3、304不锈钢材质，安全更实用。</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4、精选优质把手，顺滑手感设计，使用更加方便。</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37A9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22BC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9A43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88</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A9DB28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38735</wp:posOffset>
                  </wp:positionH>
                  <wp:positionV relativeFrom="paragraph">
                    <wp:posOffset>488950</wp:posOffset>
                  </wp:positionV>
                  <wp:extent cx="715010" cy="495300"/>
                  <wp:effectExtent l="0" t="0" r="8890" b="0"/>
                  <wp:wrapNone/>
                  <wp:docPr id="73" name="Picture_61"/>
                  <wp:cNvGraphicFramePr/>
                  <a:graphic xmlns:a="http://schemas.openxmlformats.org/drawingml/2006/main">
                    <a:graphicData uri="http://schemas.openxmlformats.org/drawingml/2006/picture">
                      <pic:pic xmlns:pic="http://schemas.openxmlformats.org/drawingml/2006/picture">
                        <pic:nvPicPr>
                          <pic:cNvPr id="73" name="Picture_61"/>
                          <pic:cNvPicPr/>
                        </pic:nvPicPr>
                        <pic:blipFill>
                          <a:blip r:embed="rId44"/>
                          <a:stretch>
                            <a:fillRect/>
                          </a:stretch>
                        </pic:blipFill>
                        <pic:spPr>
                          <a:xfrm>
                            <a:off x="0" y="0"/>
                            <a:ext cx="715010" cy="495300"/>
                          </a:xfrm>
                          <a:prstGeom prst="rect">
                            <a:avLst/>
                          </a:prstGeom>
                          <a:noFill/>
                          <a:ln>
                            <a:noFill/>
                          </a:ln>
                        </pic:spPr>
                      </pic:pic>
                    </a:graphicData>
                  </a:graphic>
                </wp:anchor>
              </w:drawing>
            </w:r>
          </w:p>
        </w:tc>
      </w:tr>
      <w:tr w14:paraId="01BC44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D16E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D722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柜式保温送餐车</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113A6">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1、尺寸：450*850*900mm；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2、优质发纹贴塑不锈钢板制造，厚度1.0mm；吊杆采用Ф38*1.2mm厚不锈钢圆管制作；配置静音万向轮，带刹车。</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4F8A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3446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D5CF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5400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A5387E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-62230</wp:posOffset>
                  </wp:positionH>
                  <wp:positionV relativeFrom="paragraph">
                    <wp:posOffset>82550</wp:posOffset>
                  </wp:positionV>
                  <wp:extent cx="715010" cy="495300"/>
                  <wp:effectExtent l="0" t="0" r="8890" b="0"/>
                  <wp:wrapNone/>
                  <wp:docPr id="68" name="Picture_63"/>
                  <wp:cNvGraphicFramePr/>
                  <a:graphic xmlns:a="http://schemas.openxmlformats.org/drawingml/2006/main">
                    <a:graphicData uri="http://schemas.openxmlformats.org/drawingml/2006/picture">
                      <pic:pic xmlns:pic="http://schemas.openxmlformats.org/drawingml/2006/picture">
                        <pic:nvPicPr>
                          <pic:cNvPr id="68" name="Picture_63"/>
                          <pic:cNvPicPr/>
                        </pic:nvPicPr>
                        <pic:blipFill>
                          <a:blip r:embed="rId64"/>
                          <a:stretch>
                            <a:fillRect/>
                          </a:stretch>
                        </pic:blipFill>
                        <pic:spPr>
                          <a:xfrm>
                            <a:off x="0" y="0"/>
                            <a:ext cx="715010" cy="495300"/>
                          </a:xfrm>
                          <a:prstGeom prst="rect">
                            <a:avLst/>
                          </a:prstGeom>
                          <a:noFill/>
                          <a:ln>
                            <a:noFill/>
                          </a:ln>
                        </pic:spPr>
                      </pic:pic>
                    </a:graphicData>
                  </a:graphic>
                </wp:anchor>
              </w:drawing>
            </w:r>
          </w:p>
        </w:tc>
      </w:tr>
      <w:tr w14:paraId="1C0A90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C8A9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41</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2C87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灭蚊灯</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1D68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1、工作方式：粘捕式；</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2、额定功率：0.008KW；</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3、覆盖面积：30-50；</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4、额定电压：220V-50HZ；</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5、材料等级：ABS阻燃材料；</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6、尺寸：400*120*170mm；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E8B7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E836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5E42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260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6B7CE1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-13335</wp:posOffset>
                  </wp:positionH>
                  <wp:positionV relativeFrom="paragraph">
                    <wp:posOffset>624205</wp:posOffset>
                  </wp:positionV>
                  <wp:extent cx="715010" cy="495300"/>
                  <wp:effectExtent l="0" t="0" r="8890" b="0"/>
                  <wp:wrapNone/>
                  <wp:docPr id="84" name="Picture_64"/>
                  <wp:cNvGraphicFramePr/>
                  <a:graphic xmlns:a="http://schemas.openxmlformats.org/drawingml/2006/main">
                    <a:graphicData uri="http://schemas.openxmlformats.org/drawingml/2006/picture">
                      <pic:pic xmlns:pic="http://schemas.openxmlformats.org/drawingml/2006/picture">
                        <pic:nvPicPr>
                          <pic:cNvPr id="84" name="Picture_64"/>
                          <pic:cNvPicPr/>
                        </pic:nvPicPr>
                        <pic:blipFill>
                          <a:blip r:embed="rId65"/>
                          <a:stretch>
                            <a:fillRect/>
                          </a:stretch>
                        </pic:blipFill>
                        <pic:spPr>
                          <a:xfrm>
                            <a:off x="0" y="0"/>
                            <a:ext cx="715010" cy="495300"/>
                          </a:xfrm>
                          <a:prstGeom prst="rect">
                            <a:avLst/>
                          </a:prstGeom>
                          <a:noFill/>
                          <a:ln>
                            <a:noFill/>
                          </a:ln>
                        </pic:spPr>
                      </pic:pic>
                    </a:graphicData>
                  </a:graphic>
                </wp:anchor>
              </w:drawing>
            </w:r>
          </w:p>
        </w:tc>
      </w:tr>
      <w:tr w14:paraId="3415A3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399D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42</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CDB3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风幕机</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875E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1、尺寸：1500*212*226mm；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2、电压：220V；</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3、功率：315W；</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4、噪声：59dB；</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5、风量：1670(m3/h)；</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6、风轮直径：120mm；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7、重量：15kg；</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768E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E7D9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B638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981CCA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-20320</wp:posOffset>
                  </wp:positionH>
                  <wp:positionV relativeFrom="paragraph">
                    <wp:posOffset>125095</wp:posOffset>
                  </wp:positionV>
                  <wp:extent cx="715010" cy="495300"/>
                  <wp:effectExtent l="0" t="0" r="8890" b="0"/>
                  <wp:wrapNone/>
                  <wp:docPr id="72" name="Picture_65"/>
                  <wp:cNvGraphicFramePr/>
                  <a:graphic xmlns:a="http://schemas.openxmlformats.org/drawingml/2006/main">
                    <a:graphicData uri="http://schemas.openxmlformats.org/drawingml/2006/picture">
                      <pic:pic xmlns:pic="http://schemas.openxmlformats.org/drawingml/2006/picture">
                        <pic:nvPicPr>
                          <pic:cNvPr id="72" name="Picture_65"/>
                          <pic:cNvPicPr/>
                        </pic:nvPicPr>
                        <pic:blipFill>
                          <a:blip r:embed="rId55"/>
                          <a:stretch>
                            <a:fillRect/>
                          </a:stretch>
                        </pic:blipFill>
                        <pic:spPr>
                          <a:xfrm>
                            <a:off x="0" y="0"/>
                            <a:ext cx="715010" cy="495300"/>
                          </a:xfrm>
                          <a:prstGeom prst="rect">
                            <a:avLst/>
                          </a:prstGeom>
                          <a:noFill/>
                          <a:ln>
                            <a:noFill/>
                          </a:ln>
                        </pic:spPr>
                      </pic:pic>
                    </a:graphicData>
                  </a:graphic>
                </wp:anchor>
              </w:drawing>
            </w:r>
          </w:p>
        </w:tc>
      </w:tr>
      <w:tr w14:paraId="5F3BEB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514D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43</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36A1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洗地龙头</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FECA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1、优质软管，耐折复合材料，耐高压可输热水；</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2、限位橡胶球，软管自动回卷到转盘，回卷到限位球停止，限位球可手动调整位置；</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3、不锈钢保保护套，不锈钢软管保护套，保护软管不刮伤；</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4、可持续喷水，钢圈套住把手，可持续喷水减轻手部负担；</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5、尺寸：215*535*530mm；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ACBD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3280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ADBD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3300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22C586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-47625</wp:posOffset>
                  </wp:positionH>
                  <wp:positionV relativeFrom="paragraph">
                    <wp:posOffset>450850</wp:posOffset>
                  </wp:positionV>
                  <wp:extent cx="715010" cy="495300"/>
                  <wp:effectExtent l="0" t="0" r="8890" b="0"/>
                  <wp:wrapNone/>
                  <wp:docPr id="85" name="Picture_47_SpCnt_1"/>
                  <wp:cNvGraphicFramePr/>
                  <a:graphic xmlns:a="http://schemas.openxmlformats.org/drawingml/2006/main">
                    <a:graphicData uri="http://schemas.openxmlformats.org/drawingml/2006/picture">
                      <pic:pic xmlns:pic="http://schemas.openxmlformats.org/drawingml/2006/picture">
                        <pic:nvPicPr>
                          <pic:cNvPr id="85" name="Picture_47_SpCnt_1"/>
                          <pic:cNvPicPr/>
                        </pic:nvPicPr>
                        <pic:blipFill>
                          <a:blip r:embed="rId66"/>
                          <a:stretch>
                            <a:fillRect/>
                          </a:stretch>
                        </pic:blipFill>
                        <pic:spPr>
                          <a:xfrm>
                            <a:off x="0" y="0"/>
                            <a:ext cx="715010" cy="495300"/>
                          </a:xfrm>
                          <a:prstGeom prst="rect">
                            <a:avLst/>
                          </a:prstGeom>
                          <a:noFill/>
                          <a:ln>
                            <a:noFill/>
                          </a:ln>
                        </pic:spPr>
                      </pic:pic>
                    </a:graphicData>
                  </a:graphic>
                </wp:anchor>
              </w:drawing>
            </w:r>
          </w:p>
        </w:tc>
      </w:tr>
      <w:tr w14:paraId="57E9FB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F559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44</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E492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不锈钢封板</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CBA1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1、优质发纹贴塑不锈钢板制造，厚度1.0mm；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38A15">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5613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51348">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350</w:t>
            </w: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1FB4C11B">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158115</wp:posOffset>
                  </wp:positionH>
                  <wp:positionV relativeFrom="paragraph">
                    <wp:posOffset>31750</wp:posOffset>
                  </wp:positionV>
                  <wp:extent cx="516255" cy="450850"/>
                  <wp:effectExtent l="0" t="0" r="17145" b="6350"/>
                  <wp:wrapNone/>
                  <wp:docPr id="69" name="图片_226"/>
                  <wp:cNvGraphicFramePr/>
                  <a:graphic xmlns:a="http://schemas.openxmlformats.org/drawingml/2006/main">
                    <a:graphicData uri="http://schemas.openxmlformats.org/drawingml/2006/picture">
                      <pic:pic xmlns:pic="http://schemas.openxmlformats.org/drawingml/2006/picture">
                        <pic:nvPicPr>
                          <pic:cNvPr id="69" name="图片_226"/>
                          <pic:cNvPicPr/>
                        </pic:nvPicPr>
                        <pic:blipFill>
                          <a:blip r:embed="rId67"/>
                          <a:stretch>
                            <a:fillRect/>
                          </a:stretch>
                        </pic:blipFill>
                        <pic:spPr>
                          <a:xfrm>
                            <a:off x="0" y="0"/>
                            <a:ext cx="516255" cy="450850"/>
                          </a:xfrm>
                          <a:prstGeom prst="rect">
                            <a:avLst/>
                          </a:prstGeom>
                          <a:noFill/>
                          <a:ln>
                            <a:noFill/>
                          </a:ln>
                        </pic:spPr>
                      </pic:pic>
                    </a:graphicData>
                  </a:graphic>
                </wp:anchor>
              </w:drawing>
            </w:r>
          </w:p>
        </w:tc>
      </w:tr>
      <w:tr w14:paraId="70B069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64"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CE2D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45</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24DC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热风循环消毒柜（推车式）</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BAC9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1、规格尺寸：双门1310*650*1960mm；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2、容积：双门720L；</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3、功率：双门4.4KW；</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4、温度范围：30-125℃；</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5、加热系统：采用304U型1.2米不锈钢电热管，离心式蜗牛风机；</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6、消毒方式：高温热风循环，360°上下周天式循环方式，上下温差小；</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7、带超温保护，中美合资风机带延时保护；</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10、配定制食品级胶条，安全无异味；</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11、整机优质201不锈钢抗菌板材；</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12、配8层深筐，层架尺寸560*395*260；</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 xml:space="preserve">13、符合二星级国家标准，消杀多种菌种 ；                                     </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★14、提供胶条符合GB4806.11-2016，感官色泽正常、无异臭、污物。迁移试验所得浸泡液不应有着色、浑浊、沉淀、异臭等感官性的劣变。总迁移量 1.0，重金属＜1。</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★15、符合GB 17988-2024《食具消毒柜性能要求和试验方法》：温度 120℃以上的消毒时间＞15min，满足二星级消毒柜的要求(消毒温度＞120℃，消毒时间＞15min)；测得消毒柜一、二、三层内、外点对大肠杆菌的杀灭对数值均≥6.50，满足二星级的要求(杀灭对数值＞4.00)；测得消毒柜一、二、三层内、外点对脊髓灰质炎病毒的灭活对数值均≥6.33，满足星级消毒柜的要求(灭活对数值＞4.00)。测得消毒柜一、二、三层内、外点对金色葡萄球菌的灭活对数值均≥6.40，满足星级消毒柜的要求(灭活对数值＞3.00)。测得消毒柜一、二、三层内、外点对幽门螺旋杆菌的灭活对数值均≥6.04，满足星级消毒柜的要求(灭活对数值＞3.00)。测得消毒柜一、二、三层内、外点对黄曲霉的灭活对数值均≥6.11，满足星级消毒柜的要求(灭活对数值＞3.00)。</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★16、提供消毒柜配套层架、篮筐符合GB/T 2423.3-2016标准的恒定湿热试验报告，将样品放置在严酷等级40℃±3℃、93%±3%RH的环境试验箱中， 持续时间150h，试验结束后产品外观正常无生锈。</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★17、提供消毒卫生生产许可证以及网上安全评价报告</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4AD0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2C89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ED00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6900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216CFC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635</wp:posOffset>
                  </wp:positionH>
                  <wp:positionV relativeFrom="paragraph">
                    <wp:posOffset>114300</wp:posOffset>
                  </wp:positionV>
                  <wp:extent cx="715010" cy="495300"/>
                  <wp:effectExtent l="0" t="0" r="8890" b="0"/>
                  <wp:wrapNone/>
                  <wp:docPr id="74" name="Picture_84"/>
                  <wp:cNvGraphicFramePr/>
                  <a:graphic xmlns:a="http://schemas.openxmlformats.org/drawingml/2006/main">
                    <a:graphicData uri="http://schemas.openxmlformats.org/drawingml/2006/picture">
                      <pic:pic xmlns:pic="http://schemas.openxmlformats.org/drawingml/2006/picture">
                        <pic:nvPicPr>
                          <pic:cNvPr id="74" name="Picture_84"/>
                          <pic:cNvPicPr/>
                        </pic:nvPicPr>
                        <pic:blipFill>
                          <a:blip r:embed="rId68"/>
                          <a:stretch>
                            <a:fillRect/>
                          </a:stretch>
                        </pic:blipFill>
                        <pic:spPr>
                          <a:xfrm>
                            <a:off x="0" y="0"/>
                            <a:ext cx="715010" cy="495300"/>
                          </a:xfrm>
                          <a:prstGeom prst="rect">
                            <a:avLst/>
                          </a:prstGeom>
                          <a:noFill/>
                          <a:ln>
                            <a:noFill/>
                          </a:ln>
                        </pic:spPr>
                      </pic:pic>
                    </a:graphicData>
                  </a:graphic>
                </wp:anchor>
              </w:drawing>
            </w:r>
          </w:p>
        </w:tc>
      </w:tr>
      <w:tr w14:paraId="59F763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2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3844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46</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95EF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四层平板货架</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A5B2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1、尺寸：1200*500*1550mm；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2、优质发纹贴塑不锈钢板制造，柱Φ38*δ=0.8不锈钢管，平板δ=0.8mm配置Φ39mm不锈钢可调节重力子弹脚。</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C6A1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323D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8986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80D06D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-24765</wp:posOffset>
                  </wp:positionH>
                  <wp:positionV relativeFrom="paragraph">
                    <wp:posOffset>340995</wp:posOffset>
                  </wp:positionV>
                  <wp:extent cx="715010" cy="495300"/>
                  <wp:effectExtent l="0" t="0" r="8890" b="0"/>
                  <wp:wrapNone/>
                  <wp:docPr id="92" name="Picture_50_SpCnt_1"/>
                  <wp:cNvGraphicFramePr/>
                  <a:graphic xmlns:a="http://schemas.openxmlformats.org/drawingml/2006/main">
                    <a:graphicData uri="http://schemas.openxmlformats.org/drawingml/2006/picture">
                      <pic:pic xmlns:pic="http://schemas.openxmlformats.org/drawingml/2006/picture">
                        <pic:nvPicPr>
                          <pic:cNvPr id="92" name="Picture_50_SpCnt_1"/>
                          <pic:cNvPicPr/>
                        </pic:nvPicPr>
                        <pic:blipFill>
                          <a:blip r:embed="rId39"/>
                          <a:stretch>
                            <a:fillRect/>
                          </a:stretch>
                        </pic:blipFill>
                        <pic:spPr>
                          <a:xfrm>
                            <a:off x="0" y="0"/>
                            <a:ext cx="715010" cy="495300"/>
                          </a:xfrm>
                          <a:prstGeom prst="rect">
                            <a:avLst/>
                          </a:prstGeom>
                          <a:noFill/>
                          <a:ln>
                            <a:noFill/>
                          </a:ln>
                        </pic:spPr>
                      </pic:pic>
                    </a:graphicData>
                  </a:graphic>
                </wp:anchor>
              </w:drawing>
            </w:r>
          </w:p>
        </w:tc>
      </w:tr>
      <w:tr w14:paraId="23BA66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6"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4F4E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47</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2EFF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灭火系统</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C114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1、装置主要由控制箱、驱动瓶、药剂罐、水流联动阀、燃气切断阀、感温探测器、手拉启动盒组成。装置设有下喷、侧喷、上喷喷嘴，同时对灶台，烟罩，烟道进行保护。</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2、装置在启动后，在喷洒完食用油专用灭火剂后会自动继续喷射冷却水（进水压力&gt;0.25M pa）,以进一步巩固灭火效果，同时对设备进行降温。厨房设备灭火装置是纯机械自动启动方式，有人工应急启动装置。</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3、在灭火剂喷洒完毕之后能自动继续喷水、水压≥0.25Mpa下喷喷嘴需采取连续布置、间距600-650mm、角度正对所保护区域的中心位置。安装高度1100-1200mm、对灶台危险区域实现无死角的全覆盖保护。</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4、每个烟道口都需布置上喷喷嘴。烟罩内布置水平安装的侧喷喷嘴，用以保护烟罩滤排。感温探测器动作温度183±5℃，相邻两个感温探测器安装距离不能超过1000mm。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5、每一组灭火装置所保护的区域要安装燃气切断阀，在灭火的时候能迅速切断燃气。</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C914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860F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18422">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12000</w:t>
            </w: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22F85DF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53975</wp:posOffset>
                  </wp:positionH>
                  <wp:positionV relativeFrom="paragraph">
                    <wp:posOffset>2051050</wp:posOffset>
                  </wp:positionV>
                  <wp:extent cx="638175" cy="945515"/>
                  <wp:effectExtent l="0" t="0" r="9525" b="6985"/>
                  <wp:wrapNone/>
                  <wp:docPr id="93" name="图片_1"/>
                  <wp:cNvGraphicFramePr/>
                  <a:graphic xmlns:a="http://schemas.openxmlformats.org/drawingml/2006/main">
                    <a:graphicData uri="http://schemas.openxmlformats.org/drawingml/2006/picture">
                      <pic:pic xmlns:pic="http://schemas.openxmlformats.org/drawingml/2006/picture">
                        <pic:nvPicPr>
                          <pic:cNvPr id="93" name="图片_1"/>
                          <pic:cNvPicPr/>
                        </pic:nvPicPr>
                        <pic:blipFill>
                          <a:blip r:embed="rId69"/>
                          <a:stretch>
                            <a:fillRect/>
                          </a:stretch>
                        </pic:blipFill>
                        <pic:spPr>
                          <a:xfrm>
                            <a:off x="0" y="0"/>
                            <a:ext cx="638175" cy="945515"/>
                          </a:xfrm>
                          <a:prstGeom prst="rect">
                            <a:avLst/>
                          </a:prstGeom>
                          <a:noFill/>
                          <a:ln>
                            <a:noFill/>
                          </a:ln>
                        </pic:spPr>
                      </pic:pic>
                    </a:graphicData>
                  </a:graphic>
                </wp:anchor>
              </w:drawing>
            </w:r>
          </w:p>
        </w:tc>
      </w:tr>
      <w:tr w14:paraId="5C7EA9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025"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14:paraId="662313E9">
            <w:pPr>
              <w:keepNext w:val="0"/>
              <w:keepLines w:val="0"/>
              <w:widowControl/>
              <w:suppressLineNumbers w:val="0"/>
              <w:jc w:val="left"/>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E二次更衣/面点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9987C">
            <w:pP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DFF10">
            <w:pP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92FB2">
            <w:pP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2103C180">
            <w:pPr>
              <w:rPr>
                <w:rFonts w:hint="eastAsia" w:ascii="宋体" w:hAnsi="宋体" w:eastAsia="宋体" w:cs="宋体"/>
                <w:i w:val="0"/>
                <w:iCs w:val="0"/>
                <w:color w:val="auto"/>
                <w:sz w:val="20"/>
                <w:szCs w:val="20"/>
                <w:u w:val="none"/>
              </w:rPr>
            </w:pPr>
          </w:p>
        </w:tc>
      </w:tr>
      <w:tr w14:paraId="04E7B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7ACA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48</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6694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感应式洗手星</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9ADE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1、尺寸：400*300*400mm；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2、优质发纹贴塑不锈钢板制造，台面δ=1.0mm，带后档板，配优质落水器及拦渣片，配红外线感应水龙头；</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3、功率：0.5KW220V；</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B013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D9BB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FE1B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D910A4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41275</wp:posOffset>
                  </wp:positionH>
                  <wp:positionV relativeFrom="paragraph">
                    <wp:posOffset>450850</wp:posOffset>
                  </wp:positionV>
                  <wp:extent cx="715010" cy="495300"/>
                  <wp:effectExtent l="0" t="0" r="8890" b="0"/>
                  <wp:wrapNone/>
                  <wp:docPr id="91" name="Picture_66"/>
                  <wp:cNvGraphicFramePr/>
                  <a:graphic xmlns:a="http://schemas.openxmlformats.org/drawingml/2006/main">
                    <a:graphicData uri="http://schemas.openxmlformats.org/drawingml/2006/picture">
                      <pic:pic xmlns:pic="http://schemas.openxmlformats.org/drawingml/2006/picture">
                        <pic:nvPicPr>
                          <pic:cNvPr id="91" name="Picture_66"/>
                          <pic:cNvPicPr/>
                        </pic:nvPicPr>
                        <pic:blipFill>
                          <a:blip r:embed="rId37"/>
                          <a:stretch>
                            <a:fillRect/>
                          </a:stretch>
                        </pic:blipFill>
                        <pic:spPr>
                          <a:xfrm>
                            <a:off x="0" y="0"/>
                            <a:ext cx="715010" cy="495300"/>
                          </a:xfrm>
                          <a:prstGeom prst="rect">
                            <a:avLst/>
                          </a:prstGeom>
                          <a:noFill/>
                          <a:ln>
                            <a:noFill/>
                          </a:ln>
                        </pic:spPr>
                      </pic:pic>
                    </a:graphicData>
                  </a:graphic>
                </wp:anchor>
              </w:drawing>
            </w:r>
          </w:p>
        </w:tc>
      </w:tr>
      <w:tr w14:paraId="0D8D46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6936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49</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9931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干手器</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4785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1、尺寸：156*176*207mm；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外壳一体成型，外壳底部厚度19CM，强劲双面出风喷气，5-7秒快速干手，内置空气压缩箱，提高风速，一边风干一边沥干，1000W大功率电机，噪音低，启动性能好，结合全金属涡轮增压风扇，金属结构承受高强度压力，48个圆形风孔，带降噪音园弧，以波长为主要感应距离的近红外线应用技术，搭配高灵敏的收送感光材料，智能快速感应。</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1E38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F791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087B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A4980D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-30480</wp:posOffset>
                  </wp:positionH>
                  <wp:positionV relativeFrom="paragraph">
                    <wp:posOffset>615950</wp:posOffset>
                  </wp:positionV>
                  <wp:extent cx="715010" cy="495300"/>
                  <wp:effectExtent l="0" t="0" r="8890" b="0"/>
                  <wp:wrapNone/>
                  <wp:docPr id="87" name="Picture_67"/>
                  <wp:cNvGraphicFramePr/>
                  <a:graphic xmlns:a="http://schemas.openxmlformats.org/drawingml/2006/main">
                    <a:graphicData uri="http://schemas.openxmlformats.org/drawingml/2006/picture">
                      <pic:pic xmlns:pic="http://schemas.openxmlformats.org/drawingml/2006/picture">
                        <pic:nvPicPr>
                          <pic:cNvPr id="87" name="Picture_67"/>
                          <pic:cNvPicPr/>
                        </pic:nvPicPr>
                        <pic:blipFill>
                          <a:blip r:embed="rId70"/>
                          <a:stretch>
                            <a:fillRect/>
                          </a:stretch>
                        </pic:blipFill>
                        <pic:spPr>
                          <a:xfrm>
                            <a:off x="0" y="0"/>
                            <a:ext cx="715010" cy="495300"/>
                          </a:xfrm>
                          <a:prstGeom prst="rect">
                            <a:avLst/>
                          </a:prstGeom>
                          <a:noFill/>
                          <a:ln>
                            <a:noFill/>
                          </a:ln>
                        </pic:spPr>
                      </pic:pic>
                    </a:graphicData>
                  </a:graphic>
                </wp:anchor>
              </w:drawing>
            </w:r>
          </w:p>
        </w:tc>
      </w:tr>
      <w:tr w14:paraId="0A575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9"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D765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7D8F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木案冷藏操作台</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BCAF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1、尺寸：1800*800*800mm；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2、产品整体发泡，内外不锈钢板材，国内知名品牌压缩机、风机、冷凝器，时尚把手，耐用美观，开关轻松自如；可拆卸门封条，便于清洗；配锁片，储物更放心。带温度显示。</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3、冷藏温度：-5℃~5℃。制冷方式：直冷。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48FC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1412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D7FD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6600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BCDB0F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12065</wp:posOffset>
                  </wp:positionH>
                  <wp:positionV relativeFrom="paragraph">
                    <wp:posOffset>1714500</wp:posOffset>
                  </wp:positionV>
                  <wp:extent cx="715010" cy="495300"/>
                  <wp:effectExtent l="0" t="0" r="8890" b="0"/>
                  <wp:wrapNone/>
                  <wp:docPr id="80" name="Picture_25_SpCnt_2"/>
                  <wp:cNvGraphicFramePr/>
                  <a:graphic xmlns:a="http://schemas.openxmlformats.org/drawingml/2006/main">
                    <a:graphicData uri="http://schemas.openxmlformats.org/drawingml/2006/picture">
                      <pic:pic xmlns:pic="http://schemas.openxmlformats.org/drawingml/2006/picture">
                        <pic:nvPicPr>
                          <pic:cNvPr id="80" name="Picture_25_SpCnt_2"/>
                          <pic:cNvPicPr/>
                        </pic:nvPicPr>
                        <pic:blipFill>
                          <a:blip r:embed="rId71"/>
                          <a:stretch>
                            <a:fillRect/>
                          </a:stretch>
                        </pic:blipFill>
                        <pic:spPr>
                          <a:xfrm>
                            <a:off x="0" y="0"/>
                            <a:ext cx="715010" cy="495300"/>
                          </a:xfrm>
                          <a:prstGeom prst="rect">
                            <a:avLst/>
                          </a:prstGeom>
                          <a:noFill/>
                          <a:ln>
                            <a:noFill/>
                          </a:ln>
                        </pic:spPr>
                      </pic:pic>
                    </a:graphicData>
                  </a:graphic>
                </wp:anchor>
              </w:drawing>
            </w: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-39370</wp:posOffset>
                  </wp:positionH>
                  <wp:positionV relativeFrom="paragraph">
                    <wp:posOffset>476250</wp:posOffset>
                  </wp:positionV>
                  <wp:extent cx="715010" cy="495300"/>
                  <wp:effectExtent l="0" t="0" r="8890" b="0"/>
                  <wp:wrapNone/>
                  <wp:docPr id="81" name="Picture_68"/>
                  <wp:cNvGraphicFramePr/>
                  <a:graphic xmlns:a="http://schemas.openxmlformats.org/drawingml/2006/main">
                    <a:graphicData uri="http://schemas.openxmlformats.org/drawingml/2006/picture">
                      <pic:pic xmlns:pic="http://schemas.openxmlformats.org/drawingml/2006/picture">
                        <pic:nvPicPr>
                          <pic:cNvPr id="81" name="Picture_68"/>
                          <pic:cNvPicPr/>
                        </pic:nvPicPr>
                        <pic:blipFill>
                          <a:blip r:embed="rId72"/>
                          <a:stretch>
                            <a:fillRect/>
                          </a:stretch>
                        </pic:blipFill>
                        <pic:spPr>
                          <a:xfrm>
                            <a:off x="0" y="0"/>
                            <a:ext cx="715010" cy="495300"/>
                          </a:xfrm>
                          <a:prstGeom prst="rect">
                            <a:avLst/>
                          </a:prstGeom>
                          <a:noFill/>
                          <a:ln>
                            <a:noFill/>
                          </a:ln>
                        </pic:spPr>
                      </pic:pic>
                    </a:graphicData>
                  </a:graphic>
                </wp:anchor>
              </w:drawing>
            </w:r>
          </w:p>
        </w:tc>
      </w:tr>
      <w:tr w14:paraId="12642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244B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51</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70FE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单星盆水池</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1B29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1、尺寸：700*800*800+150mm；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2、优质发纹贴塑不锈钢板制造，台面δ=1.0mm、星盆斗δ=1.0mm、柱φ38 *δ=0.8不锈钢管（配可调节子弹脚），配优质不锈钢落水器、拦渣斗。</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D595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2124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1BDE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5B916B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-62230</wp:posOffset>
                  </wp:positionH>
                  <wp:positionV relativeFrom="paragraph">
                    <wp:posOffset>82550</wp:posOffset>
                  </wp:positionV>
                  <wp:extent cx="715010" cy="495300"/>
                  <wp:effectExtent l="0" t="0" r="8890" b="0"/>
                  <wp:wrapNone/>
                  <wp:docPr id="94" name="Picture_69"/>
                  <wp:cNvGraphicFramePr/>
                  <a:graphic xmlns:a="http://schemas.openxmlformats.org/drawingml/2006/main">
                    <a:graphicData uri="http://schemas.openxmlformats.org/drawingml/2006/picture">
                      <pic:pic xmlns:pic="http://schemas.openxmlformats.org/drawingml/2006/picture">
                        <pic:nvPicPr>
                          <pic:cNvPr id="94" name="Picture_69"/>
                          <pic:cNvPicPr/>
                        </pic:nvPicPr>
                        <pic:blipFill>
                          <a:blip r:embed="rId43"/>
                          <a:stretch>
                            <a:fillRect/>
                          </a:stretch>
                        </pic:blipFill>
                        <pic:spPr>
                          <a:xfrm>
                            <a:off x="0" y="0"/>
                            <a:ext cx="715010" cy="495300"/>
                          </a:xfrm>
                          <a:prstGeom prst="rect">
                            <a:avLst/>
                          </a:prstGeom>
                          <a:noFill/>
                          <a:ln>
                            <a:noFill/>
                          </a:ln>
                        </pic:spPr>
                      </pic:pic>
                    </a:graphicData>
                  </a:graphic>
                </wp:anchor>
              </w:drawing>
            </w:r>
          </w:p>
        </w:tc>
      </w:tr>
      <w:tr w14:paraId="556E9D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4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42D7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52</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F822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单温水龙头</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4B4D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1、优质陶瓷阀芯不滴漏</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2、开关顺滑轻松拨动</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3、304不锈钢材质，安全更实用</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4、精选优质把手，顺滑手感设计，使用更加方便</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F8DA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B1B3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7895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429895</wp:posOffset>
                  </wp:positionH>
                  <wp:positionV relativeFrom="paragraph">
                    <wp:posOffset>92710</wp:posOffset>
                  </wp:positionV>
                  <wp:extent cx="715010" cy="495300"/>
                  <wp:effectExtent l="0" t="0" r="8890" b="0"/>
                  <wp:wrapNone/>
                  <wp:docPr id="82" name="Picture_70"/>
                  <wp:cNvGraphicFramePr/>
                  <a:graphic xmlns:a="http://schemas.openxmlformats.org/drawingml/2006/main">
                    <a:graphicData uri="http://schemas.openxmlformats.org/drawingml/2006/picture">
                      <pic:pic xmlns:pic="http://schemas.openxmlformats.org/drawingml/2006/picture">
                        <pic:nvPicPr>
                          <pic:cNvPr id="82" name="Picture_70"/>
                          <pic:cNvPicPr/>
                        </pic:nvPicPr>
                        <pic:blipFill>
                          <a:blip r:embed="rId44"/>
                          <a:stretch>
                            <a:fillRect/>
                          </a:stretch>
                        </pic:blipFill>
                        <pic:spPr>
                          <a:xfrm>
                            <a:off x="0" y="0"/>
                            <a:ext cx="715010" cy="495300"/>
                          </a:xfrm>
                          <a:prstGeom prst="rect">
                            <a:avLst/>
                          </a:prstGeom>
                          <a:noFill/>
                          <a:ln>
                            <a:noFill/>
                          </a:ln>
                        </pic:spPr>
                      </pic:pic>
                    </a:graphicData>
                  </a:graphic>
                </wp:anchor>
              </w:drawing>
            </w:r>
            <w:r>
              <w:rPr>
                <w:rFonts w:hint="eastAsia" w:ascii="宋体" w:hAnsi="宋体" w:eastAsia="宋体" w:cs="宋体"/>
                <w:i w:val="0"/>
                <w:iCs w:val="0"/>
                <w:color w:val="auto"/>
                <w:kern w:val="0"/>
                <w:sz w:val="20"/>
                <w:szCs w:val="20"/>
                <w:u w:val="none"/>
                <w:lang w:val="en-US" w:eastAsia="zh-CN" w:bidi="ar"/>
              </w:rPr>
              <w:t>88</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CC7338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r>
      <w:tr w14:paraId="5FCCA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FA41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53</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F55F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搅拌机</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70156">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1、尺寸：610*530*1020mm；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2、料桶容积：30L；</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3、额定电压：220V/3V-380V；</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4、额定频率：50Hz；</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5、电机功率：1.5KW；</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6、最大和面量：10Kg；</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7、搅拌转速：65/102/296r；</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8、整机重量：192kg；</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6F1E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1301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FC87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8500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0E607A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-17780</wp:posOffset>
                  </wp:positionH>
                  <wp:positionV relativeFrom="paragraph">
                    <wp:posOffset>446405</wp:posOffset>
                  </wp:positionV>
                  <wp:extent cx="715010" cy="495300"/>
                  <wp:effectExtent l="0" t="0" r="8890" b="0"/>
                  <wp:wrapNone/>
                  <wp:docPr id="75" name="Picture_71"/>
                  <wp:cNvGraphicFramePr/>
                  <a:graphic xmlns:a="http://schemas.openxmlformats.org/drawingml/2006/main">
                    <a:graphicData uri="http://schemas.openxmlformats.org/drawingml/2006/picture">
                      <pic:pic xmlns:pic="http://schemas.openxmlformats.org/drawingml/2006/picture">
                        <pic:nvPicPr>
                          <pic:cNvPr id="75" name="Picture_71"/>
                          <pic:cNvPicPr/>
                        </pic:nvPicPr>
                        <pic:blipFill>
                          <a:blip r:embed="rId73"/>
                          <a:stretch>
                            <a:fillRect/>
                          </a:stretch>
                        </pic:blipFill>
                        <pic:spPr>
                          <a:xfrm>
                            <a:off x="0" y="0"/>
                            <a:ext cx="715010" cy="495300"/>
                          </a:xfrm>
                          <a:prstGeom prst="rect">
                            <a:avLst/>
                          </a:prstGeom>
                          <a:noFill/>
                          <a:ln>
                            <a:noFill/>
                          </a:ln>
                        </pic:spPr>
                      </pic:pic>
                    </a:graphicData>
                  </a:graphic>
                </wp:anchor>
              </w:drawing>
            </w:r>
          </w:p>
        </w:tc>
      </w:tr>
      <w:tr w14:paraId="4B7859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DA62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54</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0167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双动双速和面机 </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9E083">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1、尺寸:430*730*770mm；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2、料桶容积：35L；</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3、额定电压：3V-380V；</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4、额定频率：50Hz；</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5、电机功率：0.85KW/1.1KW；</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6、最大和面量：12Kg；</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7、搅拌转速：101/202r；</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8、料桶转速：8/16r；</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9、整机重量：95kg；</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C7A3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C866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ECD3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17000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C2ABB2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-15875</wp:posOffset>
                  </wp:positionH>
                  <wp:positionV relativeFrom="paragraph">
                    <wp:posOffset>650240</wp:posOffset>
                  </wp:positionV>
                  <wp:extent cx="715010" cy="495300"/>
                  <wp:effectExtent l="0" t="0" r="8890" b="0"/>
                  <wp:wrapNone/>
                  <wp:docPr id="71" name="Picture_72"/>
                  <wp:cNvGraphicFramePr/>
                  <a:graphic xmlns:a="http://schemas.openxmlformats.org/drawingml/2006/main">
                    <a:graphicData uri="http://schemas.openxmlformats.org/drawingml/2006/picture">
                      <pic:pic xmlns:pic="http://schemas.openxmlformats.org/drawingml/2006/picture">
                        <pic:nvPicPr>
                          <pic:cNvPr id="71" name="Picture_72"/>
                          <pic:cNvPicPr/>
                        </pic:nvPicPr>
                        <pic:blipFill>
                          <a:blip r:embed="rId74"/>
                          <a:stretch>
                            <a:fillRect/>
                          </a:stretch>
                        </pic:blipFill>
                        <pic:spPr>
                          <a:xfrm>
                            <a:off x="0" y="0"/>
                            <a:ext cx="715010" cy="495300"/>
                          </a:xfrm>
                          <a:prstGeom prst="rect">
                            <a:avLst/>
                          </a:prstGeom>
                          <a:noFill/>
                          <a:ln>
                            <a:noFill/>
                          </a:ln>
                        </pic:spPr>
                      </pic:pic>
                    </a:graphicData>
                  </a:graphic>
                </wp:anchor>
              </w:drawing>
            </w:r>
          </w:p>
        </w:tc>
      </w:tr>
      <w:tr w14:paraId="4F3FE0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EC9A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55</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C6B1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不锈钢单门发酵箱</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7AAA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1、箱体内外采用优质不锈钢材料制造，经久耐用；</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2、全自动微电脑触摸式数控系统，能精准控制箱内温、湿度；</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3、内置式风机循环装置，使箱内温度均匀一致；</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4、宽敞玻璃视窗和内置照明系统，发酵过程一目了然；</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5、采用各厂优质电器元件；</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6、特设自动进水装置和任意调节层架；</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7、尺寸：500*710*1740mm；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2377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BF77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E39D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4900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267986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9525</wp:posOffset>
                  </wp:positionH>
                  <wp:positionV relativeFrom="paragraph">
                    <wp:posOffset>474345</wp:posOffset>
                  </wp:positionV>
                  <wp:extent cx="715010" cy="495300"/>
                  <wp:effectExtent l="0" t="0" r="8890" b="0"/>
                  <wp:wrapNone/>
                  <wp:docPr id="77" name="Picture_73"/>
                  <wp:cNvGraphicFramePr/>
                  <a:graphic xmlns:a="http://schemas.openxmlformats.org/drawingml/2006/main">
                    <a:graphicData uri="http://schemas.openxmlformats.org/drawingml/2006/picture">
                      <pic:pic xmlns:pic="http://schemas.openxmlformats.org/drawingml/2006/picture">
                        <pic:nvPicPr>
                          <pic:cNvPr id="77" name="Picture_73"/>
                          <pic:cNvPicPr/>
                        </pic:nvPicPr>
                        <pic:blipFill>
                          <a:blip r:embed="rId75"/>
                          <a:stretch>
                            <a:fillRect/>
                          </a:stretch>
                        </pic:blipFill>
                        <pic:spPr>
                          <a:xfrm>
                            <a:off x="0" y="0"/>
                            <a:ext cx="715010" cy="495300"/>
                          </a:xfrm>
                          <a:prstGeom prst="rect">
                            <a:avLst/>
                          </a:prstGeom>
                          <a:noFill/>
                          <a:ln>
                            <a:noFill/>
                          </a:ln>
                        </pic:spPr>
                      </pic:pic>
                    </a:graphicData>
                  </a:graphic>
                </wp:anchor>
              </w:drawing>
            </w:r>
          </w:p>
        </w:tc>
      </w:tr>
      <w:tr w14:paraId="508C70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7D30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56</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7C68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紫外线消毒灯</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B189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1、尺寸：920*130*80mm；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2、电压:220V</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3、功率:100W</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7335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C772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61EB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CA5B5F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-19685</wp:posOffset>
                  </wp:positionH>
                  <wp:positionV relativeFrom="paragraph">
                    <wp:posOffset>114300</wp:posOffset>
                  </wp:positionV>
                  <wp:extent cx="715010" cy="495300"/>
                  <wp:effectExtent l="0" t="0" r="8890" b="0"/>
                  <wp:wrapNone/>
                  <wp:docPr id="78" name="Picture_74"/>
                  <wp:cNvGraphicFramePr/>
                  <a:graphic xmlns:a="http://schemas.openxmlformats.org/drawingml/2006/main">
                    <a:graphicData uri="http://schemas.openxmlformats.org/drawingml/2006/picture">
                      <pic:pic xmlns:pic="http://schemas.openxmlformats.org/drawingml/2006/picture">
                        <pic:nvPicPr>
                          <pic:cNvPr id="78" name="Picture_74"/>
                          <pic:cNvPicPr/>
                        </pic:nvPicPr>
                        <pic:blipFill>
                          <a:blip r:embed="rId76"/>
                          <a:stretch>
                            <a:fillRect/>
                          </a:stretch>
                        </pic:blipFill>
                        <pic:spPr>
                          <a:xfrm>
                            <a:off x="0" y="0"/>
                            <a:ext cx="715010" cy="495300"/>
                          </a:xfrm>
                          <a:prstGeom prst="rect">
                            <a:avLst/>
                          </a:prstGeom>
                          <a:noFill/>
                          <a:ln>
                            <a:noFill/>
                          </a:ln>
                        </pic:spPr>
                      </pic:pic>
                    </a:graphicData>
                  </a:graphic>
                </wp:anchor>
              </w:drawing>
            </w:r>
          </w:p>
        </w:tc>
      </w:tr>
      <w:tr w14:paraId="11FCE5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14:paraId="6FC58301">
            <w:pPr>
              <w:keepNext w:val="0"/>
              <w:keepLines w:val="0"/>
              <w:widowControl/>
              <w:suppressLineNumbers w:val="0"/>
              <w:jc w:val="left"/>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F二次更衣/备餐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4E5A6">
            <w:pP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11474">
            <w:pP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4F401">
            <w:pP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72685A5C">
            <w:pPr>
              <w:rPr>
                <w:rFonts w:hint="eastAsia" w:ascii="宋体" w:hAnsi="宋体" w:eastAsia="宋体" w:cs="宋体"/>
                <w:i w:val="0"/>
                <w:iCs w:val="0"/>
                <w:color w:val="auto"/>
                <w:sz w:val="20"/>
                <w:szCs w:val="20"/>
                <w:u w:val="none"/>
              </w:rPr>
            </w:pPr>
          </w:p>
        </w:tc>
      </w:tr>
      <w:tr w14:paraId="305C91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2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0F8B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57</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9B0D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感应式洗手星</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902E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1、尺寸：400*300*400mm；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2、优质发纹贴塑不锈钢板制造，台面δ=1.0mm，带后档板，配优质落水器及拦渣片，配红外线感应水龙头；</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3、功率：0.5KW220V</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3F2F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054DF">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4BFF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37C246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-53975</wp:posOffset>
                  </wp:positionH>
                  <wp:positionV relativeFrom="paragraph">
                    <wp:posOffset>467995</wp:posOffset>
                  </wp:positionV>
                  <wp:extent cx="715010" cy="495300"/>
                  <wp:effectExtent l="0" t="0" r="8890" b="0"/>
                  <wp:wrapNone/>
                  <wp:docPr id="95" name="Picture_75"/>
                  <wp:cNvGraphicFramePr/>
                  <a:graphic xmlns:a="http://schemas.openxmlformats.org/drawingml/2006/main">
                    <a:graphicData uri="http://schemas.openxmlformats.org/drawingml/2006/picture">
                      <pic:pic xmlns:pic="http://schemas.openxmlformats.org/drawingml/2006/picture">
                        <pic:nvPicPr>
                          <pic:cNvPr id="95" name="Picture_75"/>
                          <pic:cNvPicPr/>
                        </pic:nvPicPr>
                        <pic:blipFill>
                          <a:blip r:embed="rId37"/>
                          <a:stretch>
                            <a:fillRect/>
                          </a:stretch>
                        </pic:blipFill>
                        <pic:spPr>
                          <a:xfrm>
                            <a:off x="0" y="0"/>
                            <a:ext cx="715010" cy="495300"/>
                          </a:xfrm>
                          <a:prstGeom prst="rect">
                            <a:avLst/>
                          </a:prstGeom>
                          <a:noFill/>
                          <a:ln>
                            <a:noFill/>
                          </a:ln>
                        </pic:spPr>
                      </pic:pic>
                    </a:graphicData>
                  </a:graphic>
                </wp:anchor>
              </w:drawing>
            </w:r>
          </w:p>
        </w:tc>
      </w:tr>
      <w:tr w14:paraId="06417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AD93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58</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DC5E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干手器</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CAC90">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1、尺寸:156*176*207mm；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外壳一体成型，外壳底部厚度19CM，强劲双面出风喷气，5-7秒快速干手，内置空气压缩箱，提高风速，一边风干一边沥干，1000W大功率电机，噪音低，启动性能好，结合全金属涡轮增压风扇，金属结构承受高强度压力，48个圆形风孔，带降噪音园弧，以波长为主要感应距离的近红外线应用技术，搭配高灵敏的收送感光材料，智能快速感应。</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911B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A665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31E5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616BA7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-11430</wp:posOffset>
                  </wp:positionH>
                  <wp:positionV relativeFrom="paragraph">
                    <wp:posOffset>368300</wp:posOffset>
                  </wp:positionV>
                  <wp:extent cx="715010" cy="495300"/>
                  <wp:effectExtent l="0" t="0" r="8890" b="0"/>
                  <wp:wrapNone/>
                  <wp:docPr id="96" name="Picture_76"/>
                  <wp:cNvGraphicFramePr/>
                  <a:graphic xmlns:a="http://schemas.openxmlformats.org/drawingml/2006/main">
                    <a:graphicData uri="http://schemas.openxmlformats.org/drawingml/2006/picture">
                      <pic:pic xmlns:pic="http://schemas.openxmlformats.org/drawingml/2006/picture">
                        <pic:nvPicPr>
                          <pic:cNvPr id="96" name="Picture_76"/>
                          <pic:cNvPicPr/>
                        </pic:nvPicPr>
                        <pic:blipFill>
                          <a:blip r:embed="rId70"/>
                          <a:stretch>
                            <a:fillRect/>
                          </a:stretch>
                        </pic:blipFill>
                        <pic:spPr>
                          <a:xfrm>
                            <a:off x="0" y="0"/>
                            <a:ext cx="715010" cy="495300"/>
                          </a:xfrm>
                          <a:prstGeom prst="rect">
                            <a:avLst/>
                          </a:prstGeom>
                          <a:noFill/>
                          <a:ln>
                            <a:noFill/>
                          </a:ln>
                        </pic:spPr>
                      </pic:pic>
                    </a:graphicData>
                  </a:graphic>
                </wp:anchor>
              </w:drawing>
            </w:r>
          </w:p>
        </w:tc>
      </w:tr>
      <w:tr w14:paraId="536FCC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85FC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59</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1DBB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双层工作台</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A43A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1、尺寸：1200*600*800mm；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2、优质发纹贴塑不锈钢板制造，台面δ=1.0mm (下衬12.0密度板减噪),层板0.8mm、脚Φ38*0.8mm(配有可调子弹脚)、脚杯Φ50*100*0.8mm。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FCF2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713D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E24C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623F45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-13970</wp:posOffset>
                  </wp:positionH>
                  <wp:positionV relativeFrom="paragraph">
                    <wp:posOffset>647700</wp:posOffset>
                  </wp:positionV>
                  <wp:extent cx="715010" cy="495300"/>
                  <wp:effectExtent l="0" t="0" r="8890" b="0"/>
                  <wp:wrapNone/>
                  <wp:docPr id="88" name="Picture_77"/>
                  <wp:cNvGraphicFramePr/>
                  <a:graphic xmlns:a="http://schemas.openxmlformats.org/drawingml/2006/main">
                    <a:graphicData uri="http://schemas.openxmlformats.org/drawingml/2006/picture">
                      <pic:pic xmlns:pic="http://schemas.openxmlformats.org/drawingml/2006/picture">
                        <pic:nvPicPr>
                          <pic:cNvPr id="88" name="Picture_77"/>
                          <pic:cNvPicPr/>
                        </pic:nvPicPr>
                        <pic:blipFill>
                          <a:blip r:embed="rId77"/>
                          <a:stretch>
                            <a:fillRect/>
                          </a:stretch>
                        </pic:blipFill>
                        <pic:spPr>
                          <a:xfrm>
                            <a:off x="0" y="0"/>
                            <a:ext cx="715010" cy="495300"/>
                          </a:xfrm>
                          <a:prstGeom prst="rect">
                            <a:avLst/>
                          </a:prstGeom>
                          <a:noFill/>
                          <a:ln>
                            <a:noFill/>
                          </a:ln>
                        </pic:spPr>
                      </pic:pic>
                    </a:graphicData>
                  </a:graphic>
                </wp:anchor>
              </w:drawing>
            </w:r>
          </w:p>
        </w:tc>
      </w:tr>
      <w:tr w14:paraId="352A03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B7DE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DCB9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五格热菜柜</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3600A">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1、尺寸：1800*700*800mm；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2、优质发纹贴塑不锈钢板制造，台面δ1.0mm，柜体δ=1.0，不锈钢板配1.5KW/220V电热管2根，配温控器配5个GN1/1*4” 份数盆。</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E56F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4443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E608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4500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C0B7BF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-20320</wp:posOffset>
                  </wp:positionH>
                  <wp:positionV relativeFrom="paragraph">
                    <wp:posOffset>103505</wp:posOffset>
                  </wp:positionV>
                  <wp:extent cx="715010" cy="495300"/>
                  <wp:effectExtent l="0" t="0" r="8890" b="0"/>
                  <wp:wrapNone/>
                  <wp:docPr id="97" name="Picture_78"/>
                  <wp:cNvGraphicFramePr/>
                  <a:graphic xmlns:a="http://schemas.openxmlformats.org/drawingml/2006/main">
                    <a:graphicData uri="http://schemas.openxmlformats.org/drawingml/2006/picture">
                      <pic:pic xmlns:pic="http://schemas.openxmlformats.org/drawingml/2006/picture">
                        <pic:nvPicPr>
                          <pic:cNvPr id="97" name="Picture_78"/>
                          <pic:cNvPicPr/>
                        </pic:nvPicPr>
                        <pic:blipFill>
                          <a:blip r:embed="rId78"/>
                          <a:stretch>
                            <a:fillRect/>
                          </a:stretch>
                        </pic:blipFill>
                        <pic:spPr>
                          <a:xfrm>
                            <a:off x="0" y="0"/>
                            <a:ext cx="715010" cy="495300"/>
                          </a:xfrm>
                          <a:prstGeom prst="rect">
                            <a:avLst/>
                          </a:prstGeom>
                          <a:noFill/>
                          <a:ln>
                            <a:noFill/>
                          </a:ln>
                        </pic:spPr>
                      </pic:pic>
                    </a:graphicData>
                  </a:graphic>
                </wp:anchor>
              </w:drawing>
            </w:r>
          </w:p>
        </w:tc>
      </w:tr>
      <w:tr w14:paraId="656006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3FD5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61</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C700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紫外线消毒灯</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7370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1、尺寸：920*130*80mm；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2、电压:220V；</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3、功率:100W；</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7CFD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50DD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30C3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434340</wp:posOffset>
                  </wp:positionH>
                  <wp:positionV relativeFrom="paragraph">
                    <wp:posOffset>-62865</wp:posOffset>
                  </wp:positionV>
                  <wp:extent cx="715010" cy="495300"/>
                  <wp:effectExtent l="0" t="0" r="8890" b="0"/>
                  <wp:wrapNone/>
                  <wp:docPr id="70" name="Picture_79"/>
                  <wp:cNvGraphicFramePr/>
                  <a:graphic xmlns:a="http://schemas.openxmlformats.org/drawingml/2006/main">
                    <a:graphicData uri="http://schemas.openxmlformats.org/drawingml/2006/picture">
                      <pic:pic xmlns:pic="http://schemas.openxmlformats.org/drawingml/2006/picture">
                        <pic:nvPicPr>
                          <pic:cNvPr id="70" name="Picture_79"/>
                          <pic:cNvPicPr/>
                        </pic:nvPicPr>
                        <pic:blipFill>
                          <a:blip r:embed="rId76"/>
                          <a:stretch>
                            <a:fillRect/>
                          </a:stretch>
                        </pic:blipFill>
                        <pic:spPr>
                          <a:xfrm>
                            <a:off x="0" y="0"/>
                            <a:ext cx="715010" cy="495300"/>
                          </a:xfrm>
                          <a:prstGeom prst="rect">
                            <a:avLst/>
                          </a:prstGeom>
                          <a:noFill/>
                          <a:ln>
                            <a:noFill/>
                          </a:ln>
                        </pic:spPr>
                      </pic:pic>
                    </a:graphicData>
                  </a:graphic>
                </wp:anchor>
              </w:drawing>
            </w:r>
            <w:r>
              <w:rPr>
                <w:rFonts w:hint="eastAsia" w:ascii="宋体" w:hAnsi="宋体" w:eastAsia="宋体" w:cs="宋体"/>
                <w:i w:val="0"/>
                <w:iCs w:val="0"/>
                <w:color w:val="auto"/>
                <w:kern w:val="0"/>
                <w:sz w:val="20"/>
                <w:szCs w:val="20"/>
                <w:u w:val="none"/>
                <w:lang w:val="en-US" w:eastAsia="zh-CN" w:bidi="ar"/>
              </w:rPr>
              <w:t>300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00D510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r>
      <w:tr w14:paraId="389C8E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14:paraId="049C2670">
            <w:pPr>
              <w:keepNext w:val="0"/>
              <w:keepLines w:val="0"/>
              <w:widowControl/>
              <w:suppressLineNumbers w:val="0"/>
              <w:jc w:val="left"/>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G洗碗间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38E17">
            <w:pP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29F59">
            <w:pP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4CB23">
            <w:pP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30D85">
            <w:pP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68B0F285">
            <w:pPr>
              <w:rPr>
                <w:rFonts w:hint="eastAsia" w:ascii="宋体" w:hAnsi="宋体" w:eastAsia="宋体" w:cs="宋体"/>
                <w:i w:val="0"/>
                <w:iCs w:val="0"/>
                <w:color w:val="auto"/>
                <w:sz w:val="20"/>
                <w:szCs w:val="20"/>
                <w:u w:val="none"/>
              </w:rPr>
            </w:pPr>
          </w:p>
        </w:tc>
      </w:tr>
      <w:tr w14:paraId="084171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8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B530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62</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D1DA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三星盆水池</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B088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1、尺寸：1800*700*800+150mm；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2、优质发纹贴塑不锈钢板制造，台面δ=1.0mm、星盆斗δ=1.0mm、柱φ38 *δ=0.8不锈钢管（配可调节子弹脚），配优质不锈钢落水器、拦渣斗。</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1D88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8E48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2E19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7431BB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5080</wp:posOffset>
                  </wp:positionH>
                  <wp:positionV relativeFrom="paragraph">
                    <wp:posOffset>624205</wp:posOffset>
                  </wp:positionV>
                  <wp:extent cx="715010" cy="495300"/>
                  <wp:effectExtent l="0" t="0" r="8890" b="0"/>
                  <wp:wrapNone/>
                  <wp:docPr id="98" name="Picture_81"/>
                  <wp:cNvGraphicFramePr/>
                  <a:graphic xmlns:a="http://schemas.openxmlformats.org/drawingml/2006/main">
                    <a:graphicData uri="http://schemas.openxmlformats.org/drawingml/2006/picture">
                      <pic:pic xmlns:pic="http://schemas.openxmlformats.org/drawingml/2006/picture">
                        <pic:nvPicPr>
                          <pic:cNvPr id="98" name="Picture_81"/>
                          <pic:cNvPicPr/>
                        </pic:nvPicPr>
                        <pic:blipFill>
                          <a:blip r:embed="rId79"/>
                          <a:stretch>
                            <a:fillRect/>
                          </a:stretch>
                        </pic:blipFill>
                        <pic:spPr>
                          <a:xfrm>
                            <a:off x="0" y="0"/>
                            <a:ext cx="715010" cy="495300"/>
                          </a:xfrm>
                          <a:prstGeom prst="rect">
                            <a:avLst/>
                          </a:prstGeom>
                          <a:noFill/>
                          <a:ln>
                            <a:noFill/>
                          </a:ln>
                        </pic:spPr>
                      </pic:pic>
                    </a:graphicData>
                  </a:graphic>
                </wp:anchor>
              </w:drawing>
            </w:r>
          </w:p>
        </w:tc>
      </w:tr>
      <w:tr w14:paraId="26BE51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C7CA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63</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3CDF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双温水龙头</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5D8F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1、优质陶瓷阀芯不滴漏；</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2、开关顺滑轻松拨动；</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3、304不锈钢材质，安全更实用；</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4、精选优质把手，顺滑手感设计，使用更加方便。</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07F5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046F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E767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6A3594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1270</wp:posOffset>
                  </wp:positionH>
                  <wp:positionV relativeFrom="paragraph">
                    <wp:posOffset>-151765</wp:posOffset>
                  </wp:positionV>
                  <wp:extent cx="715010" cy="495300"/>
                  <wp:effectExtent l="0" t="0" r="8890" b="0"/>
                  <wp:wrapNone/>
                  <wp:docPr id="89" name="Picture_80"/>
                  <wp:cNvGraphicFramePr/>
                  <a:graphic xmlns:a="http://schemas.openxmlformats.org/drawingml/2006/main">
                    <a:graphicData uri="http://schemas.openxmlformats.org/drawingml/2006/picture">
                      <pic:pic xmlns:pic="http://schemas.openxmlformats.org/drawingml/2006/picture">
                        <pic:nvPicPr>
                          <pic:cNvPr id="89" name="Picture_80"/>
                          <pic:cNvPicPr/>
                        </pic:nvPicPr>
                        <pic:blipFill>
                          <a:blip r:embed="rId80"/>
                          <a:stretch>
                            <a:fillRect/>
                          </a:stretch>
                        </pic:blipFill>
                        <pic:spPr>
                          <a:xfrm>
                            <a:off x="0" y="0"/>
                            <a:ext cx="715010" cy="495300"/>
                          </a:xfrm>
                          <a:prstGeom prst="rect">
                            <a:avLst/>
                          </a:prstGeom>
                          <a:noFill/>
                          <a:ln>
                            <a:noFill/>
                          </a:ln>
                        </pic:spPr>
                      </pic:pic>
                    </a:graphicData>
                  </a:graphic>
                </wp:anchor>
              </w:drawing>
            </w:r>
          </w:p>
        </w:tc>
      </w:tr>
      <w:tr w14:paraId="71C344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6610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64</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3720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电热水器</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FAC8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1、尺寸：870*415*400mm；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2、功率：3.3KW/220V；</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3、能效等级：一级；</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4、珐琅无缝内胆，无缝一体结构内胆，深拉伸一次成型，高承压力高抗腐蚀；抗腐加热管采用Cr-Mo等腐蚀贵金属材质，防腐性能跃升40倍，出色应对不同水质，稳定加热、增速提效。</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B1A8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DF5F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3C6C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3EA648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-50165</wp:posOffset>
                  </wp:positionH>
                  <wp:positionV relativeFrom="paragraph">
                    <wp:posOffset>802640</wp:posOffset>
                  </wp:positionV>
                  <wp:extent cx="715010" cy="495300"/>
                  <wp:effectExtent l="0" t="0" r="8890" b="0"/>
                  <wp:wrapNone/>
                  <wp:docPr id="86" name="Picture_82"/>
                  <wp:cNvGraphicFramePr/>
                  <a:graphic xmlns:a="http://schemas.openxmlformats.org/drawingml/2006/main">
                    <a:graphicData uri="http://schemas.openxmlformats.org/drawingml/2006/picture">
                      <pic:pic xmlns:pic="http://schemas.openxmlformats.org/drawingml/2006/picture">
                        <pic:nvPicPr>
                          <pic:cNvPr id="86" name="Picture_82"/>
                          <pic:cNvPicPr/>
                        </pic:nvPicPr>
                        <pic:blipFill>
                          <a:blip r:embed="rId81"/>
                          <a:stretch>
                            <a:fillRect/>
                          </a:stretch>
                        </pic:blipFill>
                        <pic:spPr>
                          <a:xfrm>
                            <a:off x="0" y="0"/>
                            <a:ext cx="715010" cy="495300"/>
                          </a:xfrm>
                          <a:prstGeom prst="rect">
                            <a:avLst/>
                          </a:prstGeom>
                          <a:noFill/>
                          <a:ln>
                            <a:noFill/>
                          </a:ln>
                        </pic:spPr>
                      </pic:pic>
                    </a:graphicData>
                  </a:graphic>
                </wp:anchor>
              </w:drawing>
            </w:r>
          </w:p>
        </w:tc>
      </w:tr>
      <w:tr w14:paraId="384EE5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0B6E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65</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4682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双层工作台</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5261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1、尺寸：800*700*800mm；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2、优质发纹贴塑不锈钢板制造，台面δ=1.0mm (下衬12.0密度板减噪),层板0.8mm、脚Φ38*0.8mm(配有可调子弹脚)、脚杯Φ50*100*0.8mm。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85B0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A91F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0B05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196FE3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-20320</wp:posOffset>
                  </wp:positionH>
                  <wp:positionV relativeFrom="paragraph">
                    <wp:posOffset>124460</wp:posOffset>
                  </wp:positionV>
                  <wp:extent cx="715010" cy="495300"/>
                  <wp:effectExtent l="0" t="0" r="8890" b="0"/>
                  <wp:wrapNone/>
                  <wp:docPr id="79" name="Picture_83"/>
                  <wp:cNvGraphicFramePr/>
                  <a:graphic xmlns:a="http://schemas.openxmlformats.org/drawingml/2006/main">
                    <a:graphicData uri="http://schemas.openxmlformats.org/drawingml/2006/picture">
                      <pic:pic xmlns:pic="http://schemas.openxmlformats.org/drawingml/2006/picture">
                        <pic:nvPicPr>
                          <pic:cNvPr id="79" name="Picture_83"/>
                          <pic:cNvPicPr/>
                        </pic:nvPicPr>
                        <pic:blipFill>
                          <a:blip r:embed="rId82"/>
                          <a:stretch>
                            <a:fillRect/>
                          </a:stretch>
                        </pic:blipFill>
                        <pic:spPr>
                          <a:xfrm>
                            <a:off x="0" y="0"/>
                            <a:ext cx="715010" cy="495300"/>
                          </a:xfrm>
                          <a:prstGeom prst="rect">
                            <a:avLst/>
                          </a:prstGeom>
                          <a:noFill/>
                          <a:ln>
                            <a:noFill/>
                          </a:ln>
                        </pic:spPr>
                      </pic:pic>
                    </a:graphicData>
                  </a:graphic>
                </wp:anchor>
              </w:drawing>
            </w:r>
          </w:p>
        </w:tc>
      </w:tr>
      <w:tr w14:paraId="2C2530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1C24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66</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2357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热风循环消毒柜（推车式）</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6358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1、规格尺寸：双门1310*650*1960mm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2、容积：双门720L</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3、功率：双门4.4KW</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4、温度范围：30-125℃</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5、加热系统：采用304U型1.2米不锈钢电热管，离心式蜗牛风机</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6、消毒方式：高温热风循环，360°上下周天式循环方式，上下温差小</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7、带超温保护，中美合资风机带延时保护</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10、配定制食品级胶条，安全无异味</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11、整机优质201不锈钢抗菌板材</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12、配8层深筐，层架尺寸560*395*260</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 xml:space="preserve">13、符合二星级国家标准，消杀多种菌种                                      </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★14、提供胶条符合GB4806.11-2016，感官色泽正常、无异臭、污物。迁移试验所得浸泡液不应有着色、浑浊、沉淀、异臭等感官性的劣变。总迁移量 1.0，重金属＜1。</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★15、符合GB 17988-2024《食具消毒柜性能要求和试验方法》：温度 120℃以上的消毒时间＞15min，满足二星级消毒柜的要求(消毒温度＞120℃，消毒时间＞15min)；测得消毒柜一、二、三层内、外点对大肠杆菌的杀灭对数值均≥6.50，满足二星级的要求(杀灭对数值＞4.00)；测得消毒柜一、二、三层内、外点对脊髓灰质炎病毒的灭活对数值均≥6.33，满足星级消毒柜的要求(灭活对数值＞4.00)。测得消毒柜一、二、三层内、外点对金色葡萄球菌的灭活对数值均≥6.40，满足星级消毒柜的要求(灭活对数值＞3.00)。测得消毒柜一、二、三层内、外点对幽门螺旋杆菌的灭活对数值均≥6.04，满足星级消毒柜的要求(灭活对数值＞3.00)。测得消毒柜一、二、三层内、外点对黄曲霉的灭活对数值均≥6.11，满足星级消毒柜的要求(灭活对数值＞3.00)。</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★16、提供消毒柜配套层架、篮筐符合GB/T 2423.3-2016标准的恒定湿热试验报告，将样品放置在严酷等级40℃±3℃、93%±3%RH的环境试验箱中， 持续时间150h，试验结束后产品外观正常无生锈。</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★17、提供消毒卫生生产许可证以及网上安全评价报告</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83F0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99F7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54E2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19000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0934EC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13335</wp:posOffset>
                  </wp:positionH>
                  <wp:positionV relativeFrom="paragraph">
                    <wp:posOffset>624205</wp:posOffset>
                  </wp:positionV>
                  <wp:extent cx="715010" cy="495300"/>
                  <wp:effectExtent l="0" t="0" r="8890" b="0"/>
                  <wp:wrapNone/>
                  <wp:docPr id="90" name="Picture_84_SpCnt_1"/>
                  <wp:cNvGraphicFramePr/>
                  <a:graphic xmlns:a="http://schemas.openxmlformats.org/drawingml/2006/main">
                    <a:graphicData uri="http://schemas.openxmlformats.org/drawingml/2006/picture">
                      <pic:pic xmlns:pic="http://schemas.openxmlformats.org/drawingml/2006/picture">
                        <pic:nvPicPr>
                          <pic:cNvPr id="90" name="Picture_84_SpCnt_1"/>
                          <pic:cNvPicPr/>
                        </pic:nvPicPr>
                        <pic:blipFill>
                          <a:blip r:embed="rId68"/>
                          <a:stretch>
                            <a:fillRect/>
                          </a:stretch>
                        </pic:blipFill>
                        <pic:spPr>
                          <a:xfrm>
                            <a:off x="0" y="0"/>
                            <a:ext cx="715010" cy="495300"/>
                          </a:xfrm>
                          <a:prstGeom prst="rect">
                            <a:avLst/>
                          </a:prstGeom>
                          <a:noFill/>
                          <a:ln>
                            <a:noFill/>
                          </a:ln>
                        </pic:spPr>
                      </pic:pic>
                    </a:graphicData>
                  </a:graphic>
                </wp:anchor>
              </w:drawing>
            </w:r>
          </w:p>
        </w:tc>
      </w:tr>
      <w:tr w14:paraId="783838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520A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67</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04E7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灭蚊灯</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06DD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1、工作方式：粘捕式；</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2、额定功率：0.008KW；</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3、覆盖面积：30-50；</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4、额定电压：220V-50HZ；</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5、材料等级：ABS阻燃材料；</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6、尺寸：400*120*170mm；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BA31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0AEA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9666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260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979BBD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-52070</wp:posOffset>
                  </wp:positionH>
                  <wp:positionV relativeFrom="paragraph">
                    <wp:posOffset>71755</wp:posOffset>
                  </wp:positionV>
                  <wp:extent cx="715010" cy="495300"/>
                  <wp:effectExtent l="0" t="0" r="8890" b="0"/>
                  <wp:wrapNone/>
                  <wp:docPr id="83" name="Picture_85"/>
                  <wp:cNvGraphicFramePr/>
                  <a:graphic xmlns:a="http://schemas.openxmlformats.org/drawingml/2006/main">
                    <a:graphicData uri="http://schemas.openxmlformats.org/drawingml/2006/picture">
                      <pic:pic xmlns:pic="http://schemas.openxmlformats.org/drawingml/2006/picture">
                        <pic:nvPicPr>
                          <pic:cNvPr id="83" name="Picture_85"/>
                          <pic:cNvPicPr/>
                        </pic:nvPicPr>
                        <pic:blipFill>
                          <a:blip r:embed="rId50"/>
                          <a:stretch>
                            <a:fillRect/>
                          </a:stretch>
                        </pic:blipFill>
                        <pic:spPr>
                          <a:xfrm>
                            <a:off x="0" y="0"/>
                            <a:ext cx="715010" cy="495300"/>
                          </a:xfrm>
                          <a:prstGeom prst="rect">
                            <a:avLst/>
                          </a:prstGeom>
                          <a:noFill/>
                          <a:ln>
                            <a:noFill/>
                          </a:ln>
                        </pic:spPr>
                      </pic:pic>
                    </a:graphicData>
                  </a:graphic>
                </wp:anchor>
              </w:drawing>
            </w:r>
          </w:p>
        </w:tc>
      </w:tr>
      <w:tr w14:paraId="5E59EE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6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477B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68</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844D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单通移门挂墙柜</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FDF2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1、尺寸：1800*400*600mm；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2、优质发纹贴塑不锈钢板制造，侧板δ0.8mm、门面δ0.8mm，底板、层板δ0.8mm、后板δ0.8mm，移门。</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FE62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6F81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A2CC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2100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C28D25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-22225</wp:posOffset>
                  </wp:positionH>
                  <wp:positionV relativeFrom="paragraph">
                    <wp:posOffset>321945</wp:posOffset>
                  </wp:positionV>
                  <wp:extent cx="715010" cy="495300"/>
                  <wp:effectExtent l="0" t="0" r="8890" b="0"/>
                  <wp:wrapNone/>
                  <wp:docPr id="99" name="Picture_26_SpCnt_2"/>
                  <wp:cNvGraphicFramePr/>
                  <a:graphic xmlns:a="http://schemas.openxmlformats.org/drawingml/2006/main">
                    <a:graphicData uri="http://schemas.openxmlformats.org/drawingml/2006/picture">
                      <pic:pic xmlns:pic="http://schemas.openxmlformats.org/drawingml/2006/picture">
                        <pic:nvPicPr>
                          <pic:cNvPr id="99" name="Picture_26_SpCnt_2"/>
                          <pic:cNvPicPr/>
                        </pic:nvPicPr>
                        <pic:blipFill>
                          <a:blip r:embed="rId83"/>
                          <a:stretch>
                            <a:fillRect/>
                          </a:stretch>
                        </pic:blipFill>
                        <pic:spPr>
                          <a:xfrm>
                            <a:off x="0" y="0"/>
                            <a:ext cx="715010" cy="495300"/>
                          </a:xfrm>
                          <a:prstGeom prst="rect">
                            <a:avLst/>
                          </a:prstGeom>
                          <a:noFill/>
                          <a:ln>
                            <a:noFill/>
                          </a:ln>
                        </pic:spPr>
                      </pic:pic>
                    </a:graphicData>
                  </a:graphic>
                </wp:anchor>
              </w:drawing>
            </w:r>
          </w:p>
        </w:tc>
      </w:tr>
      <w:tr w14:paraId="18CC2F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14:paraId="5DB020E6">
            <w:pPr>
              <w:keepNext w:val="0"/>
              <w:keepLines w:val="0"/>
              <w:widowControl/>
              <w:suppressLineNumbers w:val="0"/>
              <w:jc w:val="left"/>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排油烟系统</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2660A">
            <w:pPr>
              <w:jc w:val="left"/>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809D4">
            <w:pP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8EDE3">
            <w:pP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7335F">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7912F375">
            <w:pPr>
              <w:rPr>
                <w:rFonts w:hint="eastAsia" w:ascii="宋体" w:hAnsi="宋体" w:eastAsia="宋体" w:cs="宋体"/>
                <w:i w:val="0"/>
                <w:iCs w:val="0"/>
                <w:color w:val="auto"/>
                <w:sz w:val="20"/>
                <w:szCs w:val="20"/>
                <w:u w:val="none"/>
              </w:rPr>
            </w:pPr>
          </w:p>
        </w:tc>
      </w:tr>
      <w:tr w14:paraId="4C00AD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8535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69</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0C94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不锈钢风管</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7843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1、选用优质不锈钢板制作，板厚1.0mm；抗压能力高不易变形，外形美观整洁；密封性强</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79A5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1828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BDFB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320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8EE816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76835</wp:posOffset>
                  </wp:positionH>
                  <wp:positionV relativeFrom="paragraph">
                    <wp:posOffset>86995</wp:posOffset>
                  </wp:positionV>
                  <wp:extent cx="417830" cy="255905"/>
                  <wp:effectExtent l="0" t="0" r="1270" b="10795"/>
                  <wp:wrapNone/>
                  <wp:docPr id="100" name="Picture_327"/>
                  <wp:cNvGraphicFramePr/>
                  <a:graphic xmlns:a="http://schemas.openxmlformats.org/drawingml/2006/main">
                    <a:graphicData uri="http://schemas.openxmlformats.org/drawingml/2006/picture">
                      <pic:pic xmlns:pic="http://schemas.openxmlformats.org/drawingml/2006/picture">
                        <pic:nvPicPr>
                          <pic:cNvPr id="100" name="Picture_327"/>
                          <pic:cNvPicPr/>
                        </pic:nvPicPr>
                        <pic:blipFill>
                          <a:blip r:embed="rId84"/>
                          <a:stretch>
                            <a:fillRect/>
                          </a:stretch>
                        </pic:blipFill>
                        <pic:spPr>
                          <a:xfrm>
                            <a:off x="0" y="0"/>
                            <a:ext cx="417830" cy="255905"/>
                          </a:xfrm>
                          <a:prstGeom prst="rect">
                            <a:avLst/>
                          </a:prstGeom>
                          <a:noFill/>
                          <a:ln>
                            <a:noFill/>
                          </a:ln>
                        </pic:spPr>
                      </pic:pic>
                    </a:graphicData>
                  </a:graphic>
                </wp:anchor>
              </w:drawing>
            </w:r>
          </w:p>
        </w:tc>
      </w:tr>
      <w:tr w14:paraId="63E244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888F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6658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星三角降压启动装置开关</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3965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1、说明：由施工单位安装（三相五线制），预留五根线至排烟风柜处。</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E315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C843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25A7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1500</w:t>
            </w:r>
          </w:p>
        </w:tc>
        <w:tc>
          <w:tcPr>
            <w:tcW w:w="1593" w:type="dxa"/>
            <w:tcBorders>
              <w:top w:val="single" w:color="000000" w:sz="4" w:space="0"/>
              <w:left w:val="single" w:color="000000" w:sz="4" w:space="0"/>
              <w:bottom w:val="single" w:color="000000" w:sz="4" w:space="0"/>
              <w:right w:val="single" w:color="000000" w:sz="8" w:space="0"/>
            </w:tcBorders>
            <w:shd w:val="clear" w:color="auto" w:fill="FFFFFF"/>
            <w:vAlign w:val="center"/>
          </w:tcPr>
          <w:p w14:paraId="20BD34B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shd w:val="clear" w:fill="FFFFFF"/>
                <w:lang w:val="en-US" w:eastAsia="zh-CN" w:bidi="ar"/>
              </w:rPr>
              <w:drawing>
                <wp:anchor distT="0" distB="0" distL="114300" distR="114300" simplePos="0" relativeHeight="251662336" behindDoc="0" locked="0" layoutInCell="1" allowOverlap="1">
                  <wp:simplePos x="0" y="0"/>
                  <wp:positionH relativeFrom="column">
                    <wp:posOffset>22225</wp:posOffset>
                  </wp:positionH>
                  <wp:positionV relativeFrom="paragraph">
                    <wp:posOffset>111125</wp:posOffset>
                  </wp:positionV>
                  <wp:extent cx="531495" cy="440055"/>
                  <wp:effectExtent l="0" t="0" r="1905" b="17145"/>
                  <wp:wrapNone/>
                  <wp:docPr id="101" name="图片_47"/>
                  <wp:cNvGraphicFramePr/>
                  <a:graphic xmlns:a="http://schemas.openxmlformats.org/drawingml/2006/main">
                    <a:graphicData uri="http://schemas.openxmlformats.org/drawingml/2006/picture">
                      <pic:pic xmlns:pic="http://schemas.openxmlformats.org/drawingml/2006/picture">
                        <pic:nvPicPr>
                          <pic:cNvPr id="101" name="图片_47"/>
                          <pic:cNvPicPr/>
                        </pic:nvPicPr>
                        <pic:blipFill>
                          <a:blip r:embed="rId85"/>
                          <a:stretch>
                            <a:fillRect/>
                          </a:stretch>
                        </pic:blipFill>
                        <pic:spPr>
                          <a:xfrm>
                            <a:off x="0" y="0"/>
                            <a:ext cx="531495" cy="440055"/>
                          </a:xfrm>
                          <a:prstGeom prst="rect">
                            <a:avLst/>
                          </a:prstGeom>
                          <a:noFill/>
                          <a:ln>
                            <a:noFill/>
                          </a:ln>
                        </pic:spPr>
                      </pic:pic>
                    </a:graphicData>
                  </a:graphic>
                </wp:anchor>
              </w:drawing>
            </w:r>
          </w:p>
        </w:tc>
      </w:tr>
      <w:tr w14:paraId="0B104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0" w:type="auto"/>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14:paraId="22BBBCD7">
            <w:pPr>
              <w:keepNext w:val="0"/>
              <w:keepLines w:val="0"/>
              <w:widowControl/>
              <w:suppressLineNumbers w:val="0"/>
              <w:jc w:val="left"/>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其他</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3FDB0">
            <w:pPr>
              <w:jc w:val="left"/>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DB8A1">
            <w:pP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5AC3D">
            <w:pP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2F0E5">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1845C581">
            <w:pPr>
              <w:rPr>
                <w:rFonts w:hint="eastAsia" w:ascii="宋体" w:hAnsi="宋体" w:eastAsia="宋体" w:cs="宋体"/>
                <w:i w:val="0"/>
                <w:iCs w:val="0"/>
                <w:color w:val="auto"/>
                <w:sz w:val="20"/>
                <w:szCs w:val="20"/>
                <w:u w:val="none"/>
              </w:rPr>
            </w:pPr>
          </w:p>
        </w:tc>
      </w:tr>
      <w:tr w14:paraId="7568EF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78E4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71</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4BBF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排水系统</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A207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1、选用优质PPR水管，厚5.0mm；耐高温抗压能力高不易变形，外形美观整洁；密封性强。</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EC6B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E2A9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B8C4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B5E0A96">
            <w:pPr>
              <w:jc w:val="center"/>
              <w:rPr>
                <w:rFonts w:hint="eastAsia" w:ascii="宋体" w:hAnsi="宋体" w:eastAsia="宋体" w:cs="宋体"/>
                <w:i w:val="0"/>
                <w:iCs w:val="0"/>
                <w:color w:val="auto"/>
                <w:sz w:val="20"/>
                <w:szCs w:val="20"/>
                <w:u w:val="none"/>
              </w:rPr>
            </w:pPr>
          </w:p>
        </w:tc>
      </w:tr>
      <w:tr w14:paraId="49563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F035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72</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FAB0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进水系统</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4E476">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1、选用优质PPR水管，厚5.0mm；耐高温抗压能力高不易变形，外形美观整洁；密封性强。</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3C6A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0EB1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71AA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7000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6E43404">
            <w:pPr>
              <w:jc w:val="center"/>
              <w:rPr>
                <w:rFonts w:hint="eastAsia" w:ascii="宋体" w:hAnsi="宋体" w:eastAsia="宋体" w:cs="宋体"/>
                <w:i w:val="0"/>
                <w:iCs w:val="0"/>
                <w:color w:val="auto"/>
                <w:sz w:val="20"/>
                <w:szCs w:val="20"/>
                <w:u w:val="none"/>
              </w:rPr>
            </w:pPr>
          </w:p>
        </w:tc>
      </w:tr>
      <w:tr w14:paraId="739C5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713A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73</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0596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送电系统</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E648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1、厨房所有电器设备必须的电源线和配套启动系统。（参考图纸）</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F214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A2F4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800C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12000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860F2EA">
            <w:pPr>
              <w:jc w:val="center"/>
              <w:rPr>
                <w:rFonts w:hint="eastAsia" w:ascii="宋体" w:hAnsi="宋体" w:eastAsia="宋体" w:cs="宋体"/>
                <w:i w:val="0"/>
                <w:iCs w:val="0"/>
                <w:color w:val="auto"/>
                <w:sz w:val="20"/>
                <w:szCs w:val="20"/>
                <w:u w:val="none"/>
              </w:rPr>
            </w:pPr>
          </w:p>
        </w:tc>
      </w:tr>
      <w:tr w14:paraId="64F6D7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BD63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74</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034B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厨房设备安装辅助材料</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B4FE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1、厨房设备安装必须的电源线和配套安装材料。（参考图纸）</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14CD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2FD3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BB97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1500</w:t>
            </w:r>
          </w:p>
        </w:tc>
        <w:tc>
          <w:tcPr>
            <w:tcW w:w="159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A85751F">
            <w:pPr>
              <w:jc w:val="center"/>
              <w:rPr>
                <w:rFonts w:hint="eastAsia" w:ascii="宋体" w:hAnsi="宋体" w:eastAsia="宋体" w:cs="宋体"/>
                <w:i w:val="0"/>
                <w:iCs w:val="0"/>
                <w:color w:val="auto"/>
                <w:sz w:val="20"/>
                <w:szCs w:val="20"/>
                <w:u w:val="none"/>
              </w:rPr>
            </w:pPr>
          </w:p>
        </w:tc>
      </w:tr>
      <w:tr w14:paraId="29F2D4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BAB7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75</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BD6D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幼儿不锈钢五格餐盘</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8468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1、优质304不锈钢餐盘；</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5685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A969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7004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26</w:t>
            </w: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5B3103A1">
            <w:pPr>
              <w:jc w:val="center"/>
              <w:rPr>
                <w:rFonts w:hint="eastAsia" w:ascii="宋体" w:hAnsi="宋体" w:eastAsia="宋体" w:cs="宋体"/>
                <w:b/>
                <w:bCs/>
                <w:i w:val="0"/>
                <w:iCs w:val="0"/>
                <w:color w:val="auto"/>
                <w:sz w:val="20"/>
                <w:szCs w:val="20"/>
                <w:u w:val="none"/>
              </w:rPr>
            </w:pPr>
          </w:p>
        </w:tc>
      </w:tr>
      <w:tr w14:paraId="7F6680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410A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76</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22FA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不锈钢餐具（教师用）</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07E2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1、餐盘+餐碗+合金筷+汤勺优质304不锈钢；</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9A19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8529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513F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w:t>
            </w: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76CAFA43">
            <w:pPr>
              <w:jc w:val="center"/>
              <w:rPr>
                <w:rFonts w:hint="eastAsia" w:ascii="宋体" w:hAnsi="宋体" w:eastAsia="宋体" w:cs="宋体"/>
                <w:b/>
                <w:bCs/>
                <w:i w:val="0"/>
                <w:iCs w:val="0"/>
                <w:color w:val="auto"/>
                <w:sz w:val="20"/>
                <w:szCs w:val="20"/>
                <w:u w:val="none"/>
              </w:rPr>
            </w:pPr>
          </w:p>
        </w:tc>
      </w:tr>
      <w:tr w14:paraId="2E612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1AC1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77</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F970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优质不锈钢汤碗</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1B8E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1、优质不锈钢汤碗11cm优质304不锈钢汤碗；</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52C4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C87F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D114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w:t>
            </w: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03322368">
            <w:pPr>
              <w:jc w:val="center"/>
              <w:rPr>
                <w:rFonts w:hint="eastAsia" w:ascii="宋体" w:hAnsi="宋体" w:eastAsia="宋体" w:cs="宋体"/>
                <w:b/>
                <w:bCs/>
                <w:i w:val="0"/>
                <w:iCs w:val="0"/>
                <w:color w:val="auto"/>
                <w:sz w:val="20"/>
                <w:szCs w:val="20"/>
                <w:u w:val="none"/>
              </w:rPr>
            </w:pPr>
          </w:p>
        </w:tc>
      </w:tr>
      <w:tr w14:paraId="415105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000D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78</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E502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优质不锈钢汤匙</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9EB7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1、优质不锈钢汤匙16cm优质304不锈钢保温桶；</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183F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A36A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FE8E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706B3955">
            <w:pPr>
              <w:jc w:val="center"/>
              <w:rPr>
                <w:rFonts w:hint="eastAsia" w:ascii="宋体" w:hAnsi="宋体" w:eastAsia="宋体" w:cs="宋体"/>
                <w:b/>
                <w:bCs/>
                <w:i w:val="0"/>
                <w:iCs w:val="0"/>
                <w:color w:val="auto"/>
                <w:sz w:val="20"/>
                <w:szCs w:val="20"/>
                <w:u w:val="none"/>
              </w:rPr>
            </w:pPr>
          </w:p>
        </w:tc>
      </w:tr>
      <w:tr w14:paraId="29A7B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5A40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79</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8A9D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合金筷子</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332A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 24cm合金筷；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EBFF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双</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D710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5539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5092201E">
            <w:pPr>
              <w:jc w:val="center"/>
              <w:rPr>
                <w:rFonts w:hint="eastAsia" w:ascii="宋体" w:hAnsi="宋体" w:eastAsia="宋体" w:cs="宋体"/>
                <w:b/>
                <w:bCs/>
                <w:i w:val="0"/>
                <w:iCs w:val="0"/>
                <w:color w:val="auto"/>
                <w:sz w:val="20"/>
                <w:szCs w:val="20"/>
                <w:u w:val="none"/>
              </w:rPr>
            </w:pPr>
          </w:p>
        </w:tc>
      </w:tr>
      <w:tr w14:paraId="1A166E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DF63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5FED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不锈钢儿童水杯</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27DA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1、304钢，直径7.6厘米；</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AF38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A103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DAE4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w:t>
            </w: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7517BB00">
            <w:pPr>
              <w:jc w:val="center"/>
              <w:rPr>
                <w:rFonts w:hint="eastAsia" w:ascii="宋体" w:hAnsi="宋体" w:eastAsia="宋体" w:cs="宋体"/>
                <w:b/>
                <w:bCs/>
                <w:i w:val="0"/>
                <w:iCs w:val="0"/>
                <w:color w:val="auto"/>
                <w:sz w:val="20"/>
                <w:szCs w:val="20"/>
                <w:u w:val="none"/>
              </w:rPr>
            </w:pPr>
          </w:p>
        </w:tc>
      </w:tr>
      <w:tr w14:paraId="008B7B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FB21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81</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85FC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优质不锈钢保温桶</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CEAA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1、订制：30cm优质304不锈钢保温桶；</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6741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134F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878A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300</w:t>
            </w: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3C79C9A0">
            <w:pPr>
              <w:jc w:val="center"/>
              <w:rPr>
                <w:rFonts w:hint="eastAsia" w:ascii="宋体" w:hAnsi="宋体" w:eastAsia="宋体" w:cs="宋体"/>
                <w:b/>
                <w:bCs/>
                <w:i w:val="0"/>
                <w:iCs w:val="0"/>
                <w:color w:val="auto"/>
                <w:sz w:val="20"/>
                <w:szCs w:val="20"/>
                <w:u w:val="none"/>
              </w:rPr>
            </w:pPr>
          </w:p>
        </w:tc>
      </w:tr>
      <w:tr w14:paraId="4C325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D09E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82</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FBFC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优质不锈钢手提桶</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CEDC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1、30cm优质304不锈钢手提桶；</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AE31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ADBB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B657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190</w:t>
            </w: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5FE89622">
            <w:pPr>
              <w:jc w:val="center"/>
              <w:rPr>
                <w:rFonts w:hint="eastAsia" w:ascii="宋体" w:hAnsi="宋体" w:eastAsia="宋体" w:cs="宋体"/>
                <w:b/>
                <w:bCs/>
                <w:i w:val="0"/>
                <w:iCs w:val="0"/>
                <w:color w:val="auto"/>
                <w:sz w:val="20"/>
                <w:szCs w:val="20"/>
                <w:u w:val="none"/>
              </w:rPr>
            </w:pPr>
          </w:p>
        </w:tc>
      </w:tr>
      <w:tr w14:paraId="249F1C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D218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83</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0967B">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优质不锈钢汤桶</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C2CD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1、50*50cm优质304不锈钢汤桶；</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BB16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29D0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965E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350</w:t>
            </w: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28D3599A">
            <w:pPr>
              <w:jc w:val="center"/>
              <w:rPr>
                <w:rFonts w:hint="eastAsia" w:ascii="宋体" w:hAnsi="宋体" w:eastAsia="宋体" w:cs="宋体"/>
                <w:b/>
                <w:bCs/>
                <w:i w:val="0"/>
                <w:iCs w:val="0"/>
                <w:color w:val="auto"/>
                <w:sz w:val="20"/>
                <w:szCs w:val="20"/>
                <w:u w:val="none"/>
              </w:rPr>
            </w:pPr>
          </w:p>
        </w:tc>
      </w:tr>
      <w:tr w14:paraId="543D05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0825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84</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49126">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长柄炒勺</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CD57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1、8两优质304不锈钢；</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5B0D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89BE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D689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33</w:t>
            </w: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3636A182">
            <w:pPr>
              <w:jc w:val="center"/>
              <w:rPr>
                <w:rFonts w:hint="eastAsia" w:ascii="宋体" w:hAnsi="宋体" w:eastAsia="宋体" w:cs="宋体"/>
                <w:b/>
                <w:bCs/>
                <w:i w:val="0"/>
                <w:iCs w:val="0"/>
                <w:color w:val="auto"/>
                <w:sz w:val="20"/>
                <w:szCs w:val="20"/>
                <w:u w:val="none"/>
              </w:rPr>
            </w:pPr>
          </w:p>
        </w:tc>
      </w:tr>
      <w:tr w14:paraId="44A683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9F80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85</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3785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塑料菜框</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38F2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1、450*300*130加厚环保食品级材质；</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5A87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E134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BE4A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60</w:t>
            </w: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0D0F5CCA">
            <w:pPr>
              <w:jc w:val="center"/>
              <w:rPr>
                <w:rFonts w:hint="eastAsia" w:ascii="宋体" w:hAnsi="宋体" w:eastAsia="宋体" w:cs="宋体"/>
                <w:b/>
                <w:bCs/>
                <w:i w:val="0"/>
                <w:iCs w:val="0"/>
                <w:color w:val="auto"/>
                <w:sz w:val="20"/>
                <w:szCs w:val="20"/>
                <w:u w:val="none"/>
              </w:rPr>
            </w:pPr>
          </w:p>
        </w:tc>
      </w:tr>
      <w:tr w14:paraId="33E44E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F619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86</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8151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塑料菜框</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FEAE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1、300*200*130加厚环保食品级材质；</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D956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8362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2286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60</w:t>
            </w: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7A2A5E02">
            <w:pPr>
              <w:jc w:val="center"/>
              <w:rPr>
                <w:rFonts w:hint="eastAsia" w:ascii="宋体" w:hAnsi="宋体" w:eastAsia="宋体" w:cs="宋体"/>
                <w:b/>
                <w:bCs/>
                <w:i w:val="0"/>
                <w:iCs w:val="0"/>
                <w:color w:val="auto"/>
                <w:sz w:val="20"/>
                <w:szCs w:val="20"/>
                <w:u w:val="none"/>
              </w:rPr>
            </w:pPr>
          </w:p>
        </w:tc>
      </w:tr>
      <w:tr w14:paraId="11647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BA72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87</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D607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大白桶</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2DA7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1、100L材质满足国际HACCP食品安全控制体系；</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A488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90C5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3756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55</w:t>
            </w: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61F6336E">
            <w:pPr>
              <w:jc w:val="center"/>
              <w:rPr>
                <w:rFonts w:hint="eastAsia" w:ascii="宋体" w:hAnsi="宋体" w:eastAsia="宋体" w:cs="宋体"/>
                <w:b/>
                <w:bCs/>
                <w:i w:val="0"/>
                <w:iCs w:val="0"/>
                <w:color w:val="auto"/>
                <w:sz w:val="20"/>
                <w:szCs w:val="20"/>
                <w:u w:val="none"/>
              </w:rPr>
            </w:pPr>
          </w:p>
        </w:tc>
      </w:tr>
      <w:tr w14:paraId="0D6619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8AFC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88</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DA00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1号桑刀</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18DF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1、优质不锈钢1号桑刀；</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3593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把</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8308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1EB5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91</w:t>
            </w: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03916833">
            <w:pPr>
              <w:jc w:val="center"/>
              <w:rPr>
                <w:rFonts w:hint="eastAsia" w:ascii="宋体" w:hAnsi="宋体" w:eastAsia="宋体" w:cs="宋体"/>
                <w:b/>
                <w:bCs/>
                <w:i w:val="0"/>
                <w:iCs w:val="0"/>
                <w:color w:val="auto"/>
                <w:sz w:val="20"/>
                <w:szCs w:val="20"/>
                <w:u w:val="none"/>
              </w:rPr>
            </w:pPr>
          </w:p>
        </w:tc>
      </w:tr>
      <w:tr w14:paraId="5FF7B5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0ADB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89</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485F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2号片刀</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96973">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1、优质不锈钢2号片刀；</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20EA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把</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E0F4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F3D5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w:t>
            </w: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19DFE91E">
            <w:pPr>
              <w:jc w:val="center"/>
              <w:rPr>
                <w:rFonts w:hint="eastAsia" w:ascii="宋体" w:hAnsi="宋体" w:eastAsia="宋体" w:cs="宋体"/>
                <w:b/>
                <w:bCs/>
                <w:i w:val="0"/>
                <w:iCs w:val="0"/>
                <w:color w:val="auto"/>
                <w:sz w:val="20"/>
                <w:szCs w:val="20"/>
                <w:u w:val="none"/>
              </w:rPr>
            </w:pPr>
          </w:p>
        </w:tc>
      </w:tr>
      <w:tr w14:paraId="42E108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00D2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D0FB4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1号钢刀</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32D2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1、优质不锈钢1号钢刀；</w:t>
            </w:r>
          </w:p>
        </w:tc>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D18AB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把</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C5BA6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8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A61B2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130</w:t>
            </w: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0A57AE17">
            <w:pPr>
              <w:jc w:val="center"/>
              <w:rPr>
                <w:rFonts w:hint="eastAsia" w:ascii="宋体" w:hAnsi="宋体" w:eastAsia="宋体" w:cs="宋体"/>
                <w:b/>
                <w:bCs/>
                <w:i w:val="0"/>
                <w:iCs w:val="0"/>
                <w:color w:val="auto"/>
                <w:sz w:val="20"/>
                <w:szCs w:val="20"/>
                <w:u w:val="none"/>
              </w:rPr>
            </w:pPr>
          </w:p>
        </w:tc>
      </w:tr>
      <w:tr w14:paraId="03221C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9A22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91</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A2BD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1号炒勺</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9502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1、优质不锈钢1号炒勺；</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62D5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4290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2A5D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39</w:t>
            </w: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5406BD3D">
            <w:pPr>
              <w:jc w:val="center"/>
              <w:rPr>
                <w:rFonts w:hint="eastAsia" w:ascii="宋体" w:hAnsi="宋体" w:eastAsia="宋体" w:cs="宋体"/>
                <w:b/>
                <w:bCs/>
                <w:i w:val="0"/>
                <w:iCs w:val="0"/>
                <w:color w:val="auto"/>
                <w:sz w:val="20"/>
                <w:szCs w:val="20"/>
                <w:u w:val="none"/>
              </w:rPr>
            </w:pPr>
          </w:p>
        </w:tc>
      </w:tr>
      <w:tr w14:paraId="4F7D87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E59C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92</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5EEA3">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1号苏铲</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2F83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1、优质不锈钢1号苏铲；</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335E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3DED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7608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39</w:t>
            </w: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1AF4B525">
            <w:pPr>
              <w:jc w:val="center"/>
              <w:rPr>
                <w:rFonts w:hint="eastAsia" w:ascii="宋体" w:hAnsi="宋体" w:eastAsia="宋体" w:cs="宋体"/>
                <w:b/>
                <w:bCs/>
                <w:i w:val="0"/>
                <w:iCs w:val="0"/>
                <w:color w:val="auto"/>
                <w:sz w:val="20"/>
                <w:szCs w:val="20"/>
                <w:u w:val="none"/>
              </w:rPr>
            </w:pPr>
          </w:p>
        </w:tc>
      </w:tr>
      <w:tr w14:paraId="7FACA9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0CB0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93</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BCFB0">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特富龙不粘锅</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BB31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1、32cm单柄复合底；</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BA40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286A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3A8C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460</w:t>
            </w: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262E0204">
            <w:pPr>
              <w:jc w:val="center"/>
              <w:rPr>
                <w:rFonts w:hint="eastAsia" w:ascii="宋体" w:hAnsi="宋体" w:eastAsia="宋体" w:cs="宋体"/>
                <w:b/>
                <w:bCs/>
                <w:i w:val="0"/>
                <w:iCs w:val="0"/>
                <w:color w:val="auto"/>
                <w:sz w:val="20"/>
                <w:szCs w:val="20"/>
                <w:u w:val="none"/>
              </w:rPr>
            </w:pPr>
          </w:p>
        </w:tc>
      </w:tr>
      <w:tr w14:paraId="604E95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0CEA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94</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98D2A">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优质不锈钢盆</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AB193">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1、40cm优质不锈钢；</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2139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374F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2F18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110</w:t>
            </w: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4BAB9CB8">
            <w:pPr>
              <w:jc w:val="center"/>
              <w:rPr>
                <w:rFonts w:hint="eastAsia" w:ascii="宋体" w:hAnsi="宋体" w:eastAsia="宋体" w:cs="宋体"/>
                <w:b/>
                <w:bCs/>
                <w:i w:val="0"/>
                <w:iCs w:val="0"/>
                <w:color w:val="auto"/>
                <w:sz w:val="20"/>
                <w:szCs w:val="20"/>
                <w:u w:val="none"/>
              </w:rPr>
            </w:pPr>
          </w:p>
        </w:tc>
      </w:tr>
      <w:tr w14:paraId="65C9CA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41C3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95</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123D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优质不锈钢盆</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0D876">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1、60cm优质不锈钢；</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2A83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5AAF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6911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250</w:t>
            </w: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24B0845F">
            <w:pPr>
              <w:jc w:val="center"/>
              <w:rPr>
                <w:rFonts w:hint="eastAsia" w:ascii="宋体" w:hAnsi="宋体" w:eastAsia="宋体" w:cs="宋体"/>
                <w:b/>
                <w:bCs/>
                <w:i w:val="0"/>
                <w:iCs w:val="0"/>
                <w:color w:val="auto"/>
                <w:sz w:val="20"/>
                <w:szCs w:val="20"/>
                <w:u w:val="none"/>
              </w:rPr>
            </w:pPr>
          </w:p>
        </w:tc>
      </w:tr>
      <w:tr w14:paraId="421F1D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20AB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96</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1479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1号片皮刀</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FAB9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1、1号优质不锈钢；</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23BE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把</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9C30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C6EF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w:t>
            </w: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38404BED">
            <w:pPr>
              <w:jc w:val="center"/>
              <w:rPr>
                <w:rFonts w:hint="eastAsia" w:ascii="宋体" w:hAnsi="宋体" w:eastAsia="宋体" w:cs="宋体"/>
                <w:b/>
                <w:bCs/>
                <w:i w:val="0"/>
                <w:iCs w:val="0"/>
                <w:color w:val="auto"/>
                <w:sz w:val="20"/>
                <w:szCs w:val="20"/>
                <w:u w:val="none"/>
              </w:rPr>
            </w:pPr>
          </w:p>
        </w:tc>
      </w:tr>
      <w:tr w14:paraId="1E850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8EB8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97</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905B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特厚铁锅</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77F0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1、特厚铁锅1.4尺；</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A807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837E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13FB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300</w:t>
            </w: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202B871F">
            <w:pPr>
              <w:jc w:val="center"/>
              <w:rPr>
                <w:rFonts w:hint="eastAsia" w:ascii="宋体" w:hAnsi="宋体" w:eastAsia="宋体" w:cs="宋体"/>
                <w:b/>
                <w:bCs/>
                <w:i w:val="0"/>
                <w:iCs w:val="0"/>
                <w:color w:val="auto"/>
                <w:sz w:val="20"/>
                <w:szCs w:val="20"/>
                <w:u w:val="none"/>
              </w:rPr>
            </w:pPr>
          </w:p>
        </w:tc>
      </w:tr>
      <w:tr w14:paraId="7D8B54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B306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98</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0436CB">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特厚生铁锅</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4B8F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1、特厚铁锅90cm；</w:t>
            </w:r>
          </w:p>
        </w:tc>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BB451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8DE8B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EDCC8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600</w:t>
            </w: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1363D3C6">
            <w:pPr>
              <w:jc w:val="center"/>
              <w:rPr>
                <w:rFonts w:hint="eastAsia" w:ascii="宋体" w:hAnsi="宋体" w:eastAsia="宋体" w:cs="宋体"/>
                <w:b/>
                <w:bCs/>
                <w:i w:val="0"/>
                <w:iCs w:val="0"/>
                <w:color w:val="auto"/>
                <w:sz w:val="20"/>
                <w:szCs w:val="20"/>
                <w:u w:val="none"/>
              </w:rPr>
            </w:pPr>
          </w:p>
        </w:tc>
      </w:tr>
      <w:tr w14:paraId="44F846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4F13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99</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C1DEA">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饭勺</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2B613">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1、不锈钢制品有限公司/厂制品饭勺大号优质不锈钢；</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1707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0DE3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3169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w:t>
            </w: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1B719BBE">
            <w:pPr>
              <w:jc w:val="center"/>
              <w:rPr>
                <w:rFonts w:hint="eastAsia" w:ascii="宋体" w:hAnsi="宋体" w:eastAsia="宋体" w:cs="宋体"/>
                <w:b/>
                <w:bCs/>
                <w:i w:val="0"/>
                <w:iCs w:val="0"/>
                <w:color w:val="auto"/>
                <w:sz w:val="20"/>
                <w:szCs w:val="20"/>
                <w:u w:val="none"/>
              </w:rPr>
            </w:pPr>
          </w:p>
        </w:tc>
      </w:tr>
      <w:tr w14:paraId="71DA82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08C7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B405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周转箱</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2A44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1、周转箱600*400*230加厚环保食品级材质；</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7382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3DE7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DDA9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w:t>
            </w: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278376BB">
            <w:pPr>
              <w:jc w:val="center"/>
              <w:rPr>
                <w:rFonts w:hint="eastAsia" w:ascii="宋体" w:hAnsi="宋体" w:eastAsia="宋体" w:cs="宋体"/>
                <w:b/>
                <w:bCs/>
                <w:i w:val="0"/>
                <w:iCs w:val="0"/>
                <w:color w:val="auto"/>
                <w:sz w:val="20"/>
                <w:szCs w:val="20"/>
                <w:u w:val="none"/>
              </w:rPr>
            </w:pPr>
          </w:p>
        </w:tc>
      </w:tr>
      <w:tr w14:paraId="127978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8036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101</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B4BC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塑料砧板</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49DE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1、塑胶 500mm*100mm国家安全合格食品级材质；</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5A01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C7C2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EFDB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900</w:t>
            </w: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4E7ACB59">
            <w:pPr>
              <w:jc w:val="center"/>
              <w:rPr>
                <w:rFonts w:hint="eastAsia" w:ascii="宋体" w:hAnsi="宋体" w:eastAsia="宋体" w:cs="宋体"/>
                <w:b/>
                <w:bCs/>
                <w:i w:val="0"/>
                <w:iCs w:val="0"/>
                <w:color w:val="auto"/>
                <w:sz w:val="20"/>
                <w:szCs w:val="20"/>
                <w:u w:val="none"/>
              </w:rPr>
            </w:pPr>
          </w:p>
        </w:tc>
      </w:tr>
      <w:tr w14:paraId="65B757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616C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102</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70BA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塑料砧板</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9CFA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1、塑胶500cm*50mm国家安全合格食品级材质；</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E754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5CFA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6383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500</w:t>
            </w: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08D0D368">
            <w:pPr>
              <w:jc w:val="center"/>
              <w:rPr>
                <w:rFonts w:hint="eastAsia" w:ascii="宋体" w:hAnsi="宋体" w:eastAsia="宋体" w:cs="宋体"/>
                <w:b/>
                <w:bCs/>
                <w:i w:val="0"/>
                <w:iCs w:val="0"/>
                <w:color w:val="auto"/>
                <w:sz w:val="20"/>
                <w:szCs w:val="20"/>
                <w:u w:val="none"/>
              </w:rPr>
            </w:pPr>
          </w:p>
        </w:tc>
      </w:tr>
      <w:tr w14:paraId="69834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267F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103</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53B7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塑料砧板</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C9B33">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1、塑胶500cm*30mm国家安全合格食品级材质；</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46E0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71AB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37CA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400</w:t>
            </w: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625C2009">
            <w:pPr>
              <w:jc w:val="center"/>
              <w:rPr>
                <w:rFonts w:hint="eastAsia" w:ascii="宋体" w:hAnsi="宋体" w:eastAsia="宋体" w:cs="宋体"/>
                <w:b/>
                <w:bCs/>
                <w:i w:val="0"/>
                <w:iCs w:val="0"/>
                <w:color w:val="auto"/>
                <w:sz w:val="20"/>
                <w:szCs w:val="20"/>
                <w:u w:val="none"/>
              </w:rPr>
            </w:pPr>
          </w:p>
        </w:tc>
      </w:tr>
      <w:tr w14:paraId="45625A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C29F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104</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3914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擀面杖</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E757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1、450mm木质擀面杖；</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5B71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DC5E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E844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w:t>
            </w:r>
          </w:p>
        </w:tc>
        <w:tc>
          <w:tcPr>
            <w:tcW w:w="0" w:type="auto"/>
            <w:tcBorders>
              <w:top w:val="single" w:color="000000" w:sz="4" w:space="0"/>
              <w:left w:val="single" w:color="000000" w:sz="4" w:space="0"/>
              <w:bottom w:val="single" w:color="000000" w:sz="4" w:space="0"/>
              <w:right w:val="single" w:color="000000" w:sz="8" w:space="0"/>
            </w:tcBorders>
            <w:shd w:val="clear" w:color="auto" w:fill="auto"/>
            <w:noWrap/>
            <w:vAlign w:val="center"/>
          </w:tcPr>
          <w:p w14:paraId="2060669A">
            <w:pPr>
              <w:jc w:val="center"/>
              <w:rPr>
                <w:rFonts w:hint="eastAsia" w:ascii="宋体" w:hAnsi="宋体" w:eastAsia="宋体" w:cs="宋体"/>
                <w:b/>
                <w:bCs/>
                <w:i w:val="0"/>
                <w:iCs w:val="0"/>
                <w:color w:val="auto"/>
                <w:sz w:val="20"/>
                <w:szCs w:val="20"/>
                <w:u w:val="none"/>
              </w:rPr>
            </w:pPr>
          </w:p>
        </w:tc>
      </w:tr>
    </w:tbl>
    <w:p w14:paraId="1AB82D8D">
      <w:pPr>
        <w:jc w:val="both"/>
        <w:rPr>
          <w:rFonts w:hint="eastAsia" w:ascii="宋体" w:hAnsi="宋体" w:eastAsia="宋体" w:cs="宋体"/>
          <w:b w:val="0"/>
          <w:bCs/>
          <w:color w:val="auto"/>
          <w:sz w:val="52"/>
          <w:szCs w:val="52"/>
          <w:highlight w:val="none"/>
          <w:lang w:val="en-US" w:eastAsia="zh-CN"/>
        </w:rPr>
      </w:pPr>
    </w:p>
    <w:p w14:paraId="3E4C58A2">
      <w:pPr>
        <w:rPr>
          <w:rFonts w:hint="eastAsia" w:ascii="宋体" w:hAnsi="宋体" w:cs="宋体"/>
          <w:b/>
          <w:color w:val="auto"/>
          <w:sz w:val="24"/>
          <w:szCs w:val="24"/>
          <w:highlight w:val="none"/>
          <w:lang w:val="en-US" w:eastAsia="zh-CN"/>
        </w:rPr>
      </w:pPr>
    </w:p>
    <w:p w14:paraId="3C7B7635">
      <w:pPr>
        <w:rPr>
          <w:rFonts w:hint="eastAsia" w:ascii="宋体" w:hAnsi="宋体" w:cs="宋体"/>
          <w:b/>
          <w:color w:val="auto"/>
          <w:sz w:val="52"/>
          <w:szCs w:val="52"/>
          <w:highlight w:val="none"/>
          <w:lang w:val="en-US" w:eastAsia="zh-CN"/>
        </w:rPr>
      </w:pPr>
      <w:r>
        <w:rPr>
          <w:rFonts w:hint="eastAsia" w:ascii="宋体" w:hAnsi="宋体" w:cs="宋体"/>
          <w:b/>
          <w:color w:val="auto"/>
          <w:sz w:val="52"/>
          <w:szCs w:val="52"/>
          <w:highlight w:val="none"/>
          <w:lang w:val="en-US" w:eastAsia="zh-CN"/>
        </w:rPr>
        <w:br w:type="page"/>
      </w:r>
    </w:p>
    <w:p w14:paraId="21E06837">
      <w:pPr>
        <w:jc w:val="center"/>
        <w:rPr>
          <w:rFonts w:hint="eastAsia" w:ascii="宋体" w:hAnsi="宋体" w:cs="宋体"/>
          <w:b/>
          <w:color w:val="auto"/>
          <w:sz w:val="52"/>
          <w:szCs w:val="52"/>
          <w:highlight w:val="none"/>
          <w:lang w:val="en-US" w:eastAsia="zh-CN"/>
        </w:rPr>
      </w:pPr>
      <w:r>
        <w:rPr>
          <w:rFonts w:hint="eastAsia" w:ascii="宋体" w:hAnsi="宋体" w:cs="宋体"/>
          <w:b/>
          <w:color w:val="auto"/>
          <w:sz w:val="52"/>
          <w:szCs w:val="52"/>
          <w:highlight w:val="none"/>
          <w:lang w:val="en-US" w:eastAsia="zh-CN"/>
        </w:rPr>
        <w:t>B包：教学设备</w:t>
      </w:r>
    </w:p>
    <w:p w14:paraId="6EED19E3">
      <w:pPr>
        <w:rPr>
          <w:color w:val="auto"/>
        </w:rPr>
      </w:pPr>
    </w:p>
    <w:tbl>
      <w:tblPr>
        <w:tblStyle w:val="23"/>
        <w:tblW w:w="847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16"/>
        <w:gridCol w:w="816"/>
        <w:gridCol w:w="5379"/>
        <w:gridCol w:w="810"/>
        <w:gridCol w:w="854"/>
      </w:tblGrid>
      <w:tr w14:paraId="3C234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475" w:type="dxa"/>
            <w:gridSpan w:val="5"/>
            <w:tcBorders>
              <w:top w:val="nil"/>
              <w:left w:val="nil"/>
              <w:bottom w:val="nil"/>
              <w:right w:val="nil"/>
            </w:tcBorders>
            <w:shd w:val="clear" w:color="auto" w:fill="auto"/>
            <w:noWrap/>
            <w:vAlign w:val="center"/>
          </w:tcPr>
          <w:p w14:paraId="0297E17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教学设备清单</w:t>
            </w:r>
          </w:p>
        </w:tc>
      </w:tr>
      <w:tr w14:paraId="369EBA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7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C3D78B5">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一、教室活动室设备</w:t>
            </w:r>
          </w:p>
        </w:tc>
      </w:tr>
      <w:tr w14:paraId="549CB0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BA27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序号</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5E03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货物名称</w:t>
            </w:r>
          </w:p>
        </w:tc>
        <w:tc>
          <w:tcPr>
            <w:tcW w:w="5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63D0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规格型号</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206A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单位</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749E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数量</w:t>
            </w:r>
          </w:p>
        </w:tc>
      </w:tr>
      <w:tr w14:paraId="02F4EC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B9ADB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895AD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椅</w:t>
            </w:r>
          </w:p>
        </w:tc>
        <w:tc>
          <w:tcPr>
            <w:tcW w:w="5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A182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1、高度24cm。橡胶木造型椅。</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2、材质：①椅面采用优质橡胶木板，不开裂、不易变形。②椅面厚度1.6cm ，整体采用榫卯结构坚固耐用③采用进口优质环保油漆喷涂而成，安全、无毒无味，凸显木材纹理，手感光滑。</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1C59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6075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w:t>
            </w:r>
          </w:p>
        </w:tc>
      </w:tr>
      <w:tr w14:paraId="2DB13D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233BB9">
            <w:pPr>
              <w:jc w:val="center"/>
              <w:rPr>
                <w:rFonts w:hint="eastAsia" w:ascii="宋体" w:hAnsi="宋体" w:eastAsia="宋体" w:cs="宋体"/>
                <w:i w:val="0"/>
                <w:iCs w:val="0"/>
                <w:color w:val="auto"/>
                <w:sz w:val="20"/>
                <w:szCs w:val="20"/>
                <w:u w:val="none"/>
              </w:rPr>
            </w:pP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C8B2F6">
            <w:pPr>
              <w:jc w:val="center"/>
              <w:rPr>
                <w:rFonts w:hint="eastAsia" w:ascii="宋体" w:hAnsi="宋体" w:eastAsia="宋体" w:cs="宋体"/>
                <w:i w:val="0"/>
                <w:iCs w:val="0"/>
                <w:color w:val="auto"/>
                <w:sz w:val="20"/>
                <w:szCs w:val="20"/>
                <w:u w:val="none"/>
              </w:rPr>
            </w:pPr>
          </w:p>
        </w:tc>
        <w:tc>
          <w:tcPr>
            <w:tcW w:w="5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791E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1、高度26cm。 </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2、材质：①椅面采用优质橡胶木板，不开裂、不易变形。②椅面厚度1.6cm ，整体采用榫卯结构坚固耐用③采用进口优质环保油漆喷涂而成，安全、无毒无味，凸显木材纹理，手感光滑。</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6D47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2AF4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105</w:t>
            </w:r>
          </w:p>
        </w:tc>
      </w:tr>
      <w:tr w14:paraId="4657F6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3CAD24">
            <w:pPr>
              <w:jc w:val="center"/>
              <w:rPr>
                <w:rFonts w:hint="eastAsia" w:ascii="宋体" w:hAnsi="宋体" w:eastAsia="宋体" w:cs="宋体"/>
                <w:i w:val="0"/>
                <w:iCs w:val="0"/>
                <w:color w:val="auto"/>
                <w:sz w:val="20"/>
                <w:szCs w:val="20"/>
                <w:u w:val="none"/>
              </w:rPr>
            </w:pP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887DEB">
            <w:pPr>
              <w:jc w:val="center"/>
              <w:rPr>
                <w:rFonts w:hint="eastAsia" w:ascii="宋体" w:hAnsi="宋体" w:eastAsia="宋体" w:cs="宋体"/>
                <w:i w:val="0"/>
                <w:iCs w:val="0"/>
                <w:color w:val="auto"/>
                <w:sz w:val="20"/>
                <w:szCs w:val="20"/>
                <w:u w:val="none"/>
              </w:rPr>
            </w:pPr>
          </w:p>
        </w:tc>
        <w:tc>
          <w:tcPr>
            <w:tcW w:w="5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2AA3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1、高度28cm。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 xml:space="preserve">2、材质：①椅面采用优质橡胶木板，不开裂、不易变形。②椅面厚度1.6cm ，整体采用榫卯结构坚固耐用③采用进口优质环保油漆喷涂而成，安全、无毒无味，凸显木材纹理，手感光滑。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6A3F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04E3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120</w:t>
            </w:r>
          </w:p>
        </w:tc>
      </w:tr>
      <w:tr w14:paraId="7E5187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95027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455C3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桌</w:t>
            </w:r>
          </w:p>
        </w:tc>
        <w:tc>
          <w:tcPr>
            <w:tcW w:w="5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F5C7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1、小班尺寸：120cm *60cm *43cm（±5mm）。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2、桌面厚度：双边32mm。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材质：①桌面采用优质橡胶木齿拼接而成，不开裂、不易变形。②桌腿采用优质松木实木加工而成无毛刺，规格5.5*5.5cm，③整体采用螺丝结构坚固耐用④采用进口优质环保油漆喷涂而成，安全、无毒无味，凸显木材纹理，手感光滑,桌面高43cm，桌下净高≥36cm。</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B07B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张</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98F3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w:t>
            </w:r>
          </w:p>
        </w:tc>
      </w:tr>
      <w:tr w14:paraId="5DFEEE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DA5FEB">
            <w:pPr>
              <w:jc w:val="center"/>
              <w:rPr>
                <w:rFonts w:hint="eastAsia" w:ascii="宋体" w:hAnsi="宋体" w:eastAsia="宋体" w:cs="宋体"/>
                <w:i w:val="0"/>
                <w:iCs w:val="0"/>
                <w:color w:val="auto"/>
                <w:sz w:val="20"/>
                <w:szCs w:val="20"/>
                <w:u w:val="none"/>
              </w:rPr>
            </w:pP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BD3F5E">
            <w:pPr>
              <w:jc w:val="center"/>
              <w:rPr>
                <w:rFonts w:hint="eastAsia" w:ascii="宋体" w:hAnsi="宋体" w:eastAsia="宋体" w:cs="宋体"/>
                <w:i w:val="0"/>
                <w:iCs w:val="0"/>
                <w:color w:val="auto"/>
                <w:sz w:val="20"/>
                <w:szCs w:val="20"/>
                <w:u w:val="none"/>
              </w:rPr>
            </w:pPr>
          </w:p>
        </w:tc>
        <w:tc>
          <w:tcPr>
            <w:tcW w:w="5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20AF3">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1、中班尺寸：120cm *60cm *46cm（±5mm）。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2、桌面厚度：双边32mm。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材质：①桌面采用优质橡胶木齿拼接而成，不开裂、不易变形。=②桌腿采用优质樟子松实木加工而成无毛刺，规格5.5*5.5cm，③整体采用螺丝结构坚固耐用④采用进口优质环保油漆喷涂而成，安全、无毒无味，凸显木材纹理，手感光滑,桌面高46cm，桌下净高≥39cm。</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7754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张</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3067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w:t>
            </w:r>
          </w:p>
        </w:tc>
      </w:tr>
      <w:tr w14:paraId="3E0A9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68A2A2">
            <w:pPr>
              <w:jc w:val="center"/>
              <w:rPr>
                <w:rFonts w:hint="eastAsia" w:ascii="宋体" w:hAnsi="宋体" w:eastAsia="宋体" w:cs="宋体"/>
                <w:i w:val="0"/>
                <w:iCs w:val="0"/>
                <w:color w:val="auto"/>
                <w:sz w:val="20"/>
                <w:szCs w:val="20"/>
                <w:u w:val="none"/>
              </w:rPr>
            </w:pP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696E6C">
            <w:pPr>
              <w:jc w:val="center"/>
              <w:rPr>
                <w:rFonts w:hint="eastAsia" w:ascii="宋体" w:hAnsi="宋体" w:eastAsia="宋体" w:cs="宋体"/>
                <w:i w:val="0"/>
                <w:iCs w:val="0"/>
                <w:color w:val="auto"/>
                <w:sz w:val="20"/>
                <w:szCs w:val="20"/>
                <w:u w:val="none"/>
              </w:rPr>
            </w:pPr>
          </w:p>
        </w:tc>
        <w:tc>
          <w:tcPr>
            <w:tcW w:w="5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A797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1、大班尺寸：120cm*60cm*49cm（±5mm）。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2、桌面厚度：双边32mm。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材质：①桌面采用优质橡胶木齿拼接而成，不开裂、不易变形。②桌腿采用优质松木实木加工而成无毛刺，规格5.5*5.5cm，③整体采用螺丝结构坚固耐用④采用进口优质环保油漆喷涂而成，安全、无毒无味，凸显木材纹理，手感光滑,桌面高49cm，桌下净高≥42cm。</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AC77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张</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3B8D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w:t>
            </w:r>
          </w:p>
        </w:tc>
      </w:tr>
      <w:tr w14:paraId="107D26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0"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42E8B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45E3F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玩具柜</w:t>
            </w:r>
          </w:p>
        </w:tc>
        <w:tc>
          <w:tcPr>
            <w:tcW w:w="5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4E93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1、带背板规格:120cm*30cm*80cm（±5mm）。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2、材质:采用15MM优质进口橡胶木,不开裂,不易变形,上下空间高度大约为22CM，每个柜子板材都是加厚,表面儿童烤漆。无毛刺不扎手，采用木牙螺丝固定。</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CF55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BF94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36</w:t>
            </w:r>
          </w:p>
        </w:tc>
      </w:tr>
      <w:tr w14:paraId="7C2A79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E5AD3B">
            <w:pPr>
              <w:jc w:val="center"/>
              <w:rPr>
                <w:rFonts w:hint="eastAsia" w:ascii="宋体" w:hAnsi="宋体" w:eastAsia="宋体" w:cs="宋体"/>
                <w:i w:val="0"/>
                <w:iCs w:val="0"/>
                <w:color w:val="auto"/>
                <w:sz w:val="20"/>
                <w:szCs w:val="20"/>
                <w:u w:val="none"/>
              </w:rPr>
            </w:pP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856FEC">
            <w:pPr>
              <w:jc w:val="center"/>
              <w:rPr>
                <w:rFonts w:hint="eastAsia" w:ascii="宋体" w:hAnsi="宋体" w:eastAsia="宋体" w:cs="宋体"/>
                <w:i w:val="0"/>
                <w:iCs w:val="0"/>
                <w:color w:val="auto"/>
                <w:sz w:val="20"/>
                <w:szCs w:val="20"/>
                <w:u w:val="none"/>
              </w:rPr>
            </w:pPr>
          </w:p>
        </w:tc>
        <w:tc>
          <w:tcPr>
            <w:tcW w:w="5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E3FD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1、美工柜尺寸：100cm*30cm*90cm（±5mm）。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材质：①美工柜采用优质橡胶木拼接而成，不开裂、不易变形，无毛刺。②整体采用螺丝结构坚固耐用。③采用进口优质环保油漆喷涂而成，安全、无毒无味，凸显木材纹理，手感光滑。另加4个万向静音橡胶轮。</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4093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4407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w:t>
            </w:r>
          </w:p>
        </w:tc>
      </w:tr>
      <w:tr w14:paraId="38C7EB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DFCAA8">
            <w:pPr>
              <w:jc w:val="center"/>
              <w:rPr>
                <w:rFonts w:hint="eastAsia" w:ascii="宋体" w:hAnsi="宋体" w:eastAsia="宋体" w:cs="宋体"/>
                <w:i w:val="0"/>
                <w:iCs w:val="0"/>
                <w:color w:val="auto"/>
                <w:sz w:val="20"/>
                <w:szCs w:val="20"/>
                <w:u w:val="none"/>
              </w:rPr>
            </w:pP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A945F7">
            <w:pPr>
              <w:jc w:val="center"/>
              <w:rPr>
                <w:rFonts w:hint="eastAsia" w:ascii="宋体" w:hAnsi="宋体" w:eastAsia="宋体" w:cs="宋体"/>
                <w:i w:val="0"/>
                <w:iCs w:val="0"/>
                <w:color w:val="auto"/>
                <w:sz w:val="20"/>
                <w:szCs w:val="20"/>
                <w:u w:val="none"/>
              </w:rPr>
            </w:pPr>
          </w:p>
        </w:tc>
        <w:tc>
          <w:tcPr>
            <w:tcW w:w="5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DFF9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1、不带背板规格:120cm*30cm*80cm（±5mm）。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2、材质:采用15MM优质进口橡胶木,不开裂,不易变形,上下空间高度大约为22CM，每个柜子板材都是加厚,表面儿童烤漆。无毛刺不扎手，采用木牙螺丝固定。</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6924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2E02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72</w:t>
            </w:r>
          </w:p>
        </w:tc>
      </w:tr>
      <w:tr w14:paraId="6CD6F5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24A5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1591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鞋、书包柜</w:t>
            </w:r>
          </w:p>
        </w:tc>
        <w:tc>
          <w:tcPr>
            <w:tcW w:w="5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DAAB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1.规格:120cm*30cm*120cm（±5mm）。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2、书包、鞋一体柜材质:采用15MM优质进口橡胶木,不开裂,不易变形,每个柜子板材都是加厚,表面儿童烤漆。无毛刺不扎手，采用优质五金螺丝固定。</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46B8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A204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27</w:t>
            </w:r>
          </w:p>
        </w:tc>
      </w:tr>
      <w:tr w14:paraId="4428D3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3F0A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2698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直饮水机</w:t>
            </w:r>
          </w:p>
        </w:tc>
        <w:tc>
          <w:tcPr>
            <w:tcW w:w="5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738F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1、304不锈钢材质。</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 xml:space="preserve">2、功率：2KW。 </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 xml:space="preserve">3、水胆容量：18L不锈钢无菌水胆。 </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4、电源：220V 50HZ。</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8DB3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8D23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w:t>
            </w:r>
          </w:p>
        </w:tc>
      </w:tr>
      <w:tr w14:paraId="1E5144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85" w:type="dxa"/>
            <w:vMerge w:val="restart"/>
            <w:tcBorders>
              <w:top w:val="single" w:color="000000" w:sz="4" w:space="0"/>
              <w:left w:val="single" w:color="000000" w:sz="4" w:space="0"/>
              <w:bottom w:val="nil"/>
              <w:right w:val="single" w:color="000000" w:sz="4" w:space="0"/>
            </w:tcBorders>
            <w:shd w:val="clear" w:color="auto" w:fill="auto"/>
            <w:vAlign w:val="center"/>
          </w:tcPr>
          <w:p w14:paraId="7725D42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w:t>
            </w:r>
          </w:p>
        </w:tc>
        <w:tc>
          <w:tcPr>
            <w:tcW w:w="765" w:type="dxa"/>
            <w:vMerge w:val="restart"/>
            <w:tcBorders>
              <w:top w:val="single" w:color="000000" w:sz="4" w:space="0"/>
              <w:left w:val="single" w:color="000000" w:sz="4" w:space="0"/>
              <w:bottom w:val="nil"/>
              <w:right w:val="single" w:color="000000" w:sz="4" w:space="0"/>
            </w:tcBorders>
            <w:shd w:val="clear" w:color="auto" w:fill="auto"/>
            <w:vAlign w:val="center"/>
          </w:tcPr>
          <w:p w14:paraId="742B6D4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钢琴</w:t>
            </w:r>
          </w:p>
        </w:tc>
        <w:tc>
          <w:tcPr>
            <w:tcW w:w="5445" w:type="dxa"/>
            <w:vMerge w:val="restart"/>
            <w:tcBorders>
              <w:top w:val="single" w:color="000000" w:sz="4" w:space="0"/>
              <w:left w:val="single" w:color="000000" w:sz="4" w:space="0"/>
              <w:bottom w:val="nil"/>
              <w:right w:val="single" w:color="000000" w:sz="4" w:space="0"/>
            </w:tcBorders>
            <w:shd w:val="clear" w:color="auto" w:fill="auto"/>
            <w:vAlign w:val="center"/>
          </w:tcPr>
          <w:p w14:paraId="2F5958BA">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1、铁板：采用传统砂铸铁板工艺，音色纯正。</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音板：采用白松制作的加强型实木复合音板，上下两层白松实木木皮加强音板的抗拉张力，使音板在任何环境下都能保持稳定状态，不会变形和开裂，在各种不同的气候条件下均能保持优良的音色，音板设计非常符合钢琴共鸣系统的发声规律，产生更加优美琴声。</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3、琴弦：音色纯净，音准稳定.</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4、弦码：采用A级色木多层板制作，音频振动响应精确，迅速。</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5、弦椎：采用优质羊毛毡，音色圆润通畅。</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6、琴键：采用实木复合键盘，采用亚光黑键，色泽和质感如同乌木，键皮采用赛璐珞塑料，键盘表面硬度为2H以上。</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7、脚轮：采用双轮脚轮，具有转到灵活，推行顺畅，噪音低的特点。</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8、脚踏：金属铸造，踏脚负荷为3.5kg左右。</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9、外壳涂饰：采用国内名牌的不饱和树脂环保漆，并应用静电喷涂，令漆面光亮平整。</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10、背柱：采用五背柱设计，保证了弦列振动的边界条件而且相应提高了钢琴总装配精度。</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11、气候适应性：钢琴在生产过程中进入干燥气候模拟处理并在出仓后进行二次精细整理，使产品适应北方气候，在寒冷干燥的环境下均处理稳定状态。</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12、击弦机：采用进口新材料，弦椎击弦距离不少于43 mm,弦椎无晃动，采用欧洲优质毛毡制造，制音效果好，平音头毡密度为0.16-0.22mm,三角毡密度为0.25mm-0.30mm ,色泽均匀一致，无分层，调整到位后，制音头离弦，贴弦一致，动作整齐，有效。</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13、干燥处理：木制作经过两年以上自然风干，再根据不同的部件采用不同的烘干方式释放木材的内应力，呢毡经过防潮，防霉，防蛀处理。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14.缓降器：采用优质原装内置缓降，安全耐用，可防止小朋友被摇盖压到手。</w:t>
            </w:r>
          </w:p>
        </w:tc>
        <w:tc>
          <w:tcPr>
            <w:tcW w:w="810" w:type="dxa"/>
            <w:vMerge w:val="restart"/>
            <w:tcBorders>
              <w:top w:val="single" w:color="000000" w:sz="4" w:space="0"/>
              <w:left w:val="single" w:color="000000" w:sz="4" w:space="0"/>
              <w:bottom w:val="nil"/>
              <w:right w:val="single" w:color="000000" w:sz="4" w:space="0"/>
            </w:tcBorders>
            <w:shd w:val="clear" w:color="auto" w:fill="auto"/>
            <w:vAlign w:val="center"/>
          </w:tcPr>
          <w:p w14:paraId="4B47A44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架</w:t>
            </w:r>
          </w:p>
        </w:tc>
        <w:tc>
          <w:tcPr>
            <w:tcW w:w="870" w:type="dxa"/>
            <w:vMerge w:val="restart"/>
            <w:tcBorders>
              <w:top w:val="single" w:color="000000" w:sz="4" w:space="0"/>
              <w:left w:val="single" w:color="000000" w:sz="4" w:space="0"/>
              <w:bottom w:val="nil"/>
              <w:right w:val="single" w:color="000000" w:sz="4" w:space="0"/>
            </w:tcBorders>
            <w:shd w:val="clear" w:color="auto" w:fill="auto"/>
            <w:vAlign w:val="center"/>
          </w:tcPr>
          <w:p w14:paraId="5885EC8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w:t>
            </w:r>
          </w:p>
        </w:tc>
      </w:tr>
      <w:tr w14:paraId="26AD7E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85" w:type="dxa"/>
            <w:vMerge w:val="continue"/>
            <w:tcBorders>
              <w:top w:val="single" w:color="000000" w:sz="4" w:space="0"/>
              <w:left w:val="single" w:color="000000" w:sz="4" w:space="0"/>
              <w:bottom w:val="nil"/>
              <w:right w:val="single" w:color="000000" w:sz="4" w:space="0"/>
            </w:tcBorders>
            <w:shd w:val="clear" w:color="auto" w:fill="auto"/>
            <w:vAlign w:val="center"/>
          </w:tcPr>
          <w:p w14:paraId="17B8F919">
            <w:pPr>
              <w:jc w:val="center"/>
              <w:rPr>
                <w:rFonts w:hint="eastAsia" w:ascii="宋体" w:hAnsi="宋体" w:eastAsia="宋体" w:cs="宋体"/>
                <w:i w:val="0"/>
                <w:iCs w:val="0"/>
                <w:color w:val="auto"/>
                <w:sz w:val="20"/>
                <w:szCs w:val="20"/>
                <w:u w:val="none"/>
              </w:rPr>
            </w:pPr>
          </w:p>
        </w:tc>
        <w:tc>
          <w:tcPr>
            <w:tcW w:w="765" w:type="dxa"/>
            <w:vMerge w:val="continue"/>
            <w:tcBorders>
              <w:top w:val="single" w:color="000000" w:sz="4" w:space="0"/>
              <w:left w:val="single" w:color="000000" w:sz="4" w:space="0"/>
              <w:bottom w:val="nil"/>
              <w:right w:val="single" w:color="000000" w:sz="4" w:space="0"/>
            </w:tcBorders>
            <w:shd w:val="clear" w:color="auto" w:fill="auto"/>
            <w:vAlign w:val="center"/>
          </w:tcPr>
          <w:p w14:paraId="67277587">
            <w:pPr>
              <w:jc w:val="center"/>
              <w:rPr>
                <w:rFonts w:hint="eastAsia" w:ascii="宋体" w:hAnsi="宋体" w:eastAsia="宋体" w:cs="宋体"/>
                <w:i w:val="0"/>
                <w:iCs w:val="0"/>
                <w:color w:val="auto"/>
                <w:sz w:val="20"/>
                <w:szCs w:val="20"/>
                <w:u w:val="none"/>
              </w:rPr>
            </w:pPr>
          </w:p>
        </w:tc>
        <w:tc>
          <w:tcPr>
            <w:tcW w:w="5445" w:type="dxa"/>
            <w:vMerge w:val="continue"/>
            <w:tcBorders>
              <w:top w:val="single" w:color="000000" w:sz="4" w:space="0"/>
              <w:left w:val="single" w:color="000000" w:sz="4" w:space="0"/>
              <w:bottom w:val="nil"/>
              <w:right w:val="single" w:color="000000" w:sz="4" w:space="0"/>
            </w:tcBorders>
            <w:shd w:val="clear" w:color="auto" w:fill="auto"/>
            <w:vAlign w:val="center"/>
          </w:tcPr>
          <w:p w14:paraId="4C3D2162">
            <w:pPr>
              <w:jc w:val="left"/>
              <w:rPr>
                <w:rFonts w:hint="eastAsia" w:ascii="宋体" w:hAnsi="宋体" w:eastAsia="宋体" w:cs="宋体"/>
                <w:i w:val="0"/>
                <w:iCs w:val="0"/>
                <w:color w:val="auto"/>
                <w:sz w:val="20"/>
                <w:szCs w:val="20"/>
                <w:u w:val="none"/>
              </w:rPr>
            </w:pPr>
          </w:p>
        </w:tc>
        <w:tc>
          <w:tcPr>
            <w:tcW w:w="810" w:type="dxa"/>
            <w:vMerge w:val="continue"/>
            <w:tcBorders>
              <w:top w:val="single" w:color="000000" w:sz="4" w:space="0"/>
              <w:left w:val="single" w:color="000000" w:sz="4" w:space="0"/>
              <w:bottom w:val="nil"/>
              <w:right w:val="single" w:color="000000" w:sz="4" w:space="0"/>
            </w:tcBorders>
            <w:shd w:val="clear" w:color="auto" w:fill="auto"/>
            <w:vAlign w:val="center"/>
          </w:tcPr>
          <w:p w14:paraId="2C92D7A8">
            <w:pPr>
              <w:jc w:val="center"/>
              <w:rPr>
                <w:rFonts w:hint="eastAsia" w:ascii="宋体" w:hAnsi="宋体" w:eastAsia="宋体" w:cs="宋体"/>
                <w:i w:val="0"/>
                <w:iCs w:val="0"/>
                <w:color w:val="auto"/>
                <w:sz w:val="20"/>
                <w:szCs w:val="20"/>
                <w:u w:val="none"/>
              </w:rPr>
            </w:pPr>
          </w:p>
        </w:tc>
        <w:tc>
          <w:tcPr>
            <w:tcW w:w="870" w:type="dxa"/>
            <w:vMerge w:val="continue"/>
            <w:tcBorders>
              <w:top w:val="single" w:color="000000" w:sz="4" w:space="0"/>
              <w:left w:val="single" w:color="000000" w:sz="4" w:space="0"/>
              <w:bottom w:val="nil"/>
              <w:right w:val="single" w:color="000000" w:sz="4" w:space="0"/>
            </w:tcBorders>
            <w:shd w:val="clear" w:color="auto" w:fill="auto"/>
            <w:vAlign w:val="center"/>
          </w:tcPr>
          <w:p w14:paraId="3706C508">
            <w:pPr>
              <w:jc w:val="center"/>
              <w:rPr>
                <w:rFonts w:hint="eastAsia" w:ascii="宋体" w:hAnsi="宋体" w:eastAsia="宋体" w:cs="宋体"/>
                <w:i w:val="0"/>
                <w:iCs w:val="0"/>
                <w:color w:val="auto"/>
                <w:sz w:val="20"/>
                <w:szCs w:val="20"/>
                <w:u w:val="none"/>
              </w:rPr>
            </w:pPr>
          </w:p>
        </w:tc>
      </w:tr>
      <w:tr w14:paraId="69564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85" w:type="dxa"/>
            <w:vMerge w:val="continue"/>
            <w:tcBorders>
              <w:top w:val="single" w:color="000000" w:sz="4" w:space="0"/>
              <w:left w:val="single" w:color="000000" w:sz="4" w:space="0"/>
              <w:bottom w:val="nil"/>
              <w:right w:val="single" w:color="000000" w:sz="4" w:space="0"/>
            </w:tcBorders>
            <w:shd w:val="clear" w:color="auto" w:fill="auto"/>
            <w:vAlign w:val="center"/>
          </w:tcPr>
          <w:p w14:paraId="69AA9AFF">
            <w:pPr>
              <w:jc w:val="center"/>
              <w:rPr>
                <w:rFonts w:hint="eastAsia" w:ascii="宋体" w:hAnsi="宋体" w:eastAsia="宋体" w:cs="宋体"/>
                <w:i w:val="0"/>
                <w:iCs w:val="0"/>
                <w:color w:val="auto"/>
                <w:sz w:val="20"/>
                <w:szCs w:val="20"/>
                <w:u w:val="none"/>
              </w:rPr>
            </w:pPr>
          </w:p>
        </w:tc>
        <w:tc>
          <w:tcPr>
            <w:tcW w:w="765" w:type="dxa"/>
            <w:vMerge w:val="continue"/>
            <w:tcBorders>
              <w:top w:val="single" w:color="000000" w:sz="4" w:space="0"/>
              <w:left w:val="single" w:color="000000" w:sz="4" w:space="0"/>
              <w:bottom w:val="nil"/>
              <w:right w:val="single" w:color="000000" w:sz="4" w:space="0"/>
            </w:tcBorders>
            <w:shd w:val="clear" w:color="auto" w:fill="auto"/>
            <w:vAlign w:val="center"/>
          </w:tcPr>
          <w:p w14:paraId="51F2800F">
            <w:pPr>
              <w:jc w:val="center"/>
              <w:rPr>
                <w:rFonts w:hint="eastAsia" w:ascii="宋体" w:hAnsi="宋体" w:eastAsia="宋体" w:cs="宋体"/>
                <w:i w:val="0"/>
                <w:iCs w:val="0"/>
                <w:color w:val="auto"/>
                <w:sz w:val="20"/>
                <w:szCs w:val="20"/>
                <w:u w:val="none"/>
              </w:rPr>
            </w:pPr>
          </w:p>
        </w:tc>
        <w:tc>
          <w:tcPr>
            <w:tcW w:w="5445" w:type="dxa"/>
            <w:vMerge w:val="continue"/>
            <w:tcBorders>
              <w:top w:val="single" w:color="000000" w:sz="4" w:space="0"/>
              <w:left w:val="single" w:color="000000" w:sz="4" w:space="0"/>
              <w:bottom w:val="nil"/>
              <w:right w:val="single" w:color="000000" w:sz="4" w:space="0"/>
            </w:tcBorders>
            <w:shd w:val="clear" w:color="auto" w:fill="auto"/>
            <w:vAlign w:val="center"/>
          </w:tcPr>
          <w:p w14:paraId="3DCDC86D">
            <w:pPr>
              <w:jc w:val="left"/>
              <w:rPr>
                <w:rFonts w:hint="eastAsia" w:ascii="宋体" w:hAnsi="宋体" w:eastAsia="宋体" w:cs="宋体"/>
                <w:i w:val="0"/>
                <w:iCs w:val="0"/>
                <w:color w:val="auto"/>
                <w:sz w:val="20"/>
                <w:szCs w:val="20"/>
                <w:u w:val="none"/>
              </w:rPr>
            </w:pPr>
          </w:p>
        </w:tc>
        <w:tc>
          <w:tcPr>
            <w:tcW w:w="810" w:type="dxa"/>
            <w:vMerge w:val="continue"/>
            <w:tcBorders>
              <w:top w:val="single" w:color="000000" w:sz="4" w:space="0"/>
              <w:left w:val="single" w:color="000000" w:sz="4" w:space="0"/>
              <w:bottom w:val="nil"/>
              <w:right w:val="single" w:color="000000" w:sz="4" w:space="0"/>
            </w:tcBorders>
            <w:shd w:val="clear" w:color="auto" w:fill="auto"/>
            <w:vAlign w:val="center"/>
          </w:tcPr>
          <w:p w14:paraId="764358A7">
            <w:pPr>
              <w:jc w:val="center"/>
              <w:rPr>
                <w:rFonts w:hint="eastAsia" w:ascii="宋体" w:hAnsi="宋体" w:eastAsia="宋体" w:cs="宋体"/>
                <w:i w:val="0"/>
                <w:iCs w:val="0"/>
                <w:color w:val="auto"/>
                <w:sz w:val="20"/>
                <w:szCs w:val="20"/>
                <w:u w:val="none"/>
              </w:rPr>
            </w:pPr>
          </w:p>
        </w:tc>
        <w:tc>
          <w:tcPr>
            <w:tcW w:w="870" w:type="dxa"/>
            <w:vMerge w:val="continue"/>
            <w:tcBorders>
              <w:top w:val="single" w:color="000000" w:sz="4" w:space="0"/>
              <w:left w:val="single" w:color="000000" w:sz="4" w:space="0"/>
              <w:bottom w:val="nil"/>
              <w:right w:val="single" w:color="000000" w:sz="4" w:space="0"/>
            </w:tcBorders>
            <w:shd w:val="clear" w:color="auto" w:fill="auto"/>
            <w:vAlign w:val="center"/>
          </w:tcPr>
          <w:p w14:paraId="1231726D">
            <w:pPr>
              <w:jc w:val="center"/>
              <w:rPr>
                <w:rFonts w:hint="eastAsia" w:ascii="宋体" w:hAnsi="宋体" w:eastAsia="宋体" w:cs="宋体"/>
                <w:i w:val="0"/>
                <w:iCs w:val="0"/>
                <w:color w:val="auto"/>
                <w:sz w:val="20"/>
                <w:szCs w:val="20"/>
                <w:u w:val="none"/>
              </w:rPr>
            </w:pPr>
          </w:p>
        </w:tc>
      </w:tr>
      <w:tr w14:paraId="71390E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585" w:type="dxa"/>
            <w:vMerge w:val="continue"/>
            <w:tcBorders>
              <w:top w:val="single" w:color="000000" w:sz="4" w:space="0"/>
              <w:left w:val="single" w:color="000000" w:sz="4" w:space="0"/>
              <w:bottom w:val="nil"/>
              <w:right w:val="single" w:color="000000" w:sz="4" w:space="0"/>
            </w:tcBorders>
            <w:shd w:val="clear" w:color="auto" w:fill="auto"/>
            <w:vAlign w:val="center"/>
          </w:tcPr>
          <w:p w14:paraId="7851ABDB">
            <w:pPr>
              <w:jc w:val="center"/>
              <w:rPr>
                <w:rFonts w:hint="eastAsia" w:ascii="宋体" w:hAnsi="宋体" w:eastAsia="宋体" w:cs="宋体"/>
                <w:i w:val="0"/>
                <w:iCs w:val="0"/>
                <w:color w:val="auto"/>
                <w:sz w:val="20"/>
                <w:szCs w:val="20"/>
                <w:u w:val="none"/>
              </w:rPr>
            </w:pPr>
          </w:p>
        </w:tc>
        <w:tc>
          <w:tcPr>
            <w:tcW w:w="765" w:type="dxa"/>
            <w:vMerge w:val="continue"/>
            <w:tcBorders>
              <w:top w:val="single" w:color="000000" w:sz="4" w:space="0"/>
              <w:left w:val="single" w:color="000000" w:sz="4" w:space="0"/>
              <w:bottom w:val="nil"/>
              <w:right w:val="single" w:color="000000" w:sz="4" w:space="0"/>
            </w:tcBorders>
            <w:shd w:val="clear" w:color="auto" w:fill="auto"/>
            <w:vAlign w:val="center"/>
          </w:tcPr>
          <w:p w14:paraId="18B7D8C7">
            <w:pPr>
              <w:jc w:val="center"/>
              <w:rPr>
                <w:rFonts w:hint="eastAsia" w:ascii="宋体" w:hAnsi="宋体" w:eastAsia="宋体" w:cs="宋体"/>
                <w:i w:val="0"/>
                <w:iCs w:val="0"/>
                <w:color w:val="auto"/>
                <w:sz w:val="20"/>
                <w:szCs w:val="20"/>
                <w:u w:val="none"/>
              </w:rPr>
            </w:pPr>
          </w:p>
        </w:tc>
        <w:tc>
          <w:tcPr>
            <w:tcW w:w="5445" w:type="dxa"/>
            <w:vMerge w:val="continue"/>
            <w:tcBorders>
              <w:top w:val="single" w:color="000000" w:sz="4" w:space="0"/>
              <w:left w:val="single" w:color="000000" w:sz="4" w:space="0"/>
              <w:bottom w:val="nil"/>
              <w:right w:val="single" w:color="000000" w:sz="4" w:space="0"/>
            </w:tcBorders>
            <w:shd w:val="clear" w:color="auto" w:fill="auto"/>
            <w:vAlign w:val="center"/>
          </w:tcPr>
          <w:p w14:paraId="18257972">
            <w:pPr>
              <w:jc w:val="left"/>
              <w:rPr>
                <w:rFonts w:hint="eastAsia" w:ascii="宋体" w:hAnsi="宋体" w:eastAsia="宋体" w:cs="宋体"/>
                <w:i w:val="0"/>
                <w:iCs w:val="0"/>
                <w:color w:val="auto"/>
                <w:sz w:val="20"/>
                <w:szCs w:val="20"/>
                <w:u w:val="none"/>
              </w:rPr>
            </w:pPr>
          </w:p>
        </w:tc>
        <w:tc>
          <w:tcPr>
            <w:tcW w:w="810" w:type="dxa"/>
            <w:vMerge w:val="continue"/>
            <w:tcBorders>
              <w:top w:val="single" w:color="000000" w:sz="4" w:space="0"/>
              <w:left w:val="single" w:color="000000" w:sz="4" w:space="0"/>
              <w:bottom w:val="nil"/>
              <w:right w:val="single" w:color="000000" w:sz="4" w:space="0"/>
            </w:tcBorders>
            <w:shd w:val="clear" w:color="auto" w:fill="auto"/>
            <w:vAlign w:val="center"/>
          </w:tcPr>
          <w:p w14:paraId="2F2A3CFD">
            <w:pPr>
              <w:jc w:val="center"/>
              <w:rPr>
                <w:rFonts w:hint="eastAsia" w:ascii="宋体" w:hAnsi="宋体" w:eastAsia="宋体" w:cs="宋体"/>
                <w:i w:val="0"/>
                <w:iCs w:val="0"/>
                <w:color w:val="auto"/>
                <w:sz w:val="20"/>
                <w:szCs w:val="20"/>
                <w:u w:val="none"/>
              </w:rPr>
            </w:pPr>
          </w:p>
        </w:tc>
        <w:tc>
          <w:tcPr>
            <w:tcW w:w="870" w:type="dxa"/>
            <w:vMerge w:val="continue"/>
            <w:tcBorders>
              <w:top w:val="single" w:color="000000" w:sz="4" w:space="0"/>
              <w:left w:val="single" w:color="000000" w:sz="4" w:space="0"/>
              <w:bottom w:val="nil"/>
              <w:right w:val="single" w:color="000000" w:sz="4" w:space="0"/>
            </w:tcBorders>
            <w:shd w:val="clear" w:color="auto" w:fill="auto"/>
            <w:vAlign w:val="center"/>
          </w:tcPr>
          <w:p w14:paraId="0D613016">
            <w:pPr>
              <w:jc w:val="center"/>
              <w:rPr>
                <w:rFonts w:hint="eastAsia" w:ascii="宋体" w:hAnsi="宋体" w:eastAsia="宋体" w:cs="宋体"/>
                <w:i w:val="0"/>
                <w:iCs w:val="0"/>
                <w:color w:val="auto"/>
                <w:sz w:val="20"/>
                <w:szCs w:val="20"/>
                <w:u w:val="none"/>
              </w:rPr>
            </w:pPr>
          </w:p>
        </w:tc>
      </w:tr>
      <w:tr w14:paraId="0E4E98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85" w:type="dxa"/>
            <w:vMerge w:val="continue"/>
            <w:tcBorders>
              <w:top w:val="single" w:color="000000" w:sz="4" w:space="0"/>
              <w:left w:val="single" w:color="000000" w:sz="4" w:space="0"/>
              <w:bottom w:val="nil"/>
              <w:right w:val="single" w:color="000000" w:sz="4" w:space="0"/>
            </w:tcBorders>
            <w:shd w:val="clear" w:color="auto" w:fill="auto"/>
            <w:vAlign w:val="center"/>
          </w:tcPr>
          <w:p w14:paraId="26F5A831">
            <w:pPr>
              <w:jc w:val="center"/>
              <w:rPr>
                <w:rFonts w:hint="eastAsia" w:ascii="宋体" w:hAnsi="宋体" w:eastAsia="宋体" w:cs="宋体"/>
                <w:i w:val="0"/>
                <w:iCs w:val="0"/>
                <w:color w:val="auto"/>
                <w:sz w:val="20"/>
                <w:szCs w:val="20"/>
                <w:u w:val="none"/>
              </w:rPr>
            </w:pPr>
          </w:p>
        </w:tc>
        <w:tc>
          <w:tcPr>
            <w:tcW w:w="765" w:type="dxa"/>
            <w:vMerge w:val="continue"/>
            <w:tcBorders>
              <w:top w:val="single" w:color="000000" w:sz="4" w:space="0"/>
              <w:left w:val="single" w:color="000000" w:sz="4" w:space="0"/>
              <w:bottom w:val="nil"/>
              <w:right w:val="single" w:color="000000" w:sz="4" w:space="0"/>
            </w:tcBorders>
            <w:shd w:val="clear" w:color="auto" w:fill="auto"/>
            <w:vAlign w:val="center"/>
          </w:tcPr>
          <w:p w14:paraId="21A09BAA">
            <w:pPr>
              <w:jc w:val="center"/>
              <w:rPr>
                <w:rFonts w:hint="eastAsia" w:ascii="宋体" w:hAnsi="宋体" w:eastAsia="宋体" w:cs="宋体"/>
                <w:i w:val="0"/>
                <w:iCs w:val="0"/>
                <w:color w:val="auto"/>
                <w:sz w:val="20"/>
                <w:szCs w:val="20"/>
                <w:u w:val="none"/>
              </w:rPr>
            </w:pPr>
          </w:p>
        </w:tc>
        <w:tc>
          <w:tcPr>
            <w:tcW w:w="5445" w:type="dxa"/>
            <w:vMerge w:val="continue"/>
            <w:tcBorders>
              <w:top w:val="single" w:color="000000" w:sz="4" w:space="0"/>
              <w:left w:val="single" w:color="000000" w:sz="4" w:space="0"/>
              <w:bottom w:val="nil"/>
              <w:right w:val="single" w:color="000000" w:sz="4" w:space="0"/>
            </w:tcBorders>
            <w:shd w:val="clear" w:color="auto" w:fill="auto"/>
            <w:vAlign w:val="center"/>
          </w:tcPr>
          <w:p w14:paraId="51C802B8">
            <w:pPr>
              <w:jc w:val="left"/>
              <w:rPr>
                <w:rFonts w:hint="eastAsia" w:ascii="宋体" w:hAnsi="宋体" w:eastAsia="宋体" w:cs="宋体"/>
                <w:i w:val="0"/>
                <w:iCs w:val="0"/>
                <w:color w:val="auto"/>
                <w:sz w:val="20"/>
                <w:szCs w:val="20"/>
                <w:u w:val="none"/>
              </w:rPr>
            </w:pPr>
          </w:p>
        </w:tc>
        <w:tc>
          <w:tcPr>
            <w:tcW w:w="810" w:type="dxa"/>
            <w:vMerge w:val="continue"/>
            <w:tcBorders>
              <w:top w:val="single" w:color="000000" w:sz="4" w:space="0"/>
              <w:left w:val="single" w:color="000000" w:sz="4" w:space="0"/>
              <w:bottom w:val="nil"/>
              <w:right w:val="single" w:color="000000" w:sz="4" w:space="0"/>
            </w:tcBorders>
            <w:shd w:val="clear" w:color="auto" w:fill="auto"/>
            <w:vAlign w:val="center"/>
          </w:tcPr>
          <w:p w14:paraId="57B54414">
            <w:pPr>
              <w:jc w:val="center"/>
              <w:rPr>
                <w:rFonts w:hint="eastAsia" w:ascii="宋体" w:hAnsi="宋体" w:eastAsia="宋体" w:cs="宋体"/>
                <w:i w:val="0"/>
                <w:iCs w:val="0"/>
                <w:color w:val="auto"/>
                <w:sz w:val="20"/>
                <w:szCs w:val="20"/>
                <w:u w:val="none"/>
              </w:rPr>
            </w:pPr>
          </w:p>
        </w:tc>
        <w:tc>
          <w:tcPr>
            <w:tcW w:w="870" w:type="dxa"/>
            <w:vMerge w:val="continue"/>
            <w:tcBorders>
              <w:top w:val="single" w:color="000000" w:sz="4" w:space="0"/>
              <w:left w:val="single" w:color="000000" w:sz="4" w:space="0"/>
              <w:bottom w:val="nil"/>
              <w:right w:val="single" w:color="000000" w:sz="4" w:space="0"/>
            </w:tcBorders>
            <w:shd w:val="clear" w:color="auto" w:fill="auto"/>
            <w:vAlign w:val="center"/>
          </w:tcPr>
          <w:p w14:paraId="046F3EA7">
            <w:pPr>
              <w:jc w:val="center"/>
              <w:rPr>
                <w:rFonts w:hint="eastAsia" w:ascii="宋体" w:hAnsi="宋体" w:eastAsia="宋体" w:cs="宋体"/>
                <w:i w:val="0"/>
                <w:iCs w:val="0"/>
                <w:color w:val="auto"/>
                <w:sz w:val="20"/>
                <w:szCs w:val="20"/>
                <w:u w:val="none"/>
              </w:rPr>
            </w:pPr>
          </w:p>
        </w:tc>
      </w:tr>
      <w:tr w14:paraId="09E3AB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vMerge w:val="continue"/>
            <w:tcBorders>
              <w:top w:val="single" w:color="000000" w:sz="4" w:space="0"/>
              <w:left w:val="single" w:color="000000" w:sz="4" w:space="0"/>
              <w:bottom w:val="nil"/>
              <w:right w:val="single" w:color="000000" w:sz="4" w:space="0"/>
            </w:tcBorders>
            <w:shd w:val="clear" w:color="auto" w:fill="auto"/>
            <w:vAlign w:val="center"/>
          </w:tcPr>
          <w:p w14:paraId="53F8A0FA">
            <w:pPr>
              <w:jc w:val="center"/>
              <w:rPr>
                <w:rFonts w:hint="eastAsia" w:ascii="宋体" w:hAnsi="宋体" w:eastAsia="宋体" w:cs="宋体"/>
                <w:i w:val="0"/>
                <w:iCs w:val="0"/>
                <w:color w:val="auto"/>
                <w:sz w:val="20"/>
                <w:szCs w:val="20"/>
                <w:u w:val="none"/>
              </w:rPr>
            </w:pPr>
          </w:p>
        </w:tc>
        <w:tc>
          <w:tcPr>
            <w:tcW w:w="765" w:type="dxa"/>
            <w:vMerge w:val="continue"/>
            <w:tcBorders>
              <w:top w:val="single" w:color="000000" w:sz="4" w:space="0"/>
              <w:left w:val="single" w:color="000000" w:sz="4" w:space="0"/>
              <w:bottom w:val="nil"/>
              <w:right w:val="single" w:color="000000" w:sz="4" w:space="0"/>
            </w:tcBorders>
            <w:shd w:val="clear" w:color="auto" w:fill="auto"/>
            <w:vAlign w:val="center"/>
          </w:tcPr>
          <w:p w14:paraId="0299CFFA">
            <w:pPr>
              <w:jc w:val="center"/>
              <w:rPr>
                <w:rFonts w:hint="eastAsia" w:ascii="宋体" w:hAnsi="宋体" w:eastAsia="宋体" w:cs="宋体"/>
                <w:i w:val="0"/>
                <w:iCs w:val="0"/>
                <w:color w:val="auto"/>
                <w:sz w:val="20"/>
                <w:szCs w:val="20"/>
                <w:u w:val="none"/>
              </w:rPr>
            </w:pPr>
          </w:p>
        </w:tc>
        <w:tc>
          <w:tcPr>
            <w:tcW w:w="5445" w:type="dxa"/>
            <w:vMerge w:val="continue"/>
            <w:tcBorders>
              <w:top w:val="single" w:color="000000" w:sz="4" w:space="0"/>
              <w:left w:val="single" w:color="000000" w:sz="4" w:space="0"/>
              <w:bottom w:val="nil"/>
              <w:right w:val="single" w:color="000000" w:sz="4" w:space="0"/>
            </w:tcBorders>
            <w:shd w:val="clear" w:color="auto" w:fill="auto"/>
            <w:vAlign w:val="center"/>
          </w:tcPr>
          <w:p w14:paraId="29A152B0">
            <w:pPr>
              <w:jc w:val="left"/>
              <w:rPr>
                <w:rFonts w:hint="eastAsia" w:ascii="宋体" w:hAnsi="宋体" w:eastAsia="宋体" w:cs="宋体"/>
                <w:i w:val="0"/>
                <w:iCs w:val="0"/>
                <w:color w:val="auto"/>
                <w:sz w:val="20"/>
                <w:szCs w:val="20"/>
                <w:u w:val="none"/>
              </w:rPr>
            </w:pPr>
          </w:p>
        </w:tc>
        <w:tc>
          <w:tcPr>
            <w:tcW w:w="810" w:type="dxa"/>
            <w:vMerge w:val="continue"/>
            <w:tcBorders>
              <w:top w:val="single" w:color="000000" w:sz="4" w:space="0"/>
              <w:left w:val="single" w:color="000000" w:sz="4" w:space="0"/>
              <w:bottom w:val="nil"/>
              <w:right w:val="single" w:color="000000" w:sz="4" w:space="0"/>
            </w:tcBorders>
            <w:shd w:val="clear" w:color="auto" w:fill="auto"/>
            <w:vAlign w:val="center"/>
          </w:tcPr>
          <w:p w14:paraId="3158BB38">
            <w:pPr>
              <w:jc w:val="center"/>
              <w:rPr>
                <w:rFonts w:hint="eastAsia" w:ascii="宋体" w:hAnsi="宋体" w:eastAsia="宋体" w:cs="宋体"/>
                <w:i w:val="0"/>
                <w:iCs w:val="0"/>
                <w:color w:val="auto"/>
                <w:sz w:val="20"/>
                <w:szCs w:val="20"/>
                <w:u w:val="none"/>
              </w:rPr>
            </w:pPr>
          </w:p>
        </w:tc>
        <w:tc>
          <w:tcPr>
            <w:tcW w:w="870" w:type="dxa"/>
            <w:vMerge w:val="continue"/>
            <w:tcBorders>
              <w:top w:val="single" w:color="000000" w:sz="4" w:space="0"/>
              <w:left w:val="single" w:color="000000" w:sz="4" w:space="0"/>
              <w:bottom w:val="nil"/>
              <w:right w:val="single" w:color="000000" w:sz="4" w:space="0"/>
            </w:tcBorders>
            <w:shd w:val="clear" w:color="auto" w:fill="auto"/>
            <w:vAlign w:val="center"/>
          </w:tcPr>
          <w:p w14:paraId="68B528BA">
            <w:pPr>
              <w:jc w:val="center"/>
              <w:rPr>
                <w:rFonts w:hint="eastAsia" w:ascii="宋体" w:hAnsi="宋体" w:eastAsia="宋体" w:cs="宋体"/>
                <w:i w:val="0"/>
                <w:iCs w:val="0"/>
                <w:color w:val="auto"/>
                <w:sz w:val="20"/>
                <w:szCs w:val="20"/>
                <w:u w:val="none"/>
              </w:rPr>
            </w:pPr>
          </w:p>
        </w:tc>
      </w:tr>
      <w:tr w14:paraId="584A96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1" w:hRule="atLeast"/>
        </w:trPr>
        <w:tc>
          <w:tcPr>
            <w:tcW w:w="585" w:type="dxa"/>
            <w:vMerge w:val="continue"/>
            <w:tcBorders>
              <w:top w:val="single" w:color="000000" w:sz="4" w:space="0"/>
              <w:left w:val="single" w:color="000000" w:sz="4" w:space="0"/>
              <w:bottom w:val="nil"/>
              <w:right w:val="single" w:color="000000" w:sz="4" w:space="0"/>
            </w:tcBorders>
            <w:shd w:val="clear" w:color="auto" w:fill="auto"/>
            <w:vAlign w:val="center"/>
          </w:tcPr>
          <w:p w14:paraId="1C365F25">
            <w:pPr>
              <w:jc w:val="center"/>
              <w:rPr>
                <w:rFonts w:hint="eastAsia" w:ascii="宋体" w:hAnsi="宋体" w:eastAsia="宋体" w:cs="宋体"/>
                <w:i w:val="0"/>
                <w:iCs w:val="0"/>
                <w:color w:val="auto"/>
                <w:sz w:val="20"/>
                <w:szCs w:val="20"/>
                <w:u w:val="none"/>
              </w:rPr>
            </w:pPr>
          </w:p>
        </w:tc>
        <w:tc>
          <w:tcPr>
            <w:tcW w:w="765" w:type="dxa"/>
            <w:vMerge w:val="continue"/>
            <w:tcBorders>
              <w:top w:val="single" w:color="000000" w:sz="4" w:space="0"/>
              <w:left w:val="single" w:color="000000" w:sz="4" w:space="0"/>
              <w:bottom w:val="nil"/>
              <w:right w:val="single" w:color="000000" w:sz="4" w:space="0"/>
            </w:tcBorders>
            <w:shd w:val="clear" w:color="auto" w:fill="auto"/>
            <w:vAlign w:val="center"/>
          </w:tcPr>
          <w:p w14:paraId="79C35967">
            <w:pPr>
              <w:jc w:val="center"/>
              <w:rPr>
                <w:rFonts w:hint="eastAsia" w:ascii="宋体" w:hAnsi="宋体" w:eastAsia="宋体" w:cs="宋体"/>
                <w:i w:val="0"/>
                <w:iCs w:val="0"/>
                <w:color w:val="auto"/>
                <w:sz w:val="20"/>
                <w:szCs w:val="20"/>
                <w:u w:val="none"/>
              </w:rPr>
            </w:pPr>
          </w:p>
        </w:tc>
        <w:tc>
          <w:tcPr>
            <w:tcW w:w="5445" w:type="dxa"/>
            <w:vMerge w:val="continue"/>
            <w:tcBorders>
              <w:top w:val="single" w:color="000000" w:sz="4" w:space="0"/>
              <w:left w:val="single" w:color="000000" w:sz="4" w:space="0"/>
              <w:bottom w:val="nil"/>
              <w:right w:val="single" w:color="000000" w:sz="4" w:space="0"/>
            </w:tcBorders>
            <w:shd w:val="clear" w:color="auto" w:fill="auto"/>
            <w:vAlign w:val="center"/>
          </w:tcPr>
          <w:p w14:paraId="5F295461">
            <w:pPr>
              <w:jc w:val="left"/>
              <w:rPr>
                <w:rFonts w:hint="eastAsia" w:ascii="宋体" w:hAnsi="宋体" w:eastAsia="宋体" w:cs="宋体"/>
                <w:i w:val="0"/>
                <w:iCs w:val="0"/>
                <w:color w:val="auto"/>
                <w:sz w:val="20"/>
                <w:szCs w:val="20"/>
                <w:u w:val="none"/>
              </w:rPr>
            </w:pPr>
          </w:p>
        </w:tc>
        <w:tc>
          <w:tcPr>
            <w:tcW w:w="810" w:type="dxa"/>
            <w:vMerge w:val="continue"/>
            <w:tcBorders>
              <w:top w:val="single" w:color="000000" w:sz="4" w:space="0"/>
              <w:left w:val="single" w:color="000000" w:sz="4" w:space="0"/>
              <w:bottom w:val="nil"/>
              <w:right w:val="single" w:color="000000" w:sz="4" w:space="0"/>
            </w:tcBorders>
            <w:shd w:val="clear" w:color="auto" w:fill="auto"/>
            <w:vAlign w:val="center"/>
          </w:tcPr>
          <w:p w14:paraId="72A94032">
            <w:pPr>
              <w:jc w:val="center"/>
              <w:rPr>
                <w:rFonts w:hint="eastAsia" w:ascii="宋体" w:hAnsi="宋体" w:eastAsia="宋体" w:cs="宋体"/>
                <w:i w:val="0"/>
                <w:iCs w:val="0"/>
                <w:color w:val="auto"/>
                <w:sz w:val="20"/>
                <w:szCs w:val="20"/>
                <w:u w:val="none"/>
              </w:rPr>
            </w:pPr>
          </w:p>
        </w:tc>
        <w:tc>
          <w:tcPr>
            <w:tcW w:w="870" w:type="dxa"/>
            <w:vMerge w:val="continue"/>
            <w:tcBorders>
              <w:top w:val="single" w:color="000000" w:sz="4" w:space="0"/>
              <w:left w:val="single" w:color="000000" w:sz="4" w:space="0"/>
              <w:bottom w:val="nil"/>
              <w:right w:val="single" w:color="000000" w:sz="4" w:space="0"/>
            </w:tcBorders>
            <w:shd w:val="clear" w:color="auto" w:fill="auto"/>
            <w:vAlign w:val="center"/>
          </w:tcPr>
          <w:p w14:paraId="7811C342">
            <w:pPr>
              <w:jc w:val="center"/>
              <w:rPr>
                <w:rFonts w:hint="eastAsia" w:ascii="宋体" w:hAnsi="宋体" w:eastAsia="宋体" w:cs="宋体"/>
                <w:i w:val="0"/>
                <w:iCs w:val="0"/>
                <w:color w:val="auto"/>
                <w:sz w:val="20"/>
                <w:szCs w:val="20"/>
                <w:u w:val="none"/>
              </w:rPr>
            </w:pPr>
          </w:p>
        </w:tc>
      </w:tr>
      <w:tr w14:paraId="3882F9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585" w:type="dxa"/>
            <w:vMerge w:val="continue"/>
            <w:tcBorders>
              <w:top w:val="single" w:color="000000" w:sz="4" w:space="0"/>
              <w:left w:val="single" w:color="000000" w:sz="4" w:space="0"/>
              <w:bottom w:val="nil"/>
              <w:right w:val="single" w:color="000000" w:sz="4" w:space="0"/>
            </w:tcBorders>
            <w:shd w:val="clear" w:color="auto" w:fill="auto"/>
            <w:vAlign w:val="center"/>
          </w:tcPr>
          <w:p w14:paraId="7DBBBC98">
            <w:pPr>
              <w:jc w:val="center"/>
              <w:rPr>
                <w:rFonts w:hint="eastAsia" w:ascii="宋体" w:hAnsi="宋体" w:eastAsia="宋体" w:cs="宋体"/>
                <w:i w:val="0"/>
                <w:iCs w:val="0"/>
                <w:color w:val="auto"/>
                <w:sz w:val="20"/>
                <w:szCs w:val="20"/>
                <w:u w:val="none"/>
              </w:rPr>
            </w:pPr>
          </w:p>
        </w:tc>
        <w:tc>
          <w:tcPr>
            <w:tcW w:w="765" w:type="dxa"/>
            <w:vMerge w:val="continue"/>
            <w:tcBorders>
              <w:top w:val="single" w:color="000000" w:sz="4" w:space="0"/>
              <w:left w:val="single" w:color="000000" w:sz="4" w:space="0"/>
              <w:bottom w:val="nil"/>
              <w:right w:val="single" w:color="000000" w:sz="4" w:space="0"/>
            </w:tcBorders>
            <w:shd w:val="clear" w:color="auto" w:fill="auto"/>
            <w:vAlign w:val="center"/>
          </w:tcPr>
          <w:p w14:paraId="53B72F6E">
            <w:pPr>
              <w:jc w:val="center"/>
              <w:rPr>
                <w:rFonts w:hint="eastAsia" w:ascii="宋体" w:hAnsi="宋体" w:eastAsia="宋体" w:cs="宋体"/>
                <w:i w:val="0"/>
                <w:iCs w:val="0"/>
                <w:color w:val="auto"/>
                <w:sz w:val="20"/>
                <w:szCs w:val="20"/>
                <w:u w:val="none"/>
              </w:rPr>
            </w:pPr>
          </w:p>
        </w:tc>
        <w:tc>
          <w:tcPr>
            <w:tcW w:w="5445" w:type="dxa"/>
            <w:vMerge w:val="continue"/>
            <w:tcBorders>
              <w:top w:val="single" w:color="000000" w:sz="4" w:space="0"/>
              <w:left w:val="single" w:color="000000" w:sz="4" w:space="0"/>
              <w:bottom w:val="nil"/>
              <w:right w:val="single" w:color="000000" w:sz="4" w:space="0"/>
            </w:tcBorders>
            <w:shd w:val="clear" w:color="auto" w:fill="auto"/>
            <w:vAlign w:val="center"/>
          </w:tcPr>
          <w:p w14:paraId="5BB54E22">
            <w:pPr>
              <w:jc w:val="left"/>
              <w:rPr>
                <w:rFonts w:hint="eastAsia" w:ascii="宋体" w:hAnsi="宋体" w:eastAsia="宋体" w:cs="宋体"/>
                <w:i w:val="0"/>
                <w:iCs w:val="0"/>
                <w:color w:val="auto"/>
                <w:sz w:val="20"/>
                <w:szCs w:val="20"/>
                <w:u w:val="none"/>
              </w:rPr>
            </w:pPr>
          </w:p>
        </w:tc>
        <w:tc>
          <w:tcPr>
            <w:tcW w:w="810" w:type="dxa"/>
            <w:vMerge w:val="continue"/>
            <w:tcBorders>
              <w:top w:val="single" w:color="000000" w:sz="4" w:space="0"/>
              <w:left w:val="single" w:color="000000" w:sz="4" w:space="0"/>
              <w:bottom w:val="nil"/>
              <w:right w:val="single" w:color="000000" w:sz="4" w:space="0"/>
            </w:tcBorders>
            <w:shd w:val="clear" w:color="auto" w:fill="auto"/>
            <w:vAlign w:val="center"/>
          </w:tcPr>
          <w:p w14:paraId="2FC50F28">
            <w:pPr>
              <w:jc w:val="center"/>
              <w:rPr>
                <w:rFonts w:hint="eastAsia" w:ascii="宋体" w:hAnsi="宋体" w:eastAsia="宋体" w:cs="宋体"/>
                <w:i w:val="0"/>
                <w:iCs w:val="0"/>
                <w:color w:val="auto"/>
                <w:sz w:val="20"/>
                <w:szCs w:val="20"/>
                <w:u w:val="none"/>
              </w:rPr>
            </w:pPr>
          </w:p>
        </w:tc>
        <w:tc>
          <w:tcPr>
            <w:tcW w:w="870" w:type="dxa"/>
            <w:vMerge w:val="continue"/>
            <w:tcBorders>
              <w:top w:val="single" w:color="000000" w:sz="4" w:space="0"/>
              <w:left w:val="single" w:color="000000" w:sz="4" w:space="0"/>
              <w:bottom w:val="nil"/>
              <w:right w:val="single" w:color="000000" w:sz="4" w:space="0"/>
            </w:tcBorders>
            <w:shd w:val="clear" w:color="auto" w:fill="auto"/>
            <w:vAlign w:val="center"/>
          </w:tcPr>
          <w:p w14:paraId="5A7B4E38">
            <w:pPr>
              <w:jc w:val="center"/>
              <w:rPr>
                <w:rFonts w:hint="eastAsia" w:ascii="宋体" w:hAnsi="宋体" w:eastAsia="宋体" w:cs="宋体"/>
                <w:i w:val="0"/>
                <w:iCs w:val="0"/>
                <w:color w:val="auto"/>
                <w:sz w:val="20"/>
                <w:szCs w:val="20"/>
                <w:u w:val="none"/>
              </w:rPr>
            </w:pPr>
          </w:p>
        </w:tc>
      </w:tr>
      <w:tr w14:paraId="23F868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trPr>
        <w:tc>
          <w:tcPr>
            <w:tcW w:w="585" w:type="dxa"/>
            <w:vMerge w:val="continue"/>
            <w:tcBorders>
              <w:top w:val="single" w:color="000000" w:sz="4" w:space="0"/>
              <w:left w:val="single" w:color="000000" w:sz="4" w:space="0"/>
              <w:bottom w:val="nil"/>
              <w:right w:val="single" w:color="000000" w:sz="4" w:space="0"/>
            </w:tcBorders>
            <w:shd w:val="clear" w:color="auto" w:fill="auto"/>
            <w:vAlign w:val="center"/>
          </w:tcPr>
          <w:p w14:paraId="1B2D04D0">
            <w:pPr>
              <w:jc w:val="center"/>
              <w:rPr>
                <w:rFonts w:hint="eastAsia" w:ascii="宋体" w:hAnsi="宋体" w:eastAsia="宋体" w:cs="宋体"/>
                <w:i w:val="0"/>
                <w:iCs w:val="0"/>
                <w:color w:val="auto"/>
                <w:sz w:val="20"/>
                <w:szCs w:val="20"/>
                <w:u w:val="none"/>
              </w:rPr>
            </w:pPr>
          </w:p>
        </w:tc>
        <w:tc>
          <w:tcPr>
            <w:tcW w:w="765" w:type="dxa"/>
            <w:vMerge w:val="continue"/>
            <w:tcBorders>
              <w:top w:val="single" w:color="000000" w:sz="4" w:space="0"/>
              <w:left w:val="single" w:color="000000" w:sz="4" w:space="0"/>
              <w:bottom w:val="nil"/>
              <w:right w:val="single" w:color="000000" w:sz="4" w:space="0"/>
            </w:tcBorders>
            <w:shd w:val="clear" w:color="auto" w:fill="auto"/>
            <w:vAlign w:val="center"/>
          </w:tcPr>
          <w:p w14:paraId="216E2A43">
            <w:pPr>
              <w:jc w:val="center"/>
              <w:rPr>
                <w:rFonts w:hint="eastAsia" w:ascii="宋体" w:hAnsi="宋体" w:eastAsia="宋体" w:cs="宋体"/>
                <w:i w:val="0"/>
                <w:iCs w:val="0"/>
                <w:color w:val="auto"/>
                <w:sz w:val="20"/>
                <w:szCs w:val="20"/>
                <w:u w:val="none"/>
              </w:rPr>
            </w:pPr>
          </w:p>
        </w:tc>
        <w:tc>
          <w:tcPr>
            <w:tcW w:w="5445" w:type="dxa"/>
            <w:vMerge w:val="continue"/>
            <w:tcBorders>
              <w:top w:val="single" w:color="000000" w:sz="4" w:space="0"/>
              <w:left w:val="single" w:color="000000" w:sz="4" w:space="0"/>
              <w:bottom w:val="nil"/>
              <w:right w:val="single" w:color="000000" w:sz="4" w:space="0"/>
            </w:tcBorders>
            <w:shd w:val="clear" w:color="auto" w:fill="auto"/>
            <w:vAlign w:val="center"/>
          </w:tcPr>
          <w:p w14:paraId="4E8324E4">
            <w:pPr>
              <w:jc w:val="left"/>
              <w:rPr>
                <w:rFonts w:hint="eastAsia" w:ascii="宋体" w:hAnsi="宋体" w:eastAsia="宋体" w:cs="宋体"/>
                <w:i w:val="0"/>
                <w:iCs w:val="0"/>
                <w:color w:val="auto"/>
                <w:sz w:val="20"/>
                <w:szCs w:val="20"/>
                <w:u w:val="none"/>
              </w:rPr>
            </w:pPr>
          </w:p>
        </w:tc>
        <w:tc>
          <w:tcPr>
            <w:tcW w:w="810" w:type="dxa"/>
            <w:vMerge w:val="continue"/>
            <w:tcBorders>
              <w:top w:val="single" w:color="000000" w:sz="4" w:space="0"/>
              <w:left w:val="single" w:color="000000" w:sz="4" w:space="0"/>
              <w:bottom w:val="nil"/>
              <w:right w:val="single" w:color="000000" w:sz="4" w:space="0"/>
            </w:tcBorders>
            <w:shd w:val="clear" w:color="auto" w:fill="auto"/>
            <w:vAlign w:val="center"/>
          </w:tcPr>
          <w:p w14:paraId="53A64B7F">
            <w:pPr>
              <w:jc w:val="center"/>
              <w:rPr>
                <w:rFonts w:hint="eastAsia" w:ascii="宋体" w:hAnsi="宋体" w:eastAsia="宋体" w:cs="宋体"/>
                <w:i w:val="0"/>
                <w:iCs w:val="0"/>
                <w:color w:val="auto"/>
                <w:sz w:val="20"/>
                <w:szCs w:val="20"/>
                <w:u w:val="none"/>
              </w:rPr>
            </w:pPr>
          </w:p>
        </w:tc>
        <w:tc>
          <w:tcPr>
            <w:tcW w:w="870" w:type="dxa"/>
            <w:vMerge w:val="continue"/>
            <w:tcBorders>
              <w:top w:val="single" w:color="000000" w:sz="4" w:space="0"/>
              <w:left w:val="single" w:color="000000" w:sz="4" w:space="0"/>
              <w:bottom w:val="nil"/>
              <w:right w:val="single" w:color="000000" w:sz="4" w:space="0"/>
            </w:tcBorders>
            <w:shd w:val="clear" w:color="auto" w:fill="auto"/>
            <w:vAlign w:val="center"/>
          </w:tcPr>
          <w:p w14:paraId="30F500DA">
            <w:pPr>
              <w:jc w:val="center"/>
              <w:rPr>
                <w:rFonts w:hint="eastAsia" w:ascii="宋体" w:hAnsi="宋体" w:eastAsia="宋体" w:cs="宋体"/>
                <w:i w:val="0"/>
                <w:iCs w:val="0"/>
                <w:color w:val="auto"/>
                <w:sz w:val="20"/>
                <w:szCs w:val="20"/>
                <w:u w:val="none"/>
              </w:rPr>
            </w:pPr>
          </w:p>
        </w:tc>
      </w:tr>
      <w:tr w14:paraId="6B341C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EB75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E5F8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教学板</w:t>
            </w:r>
          </w:p>
        </w:tc>
        <w:tc>
          <w:tcPr>
            <w:tcW w:w="5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A626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1、规格：120*80cm。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支架高度为1.2米左右，方便儿童观看。磁性、双面用、颜色为墨绿色、亚光、易书写、易擦拭、耐磨、耐洗、防潮；铝合金边框，配粉笔槽1个；金属架，（采用壁厚1.22mm表层喷塑椭圆或方形钢管连接）带刺动万向轮，可翻转，稳定性好。</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A6F6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D918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w:t>
            </w:r>
          </w:p>
        </w:tc>
      </w:tr>
      <w:tr w14:paraId="2F56D5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9F9D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2990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时钟</w:t>
            </w:r>
          </w:p>
        </w:tc>
        <w:tc>
          <w:tcPr>
            <w:tcW w:w="5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B7D8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1、15寸  简约数字时钟。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F089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84BD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w:t>
            </w:r>
          </w:p>
        </w:tc>
      </w:tr>
      <w:tr w14:paraId="387FD8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C4CB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F542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自然角架</w:t>
            </w:r>
          </w:p>
        </w:tc>
        <w:tc>
          <w:tcPr>
            <w:tcW w:w="5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55B6B">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1、规格:120cm*40cm*100cm（±5mm）。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2、樟子松架，不开裂,不易变形,表面儿童烤漆。无毛刺不扎手，采用木牙螺丝固定。</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CCEA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5A74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w:t>
            </w:r>
          </w:p>
        </w:tc>
      </w:tr>
      <w:tr w14:paraId="2AA7A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CCBF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9618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图书架</w:t>
            </w:r>
          </w:p>
        </w:tc>
        <w:tc>
          <w:tcPr>
            <w:tcW w:w="5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ECEE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1、规格:80cm*40cm*90cm。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2、材质:采用15MM优质进口橡胶木,不开裂,不易变形,表面儿童烤漆。无毛刺不扎手，采用木牙螺丝固定。</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6C38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0C96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w:t>
            </w:r>
          </w:p>
        </w:tc>
      </w:tr>
      <w:tr w14:paraId="58DD1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CB30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08FA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口杯架（带门）</w:t>
            </w:r>
          </w:p>
        </w:tc>
        <w:tc>
          <w:tcPr>
            <w:tcW w:w="5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216C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1、尺寸：60cm*20cm*90cm（±5mm）。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2、35个口杯位。外表面和内表面以及儿童手指可触及的隐蔽处，均不得有锐利的棱角、毛刺以及小五金部件露出的尖锐。有推拉防尘纱布门。优质五金推拉门。</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F040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C6AA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w:t>
            </w:r>
          </w:p>
        </w:tc>
      </w:tr>
      <w:tr w14:paraId="723E06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8D14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CE01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电子体重计</w:t>
            </w:r>
          </w:p>
        </w:tc>
        <w:tc>
          <w:tcPr>
            <w:tcW w:w="5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B7DA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1、LED高清夜视屏。</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2、防侧翻加厚钢化玻璃。</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21BE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DDA0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w:t>
            </w:r>
          </w:p>
        </w:tc>
      </w:tr>
      <w:tr w14:paraId="67695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80"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C36EF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w:t>
            </w:r>
          </w:p>
        </w:tc>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46E6D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一体机</w:t>
            </w:r>
          </w:p>
        </w:tc>
        <w:tc>
          <w:tcPr>
            <w:tcW w:w="54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99C8F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凤翔分园有9台搬迁至新园，功能室、会议室新购买3台98寸</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1、采用安全性外观设计，整机须采用全金属外壳设计，边角须采用弧形设计，表面应无尖锐边缘或凸起，外部无任何可见内部功能模块的连接线。</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2、采用铝合金金属面框（散热性能好，不易变形，有效保护触控单元），拒绝钣金、塑料等前面框，能够有效保证前面框结构强度。</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3.整机机身具备防盐雾锈蚀特性，整机具备抗振动、防跌落特性，保证整机运输或使用过程中不易受损。</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4、前置按键：开关机、音量+、音量-、护眼、录屏、主页、设置、触控开关。</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 xml:space="preserve">5、前置接口：HDMI*1，Touch USB*1，USB*3，Type-C*1。 </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6、侧置接口：RJ45*1,TF CARD*1，USB3.0*1,USB2.0*1,RS232*1,HDMI IN*1,TOUCH USB*1,</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Earphone*1,SPDIF*1。</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7、整机具备软件一键还原OPS电脑系统，方便解决电脑系统故障。</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8、具备智能感光模块，可根据环境光调节屏幕亮度。</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9、具备前置两个书写笔磁吸凹槽，书写笔可吸附在凹槽内。</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10、具有前置录屏功能按键，可将主机中的课件、音频和环境声音同时录制。</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11、内置音箱：≥2*20W前置全频扬声器。</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12、整机内置安卓嵌入式系统，不低于Android 14.0版本;机身内存不低于32G ROM，运行内存不低于4G RAM。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13、具有五指手势息屏及五指手势屏幕唤醒功能、三指跟随等手势功能。</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14、支持自定义设置开关机键多合一电源按键，支持二合一、三合一等设定模式（实现节能、开关OPS电脑、开关一体机功能）。</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15、具备硬件系统检测功能，对系统主板型号、内存、存储、CPU、系统软件版本、触控单元、OPS 模块、光感、网络等提供状态提示信息。</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16、全通道批注，支持快速设置书写笔颜色；对多个页面进行批注，可随时预览已批注页面；批注页面快速导入白板软件。</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17、支持本机集控，通过外部设备对整机进行音量、频道、声音、信号源等功能操作。</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18、内置手机投屏软件，可进行手机投屏多屏互动，支持4路以上ios、android、pc、mac等设备随意投屏。</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19、综合安全锁功能，提供U盘锁、屏幕锁、应用软件锁、触摸锁。</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20、可实时监测整机温度值，并可在安卓主页显示温度情况，不同颜色进行提示，整机温度过高时自动关闭整机。</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21、表面玻璃采用4mm钢化玻璃，有效保护屏幕显示画面，玻璃强度不低于防爆7H。</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22、支持4800万4K高清摄像头和八阵列语音麦克风、并支持AI人脸识像和声源定位功能。</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三、触摸系统：</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1、采用红外触控技术，触摸模式：支持HID免驱技术，无需安装驱动即可以实现多人同时书写与操作功能、手指、触摸笔或其它≥2mm非透明物体 (支持双细笔全屏书写）。</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2、最大可支持安卓20点触控，电脑40点触控。</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3、触控精度±1mm，单指响应速度＜8ms。</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4、触控分辨率：32767*32767。</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四、内置插拔式电脑（选配）：</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1、采用模块化电脑方案，标准80针OPS-C电脑接口，外部无任何连线，方便老师使用与维护。</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2、芯片组：Intel® H110或以上；处理器：Inter CoreI5或以上CPU，基本频率≥2.50GHz或以上,内存规格≥8G DDR内存；硬盘：≥256G SSD固态硬盘。</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3、电脑模块 CPU≥四核心和四线程处理器，支持三级缓存6MB。</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4、支持支持WIFI/5G和有限网络千兆以太网卡。</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5、支持2个USB3.0端口，4个USB2.0端口，支持1个HDMI端口，1个VGA端口。</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6、支持定时开机，快速还原备份，支持支持网络唤醒/ PXE功能。</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7、支持Msata系统盘，快速启动，一键还原，增强用户体验。</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8、支持Windows 11/Windows10/ Windows 7/Linux等专业版正版操作系统。</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 xml:space="preserve"> </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五、电子白板软件：</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1、授课模式工具采用三段式设计，左侧为菜单栏，中间为授课过程中常用的笔、擦除等工具，右侧为页面管理等工具。</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2、软件支持授课模式和批注模式，授课模式下支持PPT等文件插入到软件中，插入后保留 PPT原文件中的文字、图片、表格等对象及动画，同时可以直接调用软件中的全部工具对在PPT上进行应用，要求在使用过程中批注、工具的应用是在每一页上，同时可以通过扫码的方式分享PPT内容，批注模式可以在任意软件下进行批注操作。</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3、笔工具：提供6种笔工具包括铅笔、粉笔、毛笔、马克笔、印章笔、纹理笔等，铅笔工具可以设置为实线、虚线、波浪线等线性，印章笔可以设置奖章类笔形可以快速进行课堂奖励。</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4、擦除：提供局擦、板书擦、清屏等三种擦除模式，板书擦只擦除页面当前的板书笔记，清页可以清楚页面全部内容。</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5、辅助工具：提供探照灯、遮幕、板中板、截图视频展台等常用工具，提供直尺、三角尺、量角器、圆规、等数学工具。</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6、直接调用（非第三方软件）摄像头视频、数影仪、具备准摄像头接口的视频展台完美结合，既能实现动态画面标注，又可以实现静态截取，支持最画面进行对比操作，并可以通过点赞工具进行快速点赞。</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7、课件扫码分享，用户通过扫描分享二维码可以把当前课件扫描带走。</w:t>
            </w:r>
          </w:p>
        </w:tc>
        <w:tc>
          <w:tcPr>
            <w:tcW w:w="8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8B3E9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23169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r>
      <w:tr w14:paraId="114F9D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0"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957639">
            <w:pPr>
              <w:jc w:val="center"/>
              <w:rPr>
                <w:rFonts w:hint="eastAsia" w:ascii="宋体" w:hAnsi="宋体" w:eastAsia="宋体" w:cs="宋体"/>
                <w:i w:val="0"/>
                <w:iCs w:val="0"/>
                <w:color w:val="auto"/>
                <w:sz w:val="20"/>
                <w:szCs w:val="20"/>
                <w:u w:val="none"/>
              </w:rPr>
            </w:pP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C7A457">
            <w:pPr>
              <w:jc w:val="center"/>
              <w:rPr>
                <w:rFonts w:hint="eastAsia" w:ascii="宋体" w:hAnsi="宋体" w:eastAsia="宋体" w:cs="宋体"/>
                <w:i w:val="0"/>
                <w:iCs w:val="0"/>
                <w:color w:val="auto"/>
                <w:sz w:val="20"/>
                <w:szCs w:val="20"/>
                <w:u w:val="none"/>
              </w:rPr>
            </w:pPr>
          </w:p>
        </w:tc>
        <w:tc>
          <w:tcPr>
            <w:tcW w:w="54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B3BAC0">
            <w:pPr>
              <w:jc w:val="left"/>
              <w:rPr>
                <w:rFonts w:hint="eastAsia" w:ascii="宋体" w:hAnsi="宋体" w:eastAsia="宋体" w:cs="宋体"/>
                <w:i w:val="0"/>
                <w:iCs w:val="0"/>
                <w:color w:val="auto"/>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C316D2">
            <w:pPr>
              <w:jc w:val="center"/>
              <w:rPr>
                <w:rFonts w:hint="eastAsia" w:ascii="宋体" w:hAnsi="宋体" w:eastAsia="宋体" w:cs="宋体"/>
                <w:i w:val="0"/>
                <w:iCs w:val="0"/>
                <w:color w:val="auto"/>
                <w:sz w:val="20"/>
                <w:szCs w:val="20"/>
                <w:u w:val="none"/>
              </w:rPr>
            </w:pP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0F7D1A">
            <w:pPr>
              <w:jc w:val="center"/>
              <w:rPr>
                <w:rFonts w:hint="eastAsia" w:ascii="宋体" w:hAnsi="宋体" w:eastAsia="宋体" w:cs="宋体"/>
                <w:i w:val="0"/>
                <w:iCs w:val="0"/>
                <w:color w:val="auto"/>
                <w:sz w:val="20"/>
                <w:szCs w:val="20"/>
                <w:u w:val="none"/>
              </w:rPr>
            </w:pPr>
          </w:p>
        </w:tc>
      </w:tr>
      <w:tr w14:paraId="1AA3AE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847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B1B489D">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二、睡眠室</w:t>
            </w:r>
          </w:p>
        </w:tc>
      </w:tr>
      <w:tr w14:paraId="62FDFF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E449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序号</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7A81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货品名称</w:t>
            </w:r>
          </w:p>
        </w:tc>
        <w:tc>
          <w:tcPr>
            <w:tcW w:w="5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0C7F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规格型号</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9802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单位</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4E0E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数量</w:t>
            </w:r>
          </w:p>
        </w:tc>
      </w:tr>
      <w:tr w14:paraId="7F08CA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78BB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14</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2BF2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床</w:t>
            </w:r>
          </w:p>
        </w:tc>
        <w:tc>
          <w:tcPr>
            <w:tcW w:w="5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11B1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1、材质: 主体材料为全实木橡胶木。</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2、规格：138cm*58cm*16cm（±5mm），入口处有R角圆滑过渡。床板为松木板装钉，横档不少三根，每根不小于30*20mm。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3、所有木楞外露部分采用倒边，倒角自然、光滑、圆润，外用环保清漆，外表面和内表面以及儿童手指可触及的隐蔽处，均不得有锐利的棱角、毛刺以及小五金部件露出的尖锐。</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198B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张</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0B16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300</w:t>
            </w:r>
          </w:p>
        </w:tc>
      </w:tr>
      <w:tr w14:paraId="4B2658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33DE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F233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床托（架）</w:t>
            </w:r>
          </w:p>
        </w:tc>
        <w:tc>
          <w:tcPr>
            <w:tcW w:w="5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BFBA0">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1、精致万向轮轴承，带刹车固定稳妥轮子为橡胶轮静音材质托架采用注塑工艺一次成形且可以根据床的大小调整尺寸。</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7241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4D55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w:t>
            </w:r>
          </w:p>
        </w:tc>
      </w:tr>
      <w:tr w14:paraId="24DE6F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D1BB1">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三、教室洗消、卫生间</w:t>
            </w:r>
          </w:p>
        </w:tc>
      </w:tr>
      <w:tr w14:paraId="7C7210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4D00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序号</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21E4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货物名称</w:t>
            </w:r>
          </w:p>
        </w:tc>
        <w:tc>
          <w:tcPr>
            <w:tcW w:w="5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6865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规格型号</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D003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单位</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CD4D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数量</w:t>
            </w:r>
          </w:p>
        </w:tc>
      </w:tr>
      <w:tr w14:paraId="197BFF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5910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CE04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餐具消毒柜</w:t>
            </w:r>
          </w:p>
        </w:tc>
        <w:tc>
          <w:tcPr>
            <w:tcW w:w="5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B4F5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1、规格：460*380*1230mm。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2、材质：不锈钢材质，环保、健康，使用寿命长；</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3、工艺：臭氧+高温消毒，最高温度控制在60度，以达到最佳的消毒温度，更有效保护使用安全，在设定时间内能自动消毒完毕关配备防漏电开关，更安全；</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4、容量：达到幼儿园需求。</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558D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AE29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w:t>
            </w:r>
          </w:p>
        </w:tc>
      </w:tr>
      <w:tr w14:paraId="53D6A9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4002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17</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320E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消毒灯</w:t>
            </w:r>
          </w:p>
        </w:tc>
        <w:tc>
          <w:tcPr>
            <w:tcW w:w="5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1D3E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1、材质：铝材支架。</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2、40W紫外线+臭氧双重杀菌。</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3、消毒面积≥40m²。</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92CE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7826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54</w:t>
            </w:r>
          </w:p>
        </w:tc>
      </w:tr>
      <w:tr w14:paraId="7BD9B7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0FA4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D576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毛巾消毒柜</w:t>
            </w:r>
          </w:p>
        </w:tc>
        <w:tc>
          <w:tcPr>
            <w:tcW w:w="5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936E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柜式毛巾消毒柜：</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1、消毒方式: 臭氧 紫外线。</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2、消毒柜容量: 280L。</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3、容量：达到幼儿园需求。</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A76B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3A7A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w:t>
            </w:r>
          </w:p>
        </w:tc>
      </w:tr>
      <w:tr w14:paraId="401E8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C79B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19</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9E3C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毛巾架</w:t>
            </w:r>
          </w:p>
        </w:tc>
        <w:tc>
          <w:tcPr>
            <w:tcW w:w="5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CCADA">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1、规格：定制版，樟子松架，锌合金挂勾。</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2、规格：100cm*0.4cm*0.9cm，不开裂,不易变形,采用螺丝固定。外表面和内表面以及是童手指可触及的隐蔽处，均不得有锐利的棱角、毛刺以及小五金部件露出的尖锐。</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9901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84A3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w:t>
            </w:r>
          </w:p>
        </w:tc>
      </w:tr>
      <w:tr w14:paraId="5C7EF8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2473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DE91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洗衣机</w:t>
            </w:r>
          </w:p>
        </w:tc>
        <w:tc>
          <w:tcPr>
            <w:tcW w:w="5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33A2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1、全自动洗衣机。</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2、10KG多种洗涤程序。</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3、不锈钢内桶尺寸480*480*840mm。</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7403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A39B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w:t>
            </w:r>
          </w:p>
        </w:tc>
      </w:tr>
      <w:tr w14:paraId="2F839F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2277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21</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2897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保洁柜</w:t>
            </w:r>
          </w:p>
        </w:tc>
        <w:tc>
          <w:tcPr>
            <w:tcW w:w="5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746B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1、规格：400*400*1800不锈钢材质。</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B0AD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C986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w:t>
            </w:r>
          </w:p>
        </w:tc>
      </w:tr>
      <w:tr w14:paraId="2264E6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A836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22</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DFA1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洗手液置物架</w:t>
            </w:r>
          </w:p>
        </w:tc>
        <w:tc>
          <w:tcPr>
            <w:tcW w:w="5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EC8C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1、规格：105*115*265防潮防水可调节高低  易安装安全环保。</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1A32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4254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27</w:t>
            </w:r>
          </w:p>
        </w:tc>
      </w:tr>
      <w:tr w14:paraId="41381E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CF730E">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bdr w:val="single" w:color="000000" w:sz="4" w:space="0"/>
                <w:shd w:val="clear" w:fill="FFFFFF"/>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95250" cy="10160"/>
                  <wp:effectExtent l="0" t="0" r="0" b="0"/>
                  <wp:wrapNone/>
                  <wp:docPr id="102" name="图片_1"/>
                  <wp:cNvGraphicFramePr/>
                  <a:graphic xmlns:a="http://schemas.openxmlformats.org/drawingml/2006/main">
                    <a:graphicData uri="http://schemas.openxmlformats.org/drawingml/2006/picture">
                      <pic:pic xmlns:pic="http://schemas.openxmlformats.org/drawingml/2006/picture">
                        <pic:nvPicPr>
                          <pic:cNvPr id="102" name="图片_1"/>
                          <pic:cNvPicPr/>
                        </pic:nvPicPr>
                        <pic:blipFill>
                          <a:blip r:embed="rId86"/>
                          <a:stretch>
                            <a:fillRect/>
                          </a:stretch>
                        </pic:blipFill>
                        <pic:spPr>
                          <a:xfrm>
                            <a:off x="0" y="0"/>
                            <a:ext cx="95250" cy="1016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bdr w:val="single" w:color="000000" w:sz="4" w:space="0"/>
                <w:shd w:val="clear" w:fill="FFFFFF"/>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95250" cy="10160"/>
                  <wp:effectExtent l="0" t="0" r="0" b="0"/>
                  <wp:wrapNone/>
                  <wp:docPr id="103" name="图片_3"/>
                  <wp:cNvGraphicFramePr/>
                  <a:graphic xmlns:a="http://schemas.openxmlformats.org/drawingml/2006/main">
                    <a:graphicData uri="http://schemas.openxmlformats.org/drawingml/2006/picture">
                      <pic:pic xmlns:pic="http://schemas.openxmlformats.org/drawingml/2006/picture">
                        <pic:nvPicPr>
                          <pic:cNvPr id="103" name="图片_3"/>
                          <pic:cNvPicPr/>
                        </pic:nvPicPr>
                        <pic:blipFill>
                          <a:blip r:embed="rId86"/>
                          <a:stretch>
                            <a:fillRect/>
                          </a:stretch>
                        </pic:blipFill>
                        <pic:spPr>
                          <a:xfrm>
                            <a:off x="0" y="0"/>
                            <a:ext cx="95250" cy="1016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bdr w:val="single" w:color="000000" w:sz="4" w:space="0"/>
                <w:shd w:val="clear" w:fill="FFFFFF"/>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95250" cy="10160"/>
                  <wp:effectExtent l="0" t="0" r="0" b="0"/>
                  <wp:wrapNone/>
                  <wp:docPr id="104" name="图片_2"/>
                  <wp:cNvGraphicFramePr/>
                  <a:graphic xmlns:a="http://schemas.openxmlformats.org/drawingml/2006/main">
                    <a:graphicData uri="http://schemas.openxmlformats.org/drawingml/2006/picture">
                      <pic:pic xmlns:pic="http://schemas.openxmlformats.org/drawingml/2006/picture">
                        <pic:nvPicPr>
                          <pic:cNvPr id="104" name="图片_2"/>
                          <pic:cNvPicPr/>
                        </pic:nvPicPr>
                        <pic:blipFill>
                          <a:blip r:embed="rId86"/>
                          <a:stretch>
                            <a:fillRect/>
                          </a:stretch>
                        </pic:blipFill>
                        <pic:spPr>
                          <a:xfrm>
                            <a:off x="0" y="0"/>
                            <a:ext cx="95250" cy="1016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bdr w:val="single" w:color="000000" w:sz="4" w:space="0"/>
                <w:shd w:val="clear" w:fill="FFFFFF"/>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95250" cy="10160"/>
                  <wp:effectExtent l="0" t="0" r="0" b="0"/>
                  <wp:wrapNone/>
                  <wp:docPr id="105" name="图片_4"/>
                  <wp:cNvGraphicFramePr/>
                  <a:graphic xmlns:a="http://schemas.openxmlformats.org/drawingml/2006/main">
                    <a:graphicData uri="http://schemas.openxmlformats.org/drawingml/2006/picture">
                      <pic:pic xmlns:pic="http://schemas.openxmlformats.org/drawingml/2006/picture">
                        <pic:nvPicPr>
                          <pic:cNvPr id="105" name="图片_4"/>
                          <pic:cNvPicPr/>
                        </pic:nvPicPr>
                        <pic:blipFill>
                          <a:blip r:embed="rId86"/>
                          <a:stretch>
                            <a:fillRect/>
                          </a:stretch>
                        </pic:blipFill>
                        <pic:spPr>
                          <a:xfrm>
                            <a:off x="0" y="0"/>
                            <a:ext cx="95250" cy="1016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lang w:val="en-US" w:eastAsia="zh-CN" w:bidi="ar"/>
              </w:rPr>
              <w:t>四、9个班幼儿园-功能教室</w:t>
            </w:r>
          </w:p>
        </w:tc>
      </w:tr>
      <w:tr w14:paraId="241664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6B6B9">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bdr w:val="single" w:color="000000" w:sz="4" w:space="0"/>
                <w:lang w:val="en-US" w:eastAsia="zh-CN" w:bidi="ar"/>
              </w:rPr>
              <w:drawing>
                <wp:anchor distT="0" distB="0" distL="114300" distR="114300" simplePos="0" relativeHeight="251663360" behindDoc="0" locked="0" layoutInCell="1" allowOverlap="1">
                  <wp:simplePos x="0" y="0"/>
                  <wp:positionH relativeFrom="column">
                    <wp:posOffset>371475</wp:posOffset>
                  </wp:positionH>
                  <wp:positionV relativeFrom="paragraph">
                    <wp:posOffset>0</wp:posOffset>
                  </wp:positionV>
                  <wp:extent cx="95250" cy="10160"/>
                  <wp:effectExtent l="0" t="0" r="0" b="0"/>
                  <wp:wrapNone/>
                  <wp:docPr id="106" name="图片_7"/>
                  <wp:cNvGraphicFramePr/>
                  <a:graphic xmlns:a="http://schemas.openxmlformats.org/drawingml/2006/main">
                    <a:graphicData uri="http://schemas.openxmlformats.org/drawingml/2006/picture">
                      <pic:pic xmlns:pic="http://schemas.openxmlformats.org/drawingml/2006/picture">
                        <pic:nvPicPr>
                          <pic:cNvPr id="106" name="图片_7"/>
                          <pic:cNvPicPr/>
                        </pic:nvPicPr>
                        <pic:blipFill>
                          <a:blip r:embed="rId86"/>
                          <a:stretch>
                            <a:fillRect/>
                          </a:stretch>
                        </pic:blipFill>
                        <pic:spPr>
                          <a:xfrm>
                            <a:off x="0" y="0"/>
                            <a:ext cx="95250" cy="1016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bdr w:val="single" w:color="000000" w:sz="4" w:space="0"/>
                <w:lang w:val="en-US" w:eastAsia="zh-CN" w:bidi="ar"/>
              </w:rPr>
              <w:drawing>
                <wp:anchor distT="0" distB="0" distL="114300" distR="114300" simplePos="0" relativeHeight="251663360" behindDoc="0" locked="0" layoutInCell="1" allowOverlap="1">
                  <wp:simplePos x="0" y="0"/>
                  <wp:positionH relativeFrom="column">
                    <wp:posOffset>371475</wp:posOffset>
                  </wp:positionH>
                  <wp:positionV relativeFrom="paragraph">
                    <wp:posOffset>0</wp:posOffset>
                  </wp:positionV>
                  <wp:extent cx="95250" cy="10160"/>
                  <wp:effectExtent l="0" t="0" r="0" b="0"/>
                  <wp:wrapNone/>
                  <wp:docPr id="107" name="图片_6"/>
                  <wp:cNvGraphicFramePr/>
                  <a:graphic xmlns:a="http://schemas.openxmlformats.org/drawingml/2006/main">
                    <a:graphicData uri="http://schemas.openxmlformats.org/drawingml/2006/picture">
                      <pic:pic xmlns:pic="http://schemas.openxmlformats.org/drawingml/2006/picture">
                        <pic:nvPicPr>
                          <pic:cNvPr id="107" name="图片_6"/>
                          <pic:cNvPicPr/>
                        </pic:nvPicPr>
                        <pic:blipFill>
                          <a:blip r:embed="rId86"/>
                          <a:stretch>
                            <a:fillRect/>
                          </a:stretch>
                        </pic:blipFill>
                        <pic:spPr>
                          <a:xfrm>
                            <a:off x="0" y="0"/>
                            <a:ext cx="95250" cy="1016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bdr w:val="single" w:color="000000" w:sz="4" w:space="0"/>
                <w:lang w:val="en-US" w:eastAsia="zh-CN" w:bidi="ar"/>
              </w:rPr>
              <w:drawing>
                <wp:anchor distT="0" distB="0" distL="114300" distR="114300" simplePos="0" relativeHeight="251663360" behindDoc="0" locked="0" layoutInCell="1" allowOverlap="1">
                  <wp:simplePos x="0" y="0"/>
                  <wp:positionH relativeFrom="column">
                    <wp:posOffset>371475</wp:posOffset>
                  </wp:positionH>
                  <wp:positionV relativeFrom="paragraph">
                    <wp:posOffset>0</wp:posOffset>
                  </wp:positionV>
                  <wp:extent cx="95250" cy="10160"/>
                  <wp:effectExtent l="0" t="0" r="0" b="0"/>
                  <wp:wrapNone/>
                  <wp:docPr id="108" name="图片_5"/>
                  <wp:cNvGraphicFramePr/>
                  <a:graphic xmlns:a="http://schemas.openxmlformats.org/drawingml/2006/main">
                    <a:graphicData uri="http://schemas.openxmlformats.org/drawingml/2006/picture">
                      <pic:pic xmlns:pic="http://schemas.openxmlformats.org/drawingml/2006/picture">
                        <pic:nvPicPr>
                          <pic:cNvPr id="108" name="图片_5"/>
                          <pic:cNvPicPr/>
                        </pic:nvPicPr>
                        <pic:blipFill>
                          <a:blip r:embed="rId86"/>
                          <a:stretch>
                            <a:fillRect/>
                          </a:stretch>
                        </pic:blipFill>
                        <pic:spPr>
                          <a:xfrm>
                            <a:off x="0" y="0"/>
                            <a:ext cx="95250" cy="1016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bdr w:val="single" w:color="000000" w:sz="4" w:space="0"/>
                <w:lang w:val="en-US" w:eastAsia="zh-CN" w:bidi="ar"/>
              </w:rPr>
              <w:drawing>
                <wp:anchor distT="0" distB="0" distL="114300" distR="114300" simplePos="0" relativeHeight="251663360" behindDoc="0" locked="0" layoutInCell="1" allowOverlap="1">
                  <wp:simplePos x="0" y="0"/>
                  <wp:positionH relativeFrom="column">
                    <wp:posOffset>371475</wp:posOffset>
                  </wp:positionH>
                  <wp:positionV relativeFrom="paragraph">
                    <wp:posOffset>0</wp:posOffset>
                  </wp:positionV>
                  <wp:extent cx="95250" cy="10160"/>
                  <wp:effectExtent l="0" t="0" r="0" b="0"/>
                  <wp:wrapNone/>
                  <wp:docPr id="109" name="图片_8"/>
                  <wp:cNvGraphicFramePr/>
                  <a:graphic xmlns:a="http://schemas.openxmlformats.org/drawingml/2006/main">
                    <a:graphicData uri="http://schemas.openxmlformats.org/drawingml/2006/picture">
                      <pic:pic xmlns:pic="http://schemas.openxmlformats.org/drawingml/2006/picture">
                        <pic:nvPicPr>
                          <pic:cNvPr id="109" name="图片_8"/>
                          <pic:cNvPicPr/>
                        </pic:nvPicPr>
                        <pic:blipFill>
                          <a:blip r:embed="rId86"/>
                          <a:stretch>
                            <a:fillRect/>
                          </a:stretch>
                        </pic:blipFill>
                        <pic:spPr>
                          <a:xfrm>
                            <a:off x="0" y="0"/>
                            <a:ext cx="95250" cy="10160"/>
                          </a:xfrm>
                          <a:prstGeom prst="rect">
                            <a:avLst/>
                          </a:prstGeom>
                          <a:noFill/>
                          <a:ln>
                            <a:noFill/>
                          </a:ln>
                        </pic:spPr>
                      </pic:pic>
                    </a:graphicData>
                  </a:graphic>
                </wp:anchor>
              </w:drawing>
            </w:r>
            <w:r>
              <w:rPr>
                <w:rFonts w:hint="eastAsia" w:ascii="宋体" w:hAnsi="宋体" w:eastAsia="宋体" w:cs="宋体"/>
                <w:b/>
                <w:bCs/>
                <w:i w:val="0"/>
                <w:iCs w:val="0"/>
                <w:color w:val="auto"/>
                <w:kern w:val="0"/>
                <w:sz w:val="20"/>
                <w:szCs w:val="20"/>
                <w:u w:val="none"/>
                <w:lang w:val="en-US" w:eastAsia="zh-CN" w:bidi="ar"/>
              </w:rPr>
              <w:t>1、多功能教室（一楼公共活动室）</w:t>
            </w:r>
          </w:p>
        </w:tc>
      </w:tr>
      <w:tr w14:paraId="69331A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3715699">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序号</w:t>
            </w:r>
          </w:p>
        </w:tc>
        <w:tc>
          <w:tcPr>
            <w:tcW w:w="76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3AFA166">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设备名称</w:t>
            </w:r>
          </w:p>
        </w:tc>
        <w:tc>
          <w:tcPr>
            <w:tcW w:w="544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0F7093D">
            <w:pPr>
              <w:keepNext w:val="0"/>
              <w:keepLines w:val="0"/>
              <w:widowControl/>
              <w:suppressLineNumbers w:val="0"/>
              <w:jc w:val="left"/>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材质及生产工艺</w:t>
            </w:r>
          </w:p>
        </w:tc>
        <w:tc>
          <w:tcPr>
            <w:tcW w:w="81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1B8F6CC">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数量</w:t>
            </w: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2308518">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单位</w:t>
            </w:r>
          </w:p>
        </w:tc>
      </w:tr>
      <w:tr w14:paraId="3D89CD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31E3412">
            <w:pPr>
              <w:jc w:val="center"/>
              <w:rPr>
                <w:rFonts w:hint="eastAsia" w:ascii="宋体" w:hAnsi="宋体" w:eastAsia="宋体" w:cs="宋体"/>
                <w:b/>
                <w:bCs/>
                <w:i w:val="0"/>
                <w:iCs w:val="0"/>
                <w:color w:val="auto"/>
                <w:sz w:val="20"/>
                <w:szCs w:val="20"/>
                <w:u w:val="none"/>
              </w:rPr>
            </w:pP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9B67E81">
            <w:pPr>
              <w:jc w:val="center"/>
              <w:rPr>
                <w:rFonts w:hint="eastAsia" w:ascii="宋体" w:hAnsi="宋体" w:eastAsia="宋体" w:cs="宋体"/>
                <w:b/>
                <w:bCs/>
                <w:i w:val="0"/>
                <w:iCs w:val="0"/>
                <w:color w:val="auto"/>
                <w:sz w:val="20"/>
                <w:szCs w:val="20"/>
                <w:u w:val="none"/>
              </w:rPr>
            </w:pPr>
          </w:p>
        </w:tc>
        <w:tc>
          <w:tcPr>
            <w:tcW w:w="54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0A9751A">
            <w:pPr>
              <w:jc w:val="left"/>
              <w:rPr>
                <w:rFonts w:hint="eastAsia" w:ascii="宋体" w:hAnsi="宋体" w:eastAsia="宋体" w:cs="宋体"/>
                <w:b/>
                <w:bCs/>
                <w:i w:val="0"/>
                <w:iCs w:val="0"/>
                <w:color w:val="auto"/>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A27EC6">
            <w:pPr>
              <w:jc w:val="center"/>
              <w:rPr>
                <w:rFonts w:hint="eastAsia" w:ascii="宋体" w:hAnsi="宋体" w:eastAsia="宋体" w:cs="宋体"/>
                <w:b/>
                <w:bCs/>
                <w:i w:val="0"/>
                <w:iCs w:val="0"/>
                <w:color w:val="auto"/>
                <w:sz w:val="20"/>
                <w:szCs w:val="20"/>
                <w:u w:val="none"/>
              </w:rPr>
            </w:pP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6F013C">
            <w:pPr>
              <w:jc w:val="center"/>
              <w:rPr>
                <w:rFonts w:hint="eastAsia" w:ascii="宋体" w:hAnsi="宋体" w:eastAsia="宋体" w:cs="宋体"/>
                <w:b/>
                <w:bCs/>
                <w:i w:val="0"/>
                <w:iCs w:val="0"/>
                <w:color w:val="auto"/>
                <w:sz w:val="20"/>
                <w:szCs w:val="20"/>
                <w:u w:val="none"/>
              </w:rPr>
            </w:pPr>
          </w:p>
        </w:tc>
      </w:tr>
      <w:tr w14:paraId="3E6E0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2BAAF1">
            <w:pPr>
              <w:jc w:val="center"/>
              <w:rPr>
                <w:rFonts w:hint="eastAsia" w:ascii="宋体" w:hAnsi="宋体" w:eastAsia="宋体" w:cs="宋体"/>
                <w:i w:val="0"/>
                <w:iCs w:val="0"/>
                <w:color w:val="auto"/>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F25AB1">
            <w:pPr>
              <w:jc w:val="center"/>
              <w:rPr>
                <w:rFonts w:hint="eastAsia" w:ascii="宋体" w:hAnsi="宋体" w:eastAsia="宋体" w:cs="宋体"/>
                <w:i w:val="0"/>
                <w:iCs w:val="0"/>
                <w:color w:val="auto"/>
                <w:sz w:val="20"/>
                <w:szCs w:val="20"/>
                <w:u w:val="none"/>
              </w:rPr>
            </w:pPr>
          </w:p>
        </w:tc>
        <w:tc>
          <w:tcPr>
            <w:tcW w:w="54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E1009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家具</w:t>
            </w:r>
          </w:p>
        </w:tc>
        <w:tc>
          <w:tcPr>
            <w:tcW w:w="8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C51145">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965DEC">
            <w:pPr>
              <w:jc w:val="center"/>
              <w:rPr>
                <w:rFonts w:hint="eastAsia" w:ascii="宋体" w:hAnsi="宋体" w:eastAsia="宋体" w:cs="宋体"/>
                <w:i w:val="0"/>
                <w:iCs w:val="0"/>
                <w:color w:val="auto"/>
                <w:sz w:val="20"/>
                <w:szCs w:val="20"/>
                <w:u w:val="none"/>
              </w:rPr>
            </w:pPr>
          </w:p>
        </w:tc>
      </w:tr>
      <w:tr w14:paraId="5A78DE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00961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23</w:t>
            </w: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D1147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可移动舞台</w:t>
            </w:r>
          </w:p>
        </w:tc>
        <w:tc>
          <w:tcPr>
            <w:tcW w:w="54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133B3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1、舞台板材质进口工程塑料滚塑工艺舞台板脚材质75PVC管，舞台厚度7厘米舞台板尺寸60cm*60cm。</w:t>
            </w:r>
          </w:p>
        </w:tc>
        <w:tc>
          <w:tcPr>
            <w:tcW w:w="8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B87B4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1.00 </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A4B88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组</w:t>
            </w:r>
          </w:p>
        </w:tc>
      </w:tr>
      <w:tr w14:paraId="34E93B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475" w:type="dxa"/>
            <w:gridSpan w:val="5"/>
            <w:tcBorders>
              <w:top w:val="single" w:color="000000" w:sz="4" w:space="0"/>
              <w:left w:val="single" w:color="000000" w:sz="4" w:space="0"/>
              <w:bottom w:val="single" w:color="000000" w:sz="4" w:space="0"/>
              <w:right w:val="single" w:color="000000" w:sz="4" w:space="0"/>
            </w:tcBorders>
            <w:shd w:val="clear" w:color="auto" w:fill="FFFFFF"/>
            <w:vAlign w:val="center"/>
          </w:tcPr>
          <w:p w14:paraId="3A84F15D">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2、感统运动器械</w:t>
            </w:r>
          </w:p>
        </w:tc>
      </w:tr>
      <w:tr w14:paraId="6FBAFC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6B2E2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分类</w:t>
            </w: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B591F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名称</w:t>
            </w:r>
          </w:p>
        </w:tc>
        <w:tc>
          <w:tcPr>
            <w:tcW w:w="54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5DF9F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参数</w:t>
            </w:r>
          </w:p>
        </w:tc>
        <w:tc>
          <w:tcPr>
            <w:tcW w:w="8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C8CD6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数量</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30F7A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单位</w:t>
            </w:r>
          </w:p>
        </w:tc>
      </w:tr>
      <w:tr w14:paraId="186862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E0F6F1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24、平衡类器械</w:t>
            </w: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86CBC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波浪形平衡板</w:t>
            </w:r>
          </w:p>
        </w:tc>
        <w:tc>
          <w:tcPr>
            <w:tcW w:w="54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9E596B">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1、长1.5M，宽40CM，PVC+防滑颗粒，城中120KG。</w:t>
            </w:r>
          </w:p>
        </w:tc>
        <w:tc>
          <w:tcPr>
            <w:tcW w:w="8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BC34E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EFC32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块</w:t>
            </w:r>
          </w:p>
        </w:tc>
      </w:tr>
      <w:tr w14:paraId="30A6C6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E8201B0">
            <w:pPr>
              <w:jc w:val="center"/>
              <w:rPr>
                <w:rFonts w:hint="eastAsia" w:ascii="宋体" w:hAnsi="宋体" w:eastAsia="宋体" w:cs="宋体"/>
                <w:i w:val="0"/>
                <w:iCs w:val="0"/>
                <w:color w:val="auto"/>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9B1C2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旋转平衡台</w:t>
            </w:r>
          </w:p>
        </w:tc>
        <w:tc>
          <w:tcPr>
            <w:tcW w:w="54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4BDA8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1、直径60cm，高度15CM，360度旋转+防倾倒设计。</w:t>
            </w:r>
          </w:p>
        </w:tc>
        <w:tc>
          <w:tcPr>
            <w:tcW w:w="8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BB078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62226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r>
      <w:tr w14:paraId="3C787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C497A50">
            <w:pPr>
              <w:jc w:val="center"/>
              <w:rPr>
                <w:rFonts w:hint="eastAsia" w:ascii="宋体" w:hAnsi="宋体" w:eastAsia="宋体" w:cs="宋体"/>
                <w:i w:val="0"/>
                <w:iCs w:val="0"/>
                <w:color w:val="auto"/>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CC9E6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可调节高度平衡木</w:t>
            </w:r>
          </w:p>
        </w:tc>
        <w:tc>
          <w:tcPr>
            <w:tcW w:w="54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CF02E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1、长度4m，宽15—25CM（分段可调），软胶材质。</w:t>
            </w:r>
          </w:p>
        </w:tc>
        <w:tc>
          <w:tcPr>
            <w:tcW w:w="8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7885C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0FD6C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条</w:t>
            </w:r>
          </w:p>
        </w:tc>
      </w:tr>
      <w:tr w14:paraId="3D0585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D41D28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25、触觉类器械</w:t>
            </w: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B0B4E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多功能触觉球套装</w:t>
            </w:r>
          </w:p>
        </w:tc>
        <w:tc>
          <w:tcPr>
            <w:tcW w:w="54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D2951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1、含颗粒球/刺球/浮点球（直径10-20cm），TPE材质 。</w:t>
            </w:r>
          </w:p>
        </w:tc>
        <w:tc>
          <w:tcPr>
            <w:tcW w:w="8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3D203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7FAAF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r>
      <w:tr w14:paraId="0D33B1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487F39E">
            <w:pPr>
              <w:jc w:val="center"/>
              <w:rPr>
                <w:rFonts w:hint="eastAsia" w:ascii="宋体" w:hAnsi="宋体" w:eastAsia="宋体" w:cs="宋体"/>
                <w:i w:val="0"/>
                <w:iCs w:val="0"/>
                <w:color w:val="auto"/>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BA4E0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组合式触觉步道  </w:t>
            </w:r>
          </w:p>
        </w:tc>
        <w:tc>
          <w:tcPr>
            <w:tcW w:w="54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9FCB4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1、8片/套（每片40x40cm），含草地/砂石/水流纹理。</w:t>
            </w:r>
          </w:p>
        </w:tc>
        <w:tc>
          <w:tcPr>
            <w:tcW w:w="8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F3BA7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C065A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r>
      <w:tr w14:paraId="473110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330FAB7">
            <w:pPr>
              <w:jc w:val="center"/>
              <w:rPr>
                <w:rFonts w:hint="eastAsia" w:ascii="宋体" w:hAnsi="宋体" w:eastAsia="宋体" w:cs="宋体"/>
                <w:i w:val="0"/>
                <w:iCs w:val="0"/>
                <w:color w:val="auto"/>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E1221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加重触觉大龙球</w:t>
            </w:r>
          </w:p>
        </w:tc>
        <w:tc>
          <w:tcPr>
            <w:tcW w:w="54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0D2B7A">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1、直径85cm，PVC材质，承重200kg，可充气 。</w:t>
            </w:r>
          </w:p>
        </w:tc>
        <w:tc>
          <w:tcPr>
            <w:tcW w:w="8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9BAC0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A7223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r>
      <w:tr w14:paraId="6E0D9E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938946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26、前庭觉训练类器械</w:t>
            </w: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E63E6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双道波浪滑梯 </w:t>
            </w:r>
          </w:p>
        </w:tc>
        <w:tc>
          <w:tcPr>
            <w:tcW w:w="54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E4273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1、滑道长3m，双滑道设计，坡度可调（15°-30°）。</w:t>
            </w:r>
          </w:p>
        </w:tc>
        <w:tc>
          <w:tcPr>
            <w:tcW w:w="8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893BB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A8305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r>
      <w:tr w14:paraId="09CE8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B8F47BC">
            <w:pPr>
              <w:jc w:val="center"/>
              <w:rPr>
                <w:rFonts w:hint="eastAsia" w:ascii="宋体" w:hAnsi="宋体" w:eastAsia="宋体" w:cs="宋体"/>
                <w:i w:val="0"/>
                <w:iCs w:val="0"/>
                <w:color w:val="auto"/>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D1DA7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悬吊系统组合</w:t>
            </w:r>
          </w:p>
        </w:tc>
        <w:tc>
          <w:tcPr>
            <w:tcW w:w="54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7709D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1、含秋千/吊床/吊缆，不锈钢支架，承重150kg 。</w:t>
            </w:r>
          </w:p>
        </w:tc>
        <w:tc>
          <w:tcPr>
            <w:tcW w:w="8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00E31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A601D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r>
      <w:tr w14:paraId="40DFDD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AC09AF">
            <w:pPr>
              <w:jc w:val="center"/>
              <w:rPr>
                <w:rFonts w:hint="eastAsia" w:ascii="宋体" w:hAnsi="宋体" w:eastAsia="宋体" w:cs="宋体"/>
                <w:i w:val="0"/>
                <w:iCs w:val="0"/>
                <w:color w:val="auto"/>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C3DE6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 360°旋转陀螺椅   </w:t>
            </w:r>
          </w:p>
        </w:tc>
        <w:tc>
          <w:tcPr>
            <w:tcW w:w="54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BA70E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1、直径50cm，ABS+软垫，安全束缚带 。           </w:t>
            </w:r>
          </w:p>
        </w:tc>
        <w:tc>
          <w:tcPr>
            <w:tcW w:w="8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E3AB9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FE93E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r>
      <w:tr w14:paraId="5572B1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6B897E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27、本体觉训练类器械</w:t>
            </w: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22256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可调节负重背心 </w:t>
            </w:r>
          </w:p>
        </w:tc>
        <w:tc>
          <w:tcPr>
            <w:tcW w:w="54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C82206">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1、0.5-3kg分档负重，透气面料，儿童尺寸。  </w:t>
            </w:r>
          </w:p>
        </w:tc>
        <w:tc>
          <w:tcPr>
            <w:tcW w:w="8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643A4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93499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件</w:t>
            </w:r>
          </w:p>
        </w:tc>
      </w:tr>
      <w:tr w14:paraId="5F2674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75C220">
            <w:pPr>
              <w:jc w:val="center"/>
              <w:rPr>
                <w:rFonts w:hint="eastAsia" w:ascii="宋体" w:hAnsi="宋体" w:eastAsia="宋体" w:cs="宋体"/>
                <w:i w:val="0"/>
                <w:iCs w:val="0"/>
                <w:color w:val="auto"/>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948EA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抗阻力攀爬架</w:t>
            </w:r>
          </w:p>
        </w:tc>
        <w:tc>
          <w:tcPr>
            <w:tcW w:w="54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797B5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1、H型结构，高2.2m，宽1.8m，含攀岩点/绳索。</w:t>
            </w:r>
          </w:p>
        </w:tc>
        <w:tc>
          <w:tcPr>
            <w:tcW w:w="8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B67F8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7468F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r>
      <w:tr w14:paraId="479261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351421C">
            <w:pPr>
              <w:jc w:val="center"/>
              <w:rPr>
                <w:rFonts w:hint="eastAsia" w:ascii="宋体" w:hAnsi="宋体" w:eastAsia="宋体" w:cs="宋体"/>
                <w:i w:val="0"/>
                <w:iCs w:val="0"/>
                <w:color w:val="auto"/>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632DE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推拉阻力箱</w:t>
            </w:r>
          </w:p>
        </w:tc>
        <w:tc>
          <w:tcPr>
            <w:tcW w:w="54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2AFEE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1、尺寸50x40x30cm，带阻力调节轮，载重50kg。  </w:t>
            </w:r>
          </w:p>
        </w:tc>
        <w:tc>
          <w:tcPr>
            <w:tcW w:w="8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3B9EC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76F67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r>
      <w:tr w14:paraId="5C8B60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508DA6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28、协调类器械</w:t>
            </w: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9DAB6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手脚同步训练机 </w:t>
            </w:r>
          </w:p>
        </w:tc>
        <w:tc>
          <w:tcPr>
            <w:tcW w:w="54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4EECEB">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1、电子感应+LED提示，支持双人模式。           </w:t>
            </w:r>
          </w:p>
        </w:tc>
        <w:tc>
          <w:tcPr>
            <w:tcW w:w="8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B2AFB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6470F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r>
      <w:tr w14:paraId="3F1FB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0BB7163">
            <w:pPr>
              <w:jc w:val="center"/>
              <w:rPr>
                <w:rFonts w:hint="eastAsia" w:ascii="宋体" w:hAnsi="宋体" w:eastAsia="宋体" w:cs="宋体"/>
                <w:i w:val="0"/>
                <w:iCs w:val="0"/>
                <w:color w:val="auto"/>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FCDEC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彩虹接球器套装  </w:t>
            </w:r>
          </w:p>
        </w:tc>
        <w:tc>
          <w:tcPr>
            <w:tcW w:w="54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A59B3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1、含6个弹力球+4个弹射器+接球网。             </w:t>
            </w:r>
          </w:p>
        </w:tc>
        <w:tc>
          <w:tcPr>
            <w:tcW w:w="8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BF61B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65F42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r>
      <w:tr w14:paraId="41CE61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03F7AF">
            <w:pPr>
              <w:jc w:val="center"/>
              <w:rPr>
                <w:rFonts w:hint="eastAsia" w:ascii="宋体" w:hAnsi="宋体" w:eastAsia="宋体" w:cs="宋体"/>
                <w:i w:val="0"/>
                <w:iCs w:val="0"/>
                <w:color w:val="auto"/>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389CB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 折叠式障碍赛道 </w:t>
            </w:r>
          </w:p>
        </w:tc>
        <w:tc>
          <w:tcPr>
            <w:tcW w:w="54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33831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1、10组件组合（跨栏/隧道/平衡桩），PE材质。  </w:t>
            </w:r>
          </w:p>
        </w:tc>
        <w:tc>
          <w:tcPr>
            <w:tcW w:w="8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0B46B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5368B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r>
      <w:tr w14:paraId="04E5B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62FF1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29、力量类器械</w:t>
            </w: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84238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弹力绳训练架 </w:t>
            </w:r>
          </w:p>
        </w:tc>
        <w:tc>
          <w:tcPr>
            <w:tcW w:w="54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F53CE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1、高2.5m，含8个挂点+5级阻力绳（10-50kg）。  </w:t>
            </w:r>
          </w:p>
        </w:tc>
        <w:tc>
          <w:tcPr>
            <w:tcW w:w="8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097E4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C6743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r>
      <w:tr w14:paraId="27B651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8AF518">
            <w:pPr>
              <w:jc w:val="center"/>
              <w:rPr>
                <w:rFonts w:hint="eastAsia" w:ascii="宋体" w:hAnsi="宋体" w:eastAsia="宋体" w:cs="宋体"/>
                <w:i w:val="0"/>
                <w:iCs w:val="0"/>
                <w:color w:val="auto"/>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FE41F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儿童杠铃套装   </w:t>
            </w:r>
          </w:p>
        </w:tc>
        <w:tc>
          <w:tcPr>
            <w:tcW w:w="54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B009F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1、塑料杠铃杆+软胶片（0.5-2kg/片）。</w:t>
            </w:r>
          </w:p>
        </w:tc>
        <w:tc>
          <w:tcPr>
            <w:tcW w:w="8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79C8E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BDE95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r>
      <w:tr w14:paraId="74BDD4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70802B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30、综合训练类器械</w:t>
            </w: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68DD4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感统组合训练塔  </w:t>
            </w:r>
          </w:p>
        </w:tc>
        <w:tc>
          <w:tcPr>
            <w:tcW w:w="54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62C95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1、含滑梯/攀爬网/吊桥/钻笼，尺寸4m x 3m x 2.5m。  </w:t>
            </w:r>
          </w:p>
        </w:tc>
        <w:tc>
          <w:tcPr>
            <w:tcW w:w="8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79D7F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1B68D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r>
      <w:tr w14:paraId="1337A2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18008B8">
            <w:pPr>
              <w:jc w:val="center"/>
              <w:rPr>
                <w:rFonts w:hint="eastAsia" w:ascii="宋体" w:hAnsi="宋体" w:eastAsia="宋体" w:cs="宋体"/>
                <w:i w:val="0"/>
                <w:iCs w:val="0"/>
                <w:color w:val="auto"/>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EF9AE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安全蹦床 </w:t>
            </w:r>
          </w:p>
        </w:tc>
        <w:tc>
          <w:tcPr>
            <w:tcW w:w="54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CE36E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1、直径1.5m，弹簧+防护网，承重150kg。      </w:t>
            </w:r>
          </w:p>
        </w:tc>
        <w:tc>
          <w:tcPr>
            <w:tcW w:w="8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225B2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12ECD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r>
      <w:tr w14:paraId="214AFC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19D3DBB">
            <w:pPr>
              <w:jc w:val="center"/>
              <w:rPr>
                <w:rFonts w:hint="eastAsia" w:ascii="宋体" w:hAnsi="宋体" w:eastAsia="宋体" w:cs="宋体"/>
                <w:i w:val="0"/>
                <w:iCs w:val="0"/>
                <w:color w:val="auto"/>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3DC6F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充气平衡船 </w:t>
            </w:r>
          </w:p>
        </w:tc>
        <w:tc>
          <w:tcPr>
            <w:tcW w:w="54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9AFF4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1、长2m，宽1m，互动踩踏气垫，多人使用。    </w:t>
            </w:r>
          </w:p>
        </w:tc>
        <w:tc>
          <w:tcPr>
            <w:tcW w:w="8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D67A7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D12CA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r>
      <w:tr w14:paraId="513BB3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F9423D">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3 、蒙氏玩教具</w:t>
            </w:r>
          </w:p>
        </w:tc>
      </w:tr>
      <w:tr w14:paraId="05EA73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5074E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分类</w:t>
            </w: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D53E1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名称</w:t>
            </w:r>
          </w:p>
        </w:tc>
        <w:tc>
          <w:tcPr>
            <w:tcW w:w="54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79B5C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参数</w:t>
            </w:r>
          </w:p>
        </w:tc>
        <w:tc>
          <w:tcPr>
            <w:tcW w:w="8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B0B99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数量</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5DF99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单位</w:t>
            </w:r>
          </w:p>
        </w:tc>
      </w:tr>
      <w:tr w14:paraId="514AFE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3C30B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31、蒙氏教具</w:t>
            </w: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F3D64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蒙氏88件套</w:t>
            </w:r>
          </w:p>
        </w:tc>
        <w:tc>
          <w:tcPr>
            <w:tcW w:w="54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CBA58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1、包含感官类23件数学类41件自然文化科学类16件语文类5件日常生活类3件。</w:t>
            </w:r>
          </w:p>
        </w:tc>
        <w:tc>
          <w:tcPr>
            <w:tcW w:w="8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BFAAF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BC4BF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r>
      <w:tr w14:paraId="1B4873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06CEF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32、蒙氏工作毯</w:t>
            </w: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C2093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蒙氏地毯</w:t>
            </w:r>
          </w:p>
        </w:tc>
        <w:tc>
          <w:tcPr>
            <w:tcW w:w="54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EDD46A">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1、规格：60cm*80cm。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2、优质涤纶防静电高低圈锁边。</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3、背面防滑透气无纺布。</w:t>
            </w:r>
          </w:p>
        </w:tc>
        <w:tc>
          <w:tcPr>
            <w:tcW w:w="8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422A0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300</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F2379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张</w:t>
            </w:r>
          </w:p>
        </w:tc>
      </w:tr>
      <w:tr w14:paraId="560E11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0CAAE8">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4、阅读区家具</w:t>
            </w:r>
          </w:p>
        </w:tc>
      </w:tr>
      <w:tr w14:paraId="4646F3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42996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33</w:t>
            </w: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D7308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书柜一套</w:t>
            </w:r>
          </w:p>
        </w:tc>
        <w:tc>
          <w:tcPr>
            <w:tcW w:w="54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42A410">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1、不少于3组高度不少于1.8米宽度不少于0.9米</w:t>
            </w:r>
          </w:p>
        </w:tc>
        <w:tc>
          <w:tcPr>
            <w:tcW w:w="8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74E41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70F1B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r>
      <w:tr w14:paraId="0F5D68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nil"/>
              <w:left w:val="nil"/>
              <w:bottom w:val="nil"/>
              <w:right w:val="nil"/>
            </w:tcBorders>
            <w:shd w:val="clear" w:color="auto" w:fill="auto"/>
            <w:noWrap/>
            <w:vAlign w:val="center"/>
          </w:tcPr>
          <w:p w14:paraId="260B150D">
            <w:pPr>
              <w:rPr>
                <w:rFonts w:hint="eastAsia" w:ascii="宋体" w:hAnsi="宋体" w:eastAsia="宋体" w:cs="宋体"/>
                <w:i w:val="0"/>
                <w:iCs w:val="0"/>
                <w:color w:val="auto"/>
                <w:sz w:val="20"/>
                <w:szCs w:val="20"/>
                <w:u w:val="none"/>
              </w:rPr>
            </w:pPr>
          </w:p>
        </w:tc>
        <w:tc>
          <w:tcPr>
            <w:tcW w:w="765" w:type="dxa"/>
            <w:tcBorders>
              <w:top w:val="nil"/>
              <w:left w:val="nil"/>
              <w:bottom w:val="nil"/>
              <w:right w:val="nil"/>
            </w:tcBorders>
            <w:shd w:val="clear" w:color="auto" w:fill="auto"/>
            <w:vAlign w:val="center"/>
          </w:tcPr>
          <w:p w14:paraId="629DDE17">
            <w:pPr>
              <w:rPr>
                <w:rFonts w:hint="eastAsia" w:ascii="宋体" w:hAnsi="宋体" w:eastAsia="宋体" w:cs="宋体"/>
                <w:i w:val="0"/>
                <w:iCs w:val="0"/>
                <w:color w:val="auto"/>
                <w:sz w:val="20"/>
                <w:szCs w:val="20"/>
                <w:u w:val="none"/>
              </w:rPr>
            </w:pPr>
          </w:p>
        </w:tc>
        <w:tc>
          <w:tcPr>
            <w:tcW w:w="5445" w:type="dxa"/>
            <w:tcBorders>
              <w:top w:val="nil"/>
              <w:left w:val="nil"/>
              <w:bottom w:val="nil"/>
              <w:right w:val="nil"/>
            </w:tcBorders>
            <w:shd w:val="clear" w:color="auto" w:fill="auto"/>
            <w:vAlign w:val="center"/>
          </w:tcPr>
          <w:p w14:paraId="75467F70">
            <w:pPr>
              <w:rPr>
                <w:rFonts w:hint="eastAsia" w:ascii="宋体" w:hAnsi="宋体" w:eastAsia="宋体" w:cs="宋体"/>
                <w:i w:val="0"/>
                <w:iCs w:val="0"/>
                <w:color w:val="auto"/>
                <w:sz w:val="20"/>
                <w:szCs w:val="20"/>
                <w:u w:val="none"/>
              </w:rPr>
            </w:pPr>
          </w:p>
        </w:tc>
        <w:tc>
          <w:tcPr>
            <w:tcW w:w="810" w:type="dxa"/>
            <w:tcBorders>
              <w:top w:val="nil"/>
              <w:left w:val="nil"/>
              <w:bottom w:val="nil"/>
              <w:right w:val="nil"/>
            </w:tcBorders>
            <w:shd w:val="clear" w:color="auto" w:fill="auto"/>
            <w:vAlign w:val="center"/>
          </w:tcPr>
          <w:p w14:paraId="1BB53195">
            <w:pPr>
              <w:rPr>
                <w:rFonts w:hint="eastAsia" w:ascii="宋体" w:hAnsi="宋体" w:eastAsia="宋体" w:cs="宋体"/>
                <w:i w:val="0"/>
                <w:iCs w:val="0"/>
                <w:color w:val="auto"/>
                <w:sz w:val="20"/>
                <w:szCs w:val="20"/>
                <w:u w:val="none"/>
              </w:rPr>
            </w:pPr>
          </w:p>
        </w:tc>
        <w:tc>
          <w:tcPr>
            <w:tcW w:w="870" w:type="dxa"/>
            <w:tcBorders>
              <w:top w:val="nil"/>
              <w:left w:val="nil"/>
              <w:bottom w:val="nil"/>
              <w:right w:val="nil"/>
            </w:tcBorders>
            <w:shd w:val="clear" w:color="auto" w:fill="auto"/>
            <w:vAlign w:val="center"/>
          </w:tcPr>
          <w:p w14:paraId="18D23779">
            <w:pPr>
              <w:rPr>
                <w:rFonts w:hint="eastAsia" w:ascii="宋体" w:hAnsi="宋体" w:eastAsia="宋体" w:cs="宋体"/>
                <w:i w:val="0"/>
                <w:iCs w:val="0"/>
                <w:color w:val="auto"/>
                <w:sz w:val="20"/>
                <w:szCs w:val="20"/>
                <w:u w:val="none"/>
              </w:rPr>
            </w:pPr>
          </w:p>
        </w:tc>
      </w:tr>
      <w:tr w14:paraId="5133BB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73DCD8">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5、三个楼层初步的公共区域</w:t>
            </w:r>
          </w:p>
        </w:tc>
      </w:tr>
      <w:tr w14:paraId="760FC8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62793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楼层</w:t>
            </w: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6D674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环境与理念</w:t>
            </w:r>
          </w:p>
        </w:tc>
        <w:tc>
          <w:tcPr>
            <w:tcW w:w="54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659ABA">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家具及所需物品</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99C240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环境创设</w:t>
            </w:r>
          </w:p>
        </w:tc>
      </w:tr>
      <w:tr w14:paraId="7D94EB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8A1E1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34、一楼公共区域</w:t>
            </w: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E3DB8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游戏与自然</w:t>
            </w:r>
          </w:p>
        </w:tc>
        <w:tc>
          <w:tcPr>
            <w:tcW w:w="54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FED30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1、“迷你万绿园”—各类绿植。</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5D70AC0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各类绿植、自然景观（水、竹林、）草本花卉、水生植物、雕塑等</w:t>
            </w:r>
          </w:p>
        </w:tc>
      </w:tr>
      <w:tr w14:paraId="554CA9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CF16B4">
            <w:pPr>
              <w:jc w:val="center"/>
              <w:rPr>
                <w:rFonts w:hint="eastAsia" w:ascii="宋体" w:hAnsi="宋体" w:eastAsia="宋体" w:cs="宋体"/>
                <w:i w:val="0"/>
                <w:iCs w:val="0"/>
                <w:color w:val="auto"/>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0E9CFA">
            <w:pPr>
              <w:jc w:val="center"/>
              <w:rPr>
                <w:rFonts w:hint="eastAsia" w:ascii="宋体" w:hAnsi="宋体" w:eastAsia="宋体" w:cs="宋体"/>
                <w:i w:val="0"/>
                <w:iCs w:val="0"/>
                <w:color w:val="auto"/>
                <w:sz w:val="20"/>
                <w:szCs w:val="20"/>
                <w:u w:val="none"/>
              </w:rPr>
            </w:pPr>
          </w:p>
        </w:tc>
        <w:tc>
          <w:tcPr>
            <w:tcW w:w="54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CFA33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绿植架</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5A8D2DA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1套（15组）</w:t>
            </w:r>
          </w:p>
        </w:tc>
      </w:tr>
      <w:tr w14:paraId="353BD0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6C4C6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35、二楼公共区域</w:t>
            </w: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F37B3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游戏与艺术</w:t>
            </w:r>
          </w:p>
        </w:tc>
        <w:tc>
          <w:tcPr>
            <w:tcW w:w="54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89F05B">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1、操作台、实木长条板凳、六格柜、各类布匹、纺织、各类海南服饰、扎染台面、展示柜、传统织布机、进口幼儿园缝纫机、纺车、立体绣架、手链编织器、电子编织机、圆型针织机等编制器具。</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544EC1D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“民俗文化园”—编制、服装设计、非遗技艺、模特秀；</w:t>
            </w:r>
          </w:p>
        </w:tc>
      </w:tr>
      <w:tr w14:paraId="16D89B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7FD1D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36、三楼公共区域</w:t>
            </w: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3930E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游戏与阅读</w:t>
            </w:r>
          </w:p>
        </w:tc>
        <w:tc>
          <w:tcPr>
            <w:tcW w:w="54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41823A">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1、展示架、皮影幕布支架、皮影灯、彩色皮影、壁挂皮影框、移动舞台、实木长条板凳、操作台、视听设备、服装及服装架等。</w:t>
            </w:r>
          </w:p>
        </w:tc>
        <w:tc>
          <w:tcPr>
            <w:tcW w:w="16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4F290A5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“琼山振群书院”</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 xml:space="preserve">图书馆内：看、读、画      </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图书馆外：说、听、演、编；</w:t>
            </w:r>
          </w:p>
        </w:tc>
      </w:tr>
    </w:tbl>
    <w:p w14:paraId="0494954C">
      <w:pPr>
        <w:rPr>
          <w:color w:val="auto"/>
        </w:rPr>
      </w:pPr>
    </w:p>
    <w:tbl>
      <w:tblPr>
        <w:tblStyle w:val="23"/>
        <w:tblW w:w="910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16"/>
        <w:gridCol w:w="1016"/>
        <w:gridCol w:w="1016"/>
        <w:gridCol w:w="4176"/>
        <w:gridCol w:w="718"/>
        <w:gridCol w:w="616"/>
        <w:gridCol w:w="957"/>
      </w:tblGrid>
      <w:tr w14:paraId="7FE8F2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9115" w:type="dxa"/>
            <w:gridSpan w:val="7"/>
            <w:tcBorders>
              <w:top w:val="nil"/>
              <w:left w:val="nil"/>
              <w:bottom w:val="nil"/>
              <w:right w:val="single" w:color="000000" w:sz="4" w:space="0"/>
            </w:tcBorders>
            <w:shd w:val="clear" w:color="auto" w:fill="auto"/>
            <w:noWrap/>
            <w:vAlign w:val="center"/>
          </w:tcPr>
          <w:p w14:paraId="12DC5497">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五、“材料超市”玩教具类-室内</w:t>
            </w:r>
          </w:p>
        </w:tc>
      </w:tr>
      <w:tr w14:paraId="6C0F19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D336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序号</w:t>
            </w:r>
          </w:p>
        </w:tc>
        <w:tc>
          <w:tcPr>
            <w:tcW w:w="7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8D0966">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 xml:space="preserve"> 分类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1BB3F">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 xml:space="preserve"> 种类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42B50">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参数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867E9">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 xml:space="preserve"> 单位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07DB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数量</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FB58D">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备注</w:t>
            </w:r>
          </w:p>
        </w:tc>
      </w:tr>
      <w:tr w14:paraId="5CB9E0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26C86">
            <w:pPr>
              <w:jc w:val="center"/>
              <w:rPr>
                <w:rFonts w:hint="eastAsia" w:ascii="宋体" w:hAnsi="宋体" w:eastAsia="宋体" w:cs="宋体"/>
                <w:i w:val="0"/>
                <w:iCs w:val="0"/>
                <w:color w:val="auto"/>
                <w:sz w:val="20"/>
                <w:szCs w:val="20"/>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07BFD9">
            <w:pPr>
              <w:jc w:val="center"/>
              <w:rPr>
                <w:rFonts w:hint="eastAsia" w:ascii="宋体" w:hAnsi="宋体" w:eastAsia="宋体" w:cs="宋体"/>
                <w:b/>
                <w:bCs/>
                <w:i w:val="0"/>
                <w:iCs w:val="0"/>
                <w:color w:val="auto"/>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193B3">
            <w:pPr>
              <w:jc w:val="center"/>
              <w:rPr>
                <w:rFonts w:hint="eastAsia" w:ascii="宋体" w:hAnsi="宋体" w:eastAsia="宋体" w:cs="宋体"/>
                <w:b/>
                <w:bCs/>
                <w:i w:val="0"/>
                <w:iCs w:val="0"/>
                <w:color w:val="auto"/>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5D21F">
            <w:pPr>
              <w:jc w:val="center"/>
              <w:rPr>
                <w:rFonts w:hint="eastAsia" w:ascii="宋体" w:hAnsi="宋体" w:eastAsia="宋体" w:cs="宋体"/>
                <w:b/>
                <w:bCs/>
                <w:i w:val="0"/>
                <w:iCs w:val="0"/>
                <w:color w:val="auto"/>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4077A">
            <w:pPr>
              <w:jc w:val="center"/>
              <w:rPr>
                <w:rFonts w:hint="eastAsia" w:ascii="宋体" w:hAnsi="宋体" w:eastAsia="宋体" w:cs="宋体"/>
                <w:b/>
                <w:bCs/>
                <w:i w:val="0"/>
                <w:iCs w:val="0"/>
                <w:color w:val="auto"/>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1AD3F">
            <w:pPr>
              <w:jc w:val="center"/>
              <w:rPr>
                <w:rFonts w:hint="eastAsia" w:ascii="宋体" w:hAnsi="宋体" w:eastAsia="宋体" w:cs="宋体"/>
                <w:i w:val="0"/>
                <w:iCs w:val="0"/>
                <w:color w:val="auto"/>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D1FE9">
            <w:pPr>
              <w:jc w:val="center"/>
              <w:rPr>
                <w:rFonts w:hint="eastAsia" w:ascii="宋体" w:hAnsi="宋体" w:eastAsia="宋体" w:cs="宋体"/>
                <w:b/>
                <w:bCs/>
                <w:i w:val="0"/>
                <w:iCs w:val="0"/>
                <w:color w:val="auto"/>
                <w:sz w:val="20"/>
                <w:szCs w:val="20"/>
                <w:u w:val="none"/>
              </w:rPr>
            </w:pPr>
          </w:p>
        </w:tc>
      </w:tr>
      <w:tr w14:paraId="0A2474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65E6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37</w:t>
            </w:r>
          </w:p>
        </w:tc>
        <w:tc>
          <w:tcPr>
            <w:tcW w:w="7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5DA81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小班活动区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05FCB">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家庭材料</w:t>
            </w:r>
          </w:p>
        </w:tc>
        <w:tc>
          <w:tcPr>
            <w:tcW w:w="4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1C920">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娃娃家所需用品</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 xml:space="preserve">1、包含但不限于：厨房组合1套、娃娃家8件套1组、化妆套装1组、梳妆套盒1组、娃娃车1辆、有性别的娃娃2个、娃娃餐椅1把、娃娃衣服3套、厨具（锅、碗、瓢、盆、盘）套装1组、早餐晚餐套装1组、美食家金属厨具1套、美食家料理工具1组、清洁工具玩具1组、食材模型1套、微波炉玩具1个、烤箱玩具1个、搅拌机玩具1个、电饭煲玩具1个等。质量需要符合幼儿使用相关标准。                                     </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2、包括但不限于回声筒1个、动物头饰12个、发卡20个、沙巾20条、化妆台1组、12生肖服饰1套、警察服饰5套、护士服饰5套、医生服饰5套、头偶5套、话筒2个等。质量需要符合幼儿使用相关标准。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 xml:space="preserve">3、材质：塑料+金属+布料。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C6A3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97BF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3.00 </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36BB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每班1套</w:t>
            </w:r>
          </w:p>
        </w:tc>
      </w:tr>
      <w:tr w14:paraId="7BEEEF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91BC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38</w:t>
            </w: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CDE0BD">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39D3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艺术材料</w:t>
            </w:r>
          </w:p>
        </w:tc>
        <w:tc>
          <w:tcPr>
            <w:tcW w:w="4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9A17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1、包含但不限于剪刀30把、双面胶20卷、小水桶10个、白乳胶10瓶、 调色盘30个、多格调色盘30个、蘑菇拓印刷10套、美纹纸4卷、彩泥30套、皱纹纸8套、彩卡3套、黑卡4套、20张精装素描纸4套、100张精装、刮画纸5套（50张/包）、24色彩笔30套、毛绒球10套（2000粒/包）、8色扎染颜料8套、白色围巾10条、24色水粉颜料5盒等，质量需要符合幼儿使用相关标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2、欣赏画 ：适合小班欣赏的名画印刷品、仿制品。</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3、民间艺术：种类 染纸、画具、剪纸、泥塑。</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4、材料：宣纸、餐巾纸、手工制纸、面具胚子、陶泥、彩泥</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5、工具：泥工板、泥工刀、花边剪、模具 。                         6、乐器：金属音色：手铃、脚铃、串铃、碰钟、铃板镲、小铃鼓、铃鼓圈（任选4种）；木质音色：双响筒、木鱼、蛙鸣筒、舞板、沙锤、响板（任选4种）；鼓：堂鼓、小钢鼓；旋律乐器：管琴、铝板琴。</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7、材质：塑料+纸。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EDB6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7E06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3.00 </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0EBC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每班1套</w:t>
            </w:r>
          </w:p>
        </w:tc>
      </w:tr>
      <w:tr w14:paraId="3F8C12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E02F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39</w:t>
            </w: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D660AD">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E16A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图书材料</w:t>
            </w:r>
          </w:p>
        </w:tc>
        <w:tc>
          <w:tcPr>
            <w:tcW w:w="4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467E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1、包含但不限于发声图书40本、洞洞书40本、布质图书40本、动物指偶10套、动物手偶10个、有声图书40本、故事机5个、录音熊5个等及图书绘本。质量需要符合幼儿使用相关标准。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2、材质：纸+毛绒。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FDD3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6431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3.00 </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1C06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每班1套</w:t>
            </w:r>
          </w:p>
        </w:tc>
      </w:tr>
      <w:tr w14:paraId="315138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0238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40</w:t>
            </w: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775CAE">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A09F3">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玩具材料</w:t>
            </w:r>
          </w:p>
        </w:tc>
        <w:tc>
          <w:tcPr>
            <w:tcW w:w="4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C7AC6">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包含但不限于找影子玩具2套、食物多米诺1套、动物与外衣玩具2套、骰子游戏棋1套、拼图10套、环形套人玩具1个、单手串1套、巧手夹夹乐1套、对应板1套、拆解果疏1套、点数玩具1套、排序卡1套、镶嵌玩具（平面镶嵌、立体镶嵌、拼图）、套叠玩具（套盒、套碗、套娃等）、穿编玩具（串珠、穿绳、编织等）、搭配玩具（配对盒、配对板、配对螺丝等）。质量需要符合幼儿使用相关标准。             </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包含但不限于电话玩具1个、声音配对游戏机1个，拟声罐1个、八音盒2个、凹面镜1个、凸面镜1个、回力车10个、动物盛会1套、滑道车1个、钓鱼玩具1套、淘瑞塔1套、齿轮玩具1套、水车玩具1个、透明色片1套、味道卡片1套、昆虫腹部观察盒1个等。质量需要符合幼儿使用相关标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3、自然物：卵石、木块、时令花草、虫鱼。</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4、探究物：泡泡水、风车、简易风筝、镜子、筛子、吹管。</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5、模型：布艺蔬菜、水果，软、硬动物模型，动植物印章。</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6、材质：木质+塑料。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8BA6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3326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3.00 </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7E2F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每班1套</w:t>
            </w:r>
          </w:p>
        </w:tc>
      </w:tr>
      <w:tr w14:paraId="09EFB6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73EB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41</w:t>
            </w: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370B13">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7555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自然角</w:t>
            </w:r>
          </w:p>
        </w:tc>
        <w:tc>
          <w:tcPr>
            <w:tcW w:w="4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2E65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1、包含但不限于吸管2个、放大镜2个、观察盒1个、家禽家畜模型1套、粮食家族科学标本1套、花生是怎么发芽的科学标本1套、玉米是怎么发芽的科学标本1套、浇水壶等。质量需要符合幼儿使用相关标准。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2、材质：亚克力+塑料。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BB9B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94EF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3.00 </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6E88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每班1套</w:t>
            </w:r>
          </w:p>
        </w:tc>
      </w:tr>
      <w:tr w14:paraId="0A9DE4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D554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42</w:t>
            </w: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4A573A">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D259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积木材料</w:t>
            </w:r>
          </w:p>
        </w:tc>
        <w:tc>
          <w:tcPr>
            <w:tcW w:w="4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11AB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包含但不限于空心积木60块以上1套、彩色积木150块以上1套、职业玩偶1套、百变木匠工具1套、磁力棒200根以上1套、管道拼插120件以上1套、几何环扣100片以上1套、齿轮积木200片以上1套、米意奇积木120粒以上1套、大型几何泡沫积木20块以上1套、中型泡沫积木40块以上1套等。质量需要符合幼儿使用相关标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2、材质：木质+塑料。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1BB0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839E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3.00 </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E6AB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每班1套</w:t>
            </w:r>
          </w:p>
        </w:tc>
      </w:tr>
      <w:tr w14:paraId="781F67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71D8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43</w:t>
            </w:r>
          </w:p>
        </w:tc>
        <w:tc>
          <w:tcPr>
            <w:tcW w:w="7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77156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中班活动区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56E9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自然角</w:t>
            </w:r>
          </w:p>
        </w:tc>
        <w:tc>
          <w:tcPr>
            <w:tcW w:w="4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B2DB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1、包含但不限于吸管2个、放大镜2个、观察盒1个、家禽家畜模型1套、粮食家族科学标本1套、花生是怎么发芽的科学标本1套、玉米是怎么发芽的科学标本1套等。质量需要符合幼儿使用相关标准。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2、材质：塑料。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9B2E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F3E9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3.00 </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8F6C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每班1套</w:t>
            </w:r>
          </w:p>
        </w:tc>
      </w:tr>
      <w:tr w14:paraId="2BD6F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1928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44</w:t>
            </w: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D68F09">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1260A">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艺术材料</w:t>
            </w:r>
          </w:p>
        </w:tc>
        <w:tc>
          <w:tcPr>
            <w:tcW w:w="4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1065A">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1、包含但不限于剪刀30把、双面胶20卷、小水桶10个、白乳胶10瓶、 调色盘30个、多格调色盘30个、蘑菇拓印刷10套、美纹纸4卷、彩泥30套、皱纹纸8套、彩卡3套、黑卡4套、20张精装素描纸4套、100张精装、刮画纸5套（50张/包）、24色彩笔30套、毛绒球10套（2000粒/包）、8色扎染颜料8套、白色围巾10条、24色水粉颜料5盒、粗、细棉签、刮画笔、海绵磙子，滚珠，喷壶，吹管，调色板，模型板、水粉色、水彩色、国画颜料、彩砂、丙烯颜料、中西近代大师画作印刷品、临摹品等，质量需要符合幼儿使用相关标准。                        </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2、乐器：金属音色：角铁、铃鼓、碰钟、牛铃棒、串铃、铁沙铃、小钹、小铜钟（任选5种）。</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3、木质音色：双响筒、加沟梆子、沙锤、多音响筒、刮棒、打板、双头木筒、鱼蛙、木鱼、齿木（任选5种）。</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4、旋律乐器：高音钢片琴、木琴、旋律钟组。</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5、鼓：堂鼓、大鼓、小军鼓、儿童架子鼓。</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6、材质：塑料+纸。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771B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B143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3.00 </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B3D9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每班1套</w:t>
            </w:r>
          </w:p>
        </w:tc>
      </w:tr>
      <w:tr w14:paraId="5CB4C6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4439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45</w:t>
            </w: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AC7A41">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8A680">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图书材料</w:t>
            </w:r>
          </w:p>
        </w:tc>
        <w:tc>
          <w:tcPr>
            <w:tcW w:w="4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5640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1、各类绘本图书300本、不同职业手偶10个、小红帽指偶3套、小猪野餐模型1套、三只小猪指偶1套、停车场情景讲述玩具2套、故事机5个。质量需要符合幼儿使用相关标准。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2、材质：塑料+纸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4D04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8AA8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3.00 </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18DB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每班1套</w:t>
            </w:r>
          </w:p>
        </w:tc>
      </w:tr>
      <w:tr w14:paraId="2C432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5CB3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46</w:t>
            </w: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6728C1">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1CC2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玩具材料</w:t>
            </w:r>
          </w:p>
        </w:tc>
        <w:tc>
          <w:tcPr>
            <w:tcW w:w="4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1EC06">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包含但不限于双胞胎记忆图1套、扣扣棋1个、平面飞行棋1个、形状游戏1个、立体棋1个、等积异形板1套、排序玩具1套、用筷子玩具1套、80-120块拼图10个、叠高玩具1套、多层拼图5个、落椅子1套、思维训练板1套、思维训练分类盒1套、彩虹积木2套、木质时钟玩具2个等。质量需要符合幼儿使用相关标准。                          2、包含但不限于传声器1个、听声音分类游戏1套、声控玩具2个、液态万花筒1个、液态万花筒1个、多面镜1个、自发电玩具1个、电子积木1套、木质抽棍玩具1个、轨道玩具2个、月亮平衡2个、平恒豆1套、甩干机5个、浮力玩具1个、88轨道1个、磁力车4辆、空气车2辆、发条车5辆、透明色板1套、大小齿轮套组1套、温感器1个、摩擦棍2个。</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3、自然物：植物标本、动物标本、沙石、虫鱼、花草。</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4、探究物：磁块、皮毛、丝绸、透明色板、小弹簧、摩擦棍。</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5、模型：人体器官模型、常见家禽家畜模型、野生动植物模型等。质量需要符合幼儿使用相关标准。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 xml:space="preserve">6、材质：塑料+木质。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EF61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73C2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3.00 </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240C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每班1套</w:t>
            </w:r>
          </w:p>
        </w:tc>
      </w:tr>
      <w:tr w14:paraId="71DC4B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91F6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47</w:t>
            </w: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9D2C4F">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DDD36">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积木材料</w:t>
            </w:r>
          </w:p>
        </w:tc>
        <w:tc>
          <w:tcPr>
            <w:tcW w:w="4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06AD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1、包含但不限于警察系列拼插玩具1套、乐宝积木1套、交通运输类塑料积木1套、大型木制积木1套、磁力片300片以上1套、磁力拼接车1套、扭扭棒1套等。质量需要符合幼儿使用相关标准。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2、材质：塑料。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82B9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9AED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3.00 </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AB12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每班1套</w:t>
            </w:r>
          </w:p>
        </w:tc>
      </w:tr>
      <w:tr w14:paraId="543B01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9C13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48</w:t>
            </w: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C51BF6">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25FD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家庭材料</w:t>
            </w:r>
          </w:p>
        </w:tc>
        <w:tc>
          <w:tcPr>
            <w:tcW w:w="4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FC76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1、美味厨房（多功能仿真灶台、分类调料瓶、仿真平底锅、双耳锅、仿真叉具、仿真圆头铲、仿真梯形铲）。</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2、欢乐汉堡（冰爽可乐、薯条盒、精致薯条、调味酱包、快餐鱼片、汉堡盒、巨无霸汉堡）。</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3、营养早餐（早餐托盘、茶叶罐、水壶、早餐茶勺、早餐茶匙、早餐茶杯、大茶壶、茶壶底座）。</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4、趣味梳妆台（仿真实用梳妆台、迷你吹风机、魔力美梳、便携镜子、指甲油瓶、眼影盒、粉色口红、橙色口红）。</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 xml:space="preserve">5、美味火锅（电磁炉、菜板、火锅、果蔬刀、火锅铲勺、洋葱、火锅西红柿、火锅香菇、火锅虾肉、荷包蛋、螃蟹、小鱼）。质量需要符合幼儿使用相关标准。                 </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6、包含但不限于麦克录音机2个、不同职业服饰各5套（消防员、教师、医生、快递员、厨师等）、儿童吉他1个、立式麦克风1个、公主头饰5个、动物头饰10个、小蝌蚪找妈妈服装1套、彩带5个、话筒2个等，质量需要符合幼儿使用相关标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7、材质：塑料+金属。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D89A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5BEE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3.00 </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271A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每班1套</w:t>
            </w:r>
          </w:p>
        </w:tc>
      </w:tr>
      <w:tr w14:paraId="154912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DFFD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49</w:t>
            </w:r>
          </w:p>
        </w:tc>
        <w:tc>
          <w:tcPr>
            <w:tcW w:w="7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6DD05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大班活动区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C7E4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自然角</w:t>
            </w:r>
          </w:p>
        </w:tc>
        <w:tc>
          <w:tcPr>
            <w:tcW w:w="4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24CF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1、包含但不限于矿石标本1套、粮食家族标本1套、昆虫标本1套、植物标本1套、植物趋光盒等。质量需要符合幼儿使用相关标准。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2、材质：亚克力板。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7AC5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FA89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3.00 </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EC4C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每班1套</w:t>
            </w:r>
          </w:p>
        </w:tc>
      </w:tr>
      <w:tr w14:paraId="674BE8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93D6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w:t>
            </w: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44E5BF">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3D75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艺术材料</w:t>
            </w:r>
          </w:p>
        </w:tc>
        <w:tc>
          <w:tcPr>
            <w:tcW w:w="4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1207B">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1、包含但不限于剪刀30把、双面胶20卷、小水桶10个、白乳胶10瓶、 调色盘30个、多格调色盘30个、蘑菇拓印刷10套、美纹纸4卷、彩泥30套、皱纹纸8套、彩卡3套、黑卡4套、20张精装素描纸4套、100张精装、刮画纸5套（50张/包）、24色彩笔30套、毛绒球10套（2000粒/包）、8色扎染颜料8套、白色围巾10条、24色水粉颜料5盒、中外美术作品欣赏素材20张等。质量需要符合幼儿使用相关标准。              </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2、乐器：金属音色 碰钟、三角铁、中型铃鼓、铃鼓圈双手摇铃、手握式串铃、手指铜钹、铴锣、大镲（任选5种） 每种1-2件/类班均。</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3、木质音色：高低音棒子、木鱼、双响筒、打棒、舞板、沙锤、舞棒、枫机响棒、蛙鸣筒、雨声（任选5种） 。</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旋律乐器：小钟琴，电子琴，铝管琴，木音砖，中、低音木琴 1-2件/类班均。</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4、鼓类：手鼓、大军鼓、队鼓、架子鼓、堂鼓、定音鼓 。</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5、道具：服装类：动物服饰、民族服饰、戏剧、主题服装适量选择配备。</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6、材质：金属+塑料+纸+毛绒。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AFC1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C5B6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3.00 </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01EF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每班1套</w:t>
            </w:r>
          </w:p>
        </w:tc>
      </w:tr>
      <w:tr w14:paraId="330ED7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79AB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51</w:t>
            </w:r>
          </w:p>
        </w:tc>
        <w:tc>
          <w:tcPr>
            <w:tcW w:w="7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1B7B2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大班活动区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67BC3">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图书材料</w:t>
            </w:r>
          </w:p>
        </w:tc>
        <w:tc>
          <w:tcPr>
            <w:tcW w:w="4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1EBB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1、包含但不限于手偶20个、磁贴1盒、皇帝的新装指偶1套、蓝精灵指偶1套、白雪公主和七个小矮人摆件1套、家庭家俱组合8件套1套、故事机5个、语音相框等及图书绘本350本。质量需要符合幼儿使用相关标准。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2、材质：纸质+塑料。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012F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36AE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3.00 </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D921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每班1套</w:t>
            </w:r>
          </w:p>
        </w:tc>
      </w:tr>
      <w:tr w14:paraId="31FC20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0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776F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52</w:t>
            </w: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0DC903">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EC4F3">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玩具材料</w:t>
            </w:r>
          </w:p>
        </w:tc>
        <w:tc>
          <w:tcPr>
            <w:tcW w:w="4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F917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包含但不限于儿童扑克2盒、跳棋1盒、方格游戏1盒、眼明手快1盒、认识时间玩具及卡片1套、五颜六色玩具1套、俄罗斯方块玩具5盒、120-200块拼图10幅、创意积木片200片以上1套、装饰串珠分10种形状以上1盒、编织玩具1套、等分玩具1套、等量玩具1套、数独玩具1盒、疯狂科学家玩具1套、七色花数学玩具1套等。质量需要符合幼儿使用相关标准。                                         2、包含但不限于共振鼓1个、对讲机1组、分贝仪1个、拆装潜望镜1个、拆装万花筒1个、光学模块组1套、镜中猜1套、太阳能玩具1个、水果发电机1个、挑战者玩具1组、电路原件1组、磁浮环1组、磁悬浮陀螺1套、磁力魔方1个、液压玩具1套、砝码天平玩具1套、过山车玩具1个、小球轨道玩具1个、齿轮联动玩具1个、放大镜2个、木质日历套组1个、磁铁套装1组、指南针1个、寒暑表1个、风速计1个等。质量需要符合幼儿使用相关标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3、工具：信息类：地球仪、工具书、显微镜、图卡、寒暑假、日历(必备）。</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4、操作类： 计数材料（必备）、培养皿、试管、试管架、量杯、导管、镊子、磁棒、注射器、渔网、气囊虹吸管、电流表。</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5、材料：自然物：虫鱼，花草，植物，种子，矿石，木片，贝壳，化石（珊瑚、硅化木）。</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6、探究物：透镜（必备凹面、凸面、三棱镜），陀螺轴，u形磁铁，平镜片，金属丝，绝缘体，电珠，滑轮，透明色片，指南针。</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7、模型：人体器官模型，昆虫包埋标本，两栖动物、五谷杂粮标本，植物茎叶根模型，天文星空模型。</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 xml:space="preserve">8、材质：塑料+木质。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A9A5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AB75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3.00 </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712E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每班1套</w:t>
            </w:r>
          </w:p>
        </w:tc>
      </w:tr>
      <w:tr w14:paraId="61D85A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C932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53</w:t>
            </w: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D46F29">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DC693">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积木材料</w:t>
            </w:r>
          </w:p>
        </w:tc>
        <w:tc>
          <w:tcPr>
            <w:tcW w:w="4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A9F7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包含但不限于大型积木1套、消防员系列积木1套、葡萄积木200片以上1套、木质拼搭积木300片以上1套、大圣扣接积木1套、竹节棍积木200个以上1套、拧螺丝积木5个、磁力片300片以上1套等。质量需要符合幼儿使用相关标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2、材质：木质+塑料。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FF00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7443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3.00 </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7984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每班1套</w:t>
            </w:r>
          </w:p>
        </w:tc>
      </w:tr>
      <w:tr w14:paraId="291EF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A756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54</w:t>
            </w: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8E1BF1">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0B85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家庭材料</w:t>
            </w:r>
          </w:p>
        </w:tc>
        <w:tc>
          <w:tcPr>
            <w:tcW w:w="4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96786">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包含但不限于立麦1个、穆桂英服饰1套、花木兰服饰1套、闪闪红星服饰1套、不同职业服饰各6件套、汪汪队6件套1套、白雪公主与七个小矮人服饰1套、各民族服饰5套、纱由10条、女孩头饰10个、动物头饰10个、立式话筒2个等。质量需要符合幼儿使用相关标准。                </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2、美味厨房（多功能仿真灶台、分类调料瓶、仿真平底锅、双耳锅、仿真叉具、仿真圆头铲、仿真梯形铲）。</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3、欢乐汉堡（冰爽可乐、薯条盒、精致薯条、调味酱包、快餐鱼片、汉堡盒、巨无霸汉堡）。</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4、营养早餐（早餐托盘、茶叶罐、水壶、早餐茶勺、早餐茶匙、早餐茶杯、大茶壶、茶壶底座）。</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5、趣味梳妆台（仿真实用梳妆台、迷你吹风机、魔力美梳、便携镜子、指甲油瓶、眼影盒、粉色口红、橙色口红）。</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 xml:space="preserve">6、美味火锅（电磁炉、菜板、火锅、果蔬刀、火锅铲勺、洋葱、火锅西红柿、火锅香菇、火锅虾肉、荷包蛋、螃蟹、小鱼）。质量需要符合幼儿使用相关标准。      </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 xml:space="preserve">7、材质：塑料+布。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68CB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50F0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3.00 </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40F7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每班1套</w:t>
            </w:r>
          </w:p>
        </w:tc>
      </w:tr>
      <w:tr w14:paraId="4B92E9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4ADD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55</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EA3F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公共区域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5809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墙面玩具</w:t>
            </w:r>
          </w:p>
        </w:tc>
        <w:tc>
          <w:tcPr>
            <w:tcW w:w="4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CB9E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1、包含但不限于一层走廊为可操作性益智生活类墙面玩具，二层走廊为可操作性乐高拼插类墙面玩具，三层走廊为可操作性科学类墙面玩具等。质量需要符合幼儿使用相关标准。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2、材质：木质。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F537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1694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3.00 </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CF31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每层1套</w:t>
            </w:r>
          </w:p>
        </w:tc>
      </w:tr>
      <w:tr w14:paraId="6ABDD7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B373A">
            <w:pPr>
              <w:jc w:val="center"/>
              <w:rPr>
                <w:rFonts w:hint="eastAsia" w:ascii="宋体" w:hAnsi="宋体" w:eastAsia="宋体" w:cs="宋体"/>
                <w:i w:val="0"/>
                <w:iCs w:val="0"/>
                <w:color w:val="auto"/>
                <w:sz w:val="20"/>
                <w:szCs w:val="20"/>
                <w:u w:val="none"/>
              </w:rPr>
            </w:pP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B98C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六、9个班幼儿园玩教具类-室外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A75C3">
            <w:pPr>
              <w:rPr>
                <w:rFonts w:hint="eastAsia" w:ascii="宋体" w:hAnsi="宋体" w:eastAsia="宋体" w:cs="宋体"/>
                <w:i w:val="0"/>
                <w:iCs w:val="0"/>
                <w:color w:val="auto"/>
                <w:sz w:val="20"/>
                <w:szCs w:val="20"/>
                <w:u w:val="none"/>
              </w:rPr>
            </w:pPr>
          </w:p>
        </w:tc>
      </w:tr>
      <w:tr w14:paraId="536928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D63A3">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94C12">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 xml:space="preserve"> 分类 </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2A3EF">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 xml:space="preserve"> 物品名称 </w:t>
            </w:r>
          </w:p>
        </w:tc>
        <w:tc>
          <w:tcPr>
            <w:tcW w:w="4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D47DC">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 xml:space="preserve"> 参数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BE65C">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 xml:space="preserve"> 单位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E82D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2EE4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备注</w:t>
            </w:r>
          </w:p>
        </w:tc>
      </w:tr>
      <w:tr w14:paraId="3718B6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FF19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ECAD0">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中型玩具</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ED42A">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中型组合玩具</w:t>
            </w:r>
          </w:p>
        </w:tc>
        <w:tc>
          <w:tcPr>
            <w:tcW w:w="4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0B8D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1、包括但不限于安吉玩具32件套2组、方块创意积木、户外碳化木质组合攀爬梯、变形几何大套餐。</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2、材质：木质+PVC。</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6B6C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6DFD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39FDF">
            <w:pPr>
              <w:rPr>
                <w:rFonts w:hint="eastAsia" w:ascii="宋体" w:hAnsi="宋体" w:eastAsia="宋体" w:cs="宋体"/>
                <w:i w:val="0"/>
                <w:iCs w:val="0"/>
                <w:color w:val="auto"/>
                <w:sz w:val="20"/>
                <w:szCs w:val="20"/>
                <w:u w:val="none"/>
              </w:rPr>
            </w:pPr>
          </w:p>
        </w:tc>
      </w:tr>
      <w:tr w14:paraId="428431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C859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57</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BF95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小型玩具</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13AB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车类</w:t>
            </w:r>
          </w:p>
        </w:tc>
        <w:tc>
          <w:tcPr>
            <w:tcW w:w="4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B4F7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sz w:val="20"/>
                <w:szCs w:val="20"/>
                <w:u w:val="none"/>
                <w:lang w:val="en-US" w:eastAsia="zh-CN"/>
              </w:rPr>
              <w:t>（1）儿童三轮车15辆、独轮手推车15辆、双人脚踏车5辆</w:t>
            </w:r>
            <w:r>
              <w:rPr>
                <w:rFonts w:hint="eastAsia" w:ascii="宋体" w:hAnsi="宋体" w:eastAsia="宋体" w:cs="宋体"/>
                <w:i w:val="0"/>
                <w:iCs w:val="0"/>
                <w:color w:val="auto"/>
                <w:sz w:val="20"/>
                <w:szCs w:val="20"/>
                <w:u w:val="none"/>
              </w:rPr>
              <w:t>。</w:t>
            </w:r>
          </w:p>
          <w:p w14:paraId="7D8D8EE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sz w:val="20"/>
                <w:szCs w:val="20"/>
                <w:u w:val="none"/>
                <w:lang w:val="en-US" w:eastAsia="zh-CN"/>
              </w:rPr>
              <w:t>（2）材质：金属+橡胶+塑料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1BB9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4212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35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DDC40">
            <w:pPr>
              <w:rPr>
                <w:rFonts w:hint="eastAsia" w:ascii="宋体" w:hAnsi="宋体" w:eastAsia="宋体" w:cs="宋体"/>
                <w:i w:val="0"/>
                <w:iCs w:val="0"/>
                <w:color w:val="auto"/>
                <w:sz w:val="20"/>
                <w:szCs w:val="20"/>
                <w:u w:val="none"/>
              </w:rPr>
            </w:pPr>
          </w:p>
        </w:tc>
      </w:tr>
      <w:tr w14:paraId="295628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3740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58</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F6BC3">
            <w:pPr>
              <w:jc w:val="center"/>
              <w:rPr>
                <w:rFonts w:hint="eastAsia" w:ascii="宋体" w:hAnsi="宋体" w:eastAsia="宋体" w:cs="宋体"/>
                <w:i w:val="0"/>
                <w:iCs w:val="0"/>
                <w:color w:val="auto"/>
                <w:sz w:val="20"/>
                <w:szCs w:val="20"/>
                <w:u w:val="none"/>
              </w:rPr>
            </w:pP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669C6">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平衡类</w:t>
            </w:r>
          </w:p>
        </w:tc>
        <w:tc>
          <w:tcPr>
            <w:tcW w:w="4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1044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1、包括但不限于平衡车10辆，摇摇马10个，平衡触觉板2套，乌龟壳旋转盘5个，大龙球5个、感统平衡滑板车、七星瓢虫滑板车10个等。</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2、材质：金属+橡胶+塑料。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466E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4844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42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FD7E8">
            <w:pPr>
              <w:rPr>
                <w:rFonts w:hint="eastAsia" w:ascii="宋体" w:hAnsi="宋体" w:eastAsia="宋体" w:cs="宋体"/>
                <w:i w:val="0"/>
                <w:iCs w:val="0"/>
                <w:color w:val="auto"/>
                <w:sz w:val="20"/>
                <w:szCs w:val="20"/>
                <w:u w:val="none"/>
              </w:rPr>
            </w:pPr>
          </w:p>
        </w:tc>
      </w:tr>
      <w:tr w14:paraId="0A5AB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9B5F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59</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B43F5">
            <w:pPr>
              <w:jc w:val="center"/>
              <w:rPr>
                <w:rFonts w:hint="eastAsia" w:ascii="宋体" w:hAnsi="宋体" w:eastAsia="宋体" w:cs="宋体"/>
                <w:i w:val="0"/>
                <w:iCs w:val="0"/>
                <w:color w:val="auto"/>
                <w:sz w:val="20"/>
                <w:szCs w:val="20"/>
                <w:u w:val="none"/>
              </w:rPr>
            </w:pP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F3A8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圈类</w:t>
            </w:r>
          </w:p>
        </w:tc>
        <w:tc>
          <w:tcPr>
            <w:tcW w:w="4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81C4A">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1、包括但不限于小班用呼啦圈30个（直径50CM），中班呼啦圈30个（直径70CM）圈，大班用呼啦圈30个（直径90CM）。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2、材质：塑料。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2C39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7D03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B1279">
            <w:pPr>
              <w:rPr>
                <w:rFonts w:hint="eastAsia" w:ascii="宋体" w:hAnsi="宋体" w:eastAsia="宋体" w:cs="宋体"/>
                <w:i w:val="0"/>
                <w:iCs w:val="0"/>
                <w:color w:val="auto"/>
                <w:sz w:val="20"/>
                <w:szCs w:val="20"/>
                <w:u w:val="none"/>
              </w:rPr>
            </w:pPr>
          </w:p>
        </w:tc>
      </w:tr>
      <w:tr w14:paraId="5DC95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129E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60</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F3FCF">
            <w:pPr>
              <w:jc w:val="center"/>
              <w:rPr>
                <w:rFonts w:hint="eastAsia" w:ascii="宋体" w:hAnsi="宋体" w:eastAsia="宋体" w:cs="宋体"/>
                <w:i w:val="0"/>
                <w:iCs w:val="0"/>
                <w:color w:val="auto"/>
                <w:sz w:val="20"/>
                <w:szCs w:val="20"/>
                <w:u w:val="none"/>
              </w:rPr>
            </w:pP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62B7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钻爬类</w:t>
            </w:r>
          </w:p>
        </w:tc>
        <w:tc>
          <w:tcPr>
            <w:tcW w:w="4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6FD56">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1、包括但不限于钻筒2组（4通4个、三通5个、2通6个）,滑溜布2个（18＊11M）、彩虹伞5个、两折叠垫子40个（100＊200＊5CM）、三折叠垫子40个（100＊200＊5CM）。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2、材质：金属+布+海棉。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FE1D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82E8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624AF">
            <w:pPr>
              <w:rPr>
                <w:rFonts w:hint="eastAsia" w:ascii="宋体" w:hAnsi="宋体" w:eastAsia="宋体" w:cs="宋体"/>
                <w:i w:val="0"/>
                <w:iCs w:val="0"/>
                <w:color w:val="auto"/>
                <w:sz w:val="20"/>
                <w:szCs w:val="20"/>
                <w:u w:val="none"/>
              </w:rPr>
            </w:pPr>
          </w:p>
        </w:tc>
      </w:tr>
      <w:tr w14:paraId="0A7B09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F4B6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20293">
            <w:pPr>
              <w:jc w:val="center"/>
              <w:rPr>
                <w:rFonts w:hint="eastAsia" w:ascii="宋体" w:hAnsi="宋体" w:eastAsia="宋体" w:cs="宋体"/>
                <w:i w:val="0"/>
                <w:iCs w:val="0"/>
                <w:color w:val="auto"/>
                <w:sz w:val="20"/>
                <w:szCs w:val="20"/>
                <w:u w:val="none"/>
              </w:rPr>
            </w:pP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7A3E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投掷类</w:t>
            </w:r>
          </w:p>
        </w:tc>
        <w:tc>
          <w:tcPr>
            <w:tcW w:w="4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9C49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1、包括但不限于立式投篮架8个、投把器4套，满足小中大班不同年龄幼儿使用。</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2、材质：塑料。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F0FD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9118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C1BE5">
            <w:pPr>
              <w:rPr>
                <w:rFonts w:hint="eastAsia" w:ascii="宋体" w:hAnsi="宋体" w:eastAsia="宋体" w:cs="宋体"/>
                <w:i w:val="0"/>
                <w:iCs w:val="0"/>
                <w:color w:val="auto"/>
                <w:sz w:val="20"/>
                <w:szCs w:val="20"/>
                <w:u w:val="none"/>
              </w:rPr>
            </w:pPr>
          </w:p>
        </w:tc>
      </w:tr>
      <w:tr w14:paraId="7BF040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B02B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648A9">
            <w:pPr>
              <w:jc w:val="center"/>
              <w:rPr>
                <w:rFonts w:hint="eastAsia" w:ascii="宋体" w:hAnsi="宋体" w:eastAsia="宋体" w:cs="宋体"/>
                <w:i w:val="0"/>
                <w:iCs w:val="0"/>
                <w:color w:val="auto"/>
                <w:sz w:val="20"/>
                <w:szCs w:val="20"/>
                <w:u w:val="none"/>
              </w:rPr>
            </w:pP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F6CC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跳跃类</w:t>
            </w:r>
          </w:p>
        </w:tc>
        <w:tc>
          <w:tcPr>
            <w:tcW w:w="4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5B94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1、包括但不限于跳袋80个、高低跨栏5套，锥形桶16套、软绳梯10个、青蛙跳器械弹跳20个、跳箱2套、动物世界跳跳袋。</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2、材质：布+塑料+绳+PU+海棉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808A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2056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D1F2D">
            <w:pPr>
              <w:rPr>
                <w:rFonts w:hint="eastAsia" w:ascii="宋体" w:hAnsi="宋体" w:eastAsia="宋体" w:cs="宋体"/>
                <w:i w:val="0"/>
                <w:iCs w:val="0"/>
                <w:color w:val="auto"/>
                <w:sz w:val="20"/>
                <w:szCs w:val="20"/>
                <w:u w:val="none"/>
              </w:rPr>
            </w:pPr>
          </w:p>
        </w:tc>
      </w:tr>
      <w:tr w14:paraId="4C3E11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154F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9DF1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小型玩具</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0C25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情景类</w:t>
            </w:r>
          </w:p>
        </w:tc>
        <w:tc>
          <w:tcPr>
            <w:tcW w:w="4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C243B">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1、包括但不限于交通标识2套、双人游戏鞋20双、12米迷宫、二人抬西瓜担架10个、多彩吊桥儿童彩虹桥10米2套、充气毛毛虫儿童10人款3套。</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2、材质：塑料+布。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4657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9879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8D79B">
            <w:pPr>
              <w:rPr>
                <w:rFonts w:hint="eastAsia" w:ascii="宋体" w:hAnsi="宋体" w:eastAsia="宋体" w:cs="宋体"/>
                <w:i w:val="0"/>
                <w:iCs w:val="0"/>
                <w:color w:val="auto"/>
                <w:sz w:val="20"/>
                <w:szCs w:val="20"/>
                <w:u w:val="none"/>
              </w:rPr>
            </w:pPr>
          </w:p>
        </w:tc>
      </w:tr>
      <w:tr w14:paraId="66B51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B2C0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64</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231B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小型玩具</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665E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手持类</w:t>
            </w:r>
          </w:p>
        </w:tc>
        <w:tc>
          <w:tcPr>
            <w:tcW w:w="4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10B80">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1、包括但不限于沙包80个，软飞盘60个，毽子80个，铁环36套，空竹60套，竹竿8套、彩绸80对，接力棒10套等，每类满足一个班同时使用。</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2、材质：布+沙+塑料+金属。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97F9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C21B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BC42E">
            <w:pPr>
              <w:rPr>
                <w:rFonts w:hint="eastAsia" w:ascii="宋体" w:hAnsi="宋体" w:eastAsia="宋体" w:cs="宋体"/>
                <w:i w:val="0"/>
                <w:iCs w:val="0"/>
                <w:color w:val="auto"/>
                <w:sz w:val="20"/>
                <w:szCs w:val="20"/>
                <w:u w:val="none"/>
              </w:rPr>
            </w:pPr>
          </w:p>
        </w:tc>
      </w:tr>
      <w:tr w14:paraId="4A3380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0222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65</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AF935">
            <w:pPr>
              <w:jc w:val="center"/>
              <w:rPr>
                <w:rFonts w:hint="eastAsia" w:ascii="宋体" w:hAnsi="宋体" w:eastAsia="宋体" w:cs="宋体"/>
                <w:i w:val="0"/>
                <w:iCs w:val="0"/>
                <w:color w:val="auto"/>
                <w:sz w:val="20"/>
                <w:szCs w:val="20"/>
                <w:u w:val="none"/>
              </w:rPr>
            </w:pP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6082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其他</w:t>
            </w:r>
          </w:p>
        </w:tc>
        <w:tc>
          <w:tcPr>
            <w:tcW w:w="4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4548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1、包括但不限于万象组合 3套，器械操使用持物（花棍150对、有声手环150对、哑铃150对）可用于户外活动的器械。</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2、材质：塑料。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A6A9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32B1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787E3">
            <w:pPr>
              <w:rPr>
                <w:rFonts w:hint="eastAsia" w:ascii="宋体" w:hAnsi="宋体" w:eastAsia="宋体" w:cs="宋体"/>
                <w:i w:val="0"/>
                <w:iCs w:val="0"/>
                <w:color w:val="auto"/>
                <w:sz w:val="20"/>
                <w:szCs w:val="20"/>
                <w:u w:val="none"/>
              </w:rPr>
            </w:pPr>
          </w:p>
        </w:tc>
      </w:tr>
      <w:tr w14:paraId="6B27DD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CDED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66</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2621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玩具收纳柜</w:t>
            </w:r>
          </w:p>
        </w:tc>
        <w:tc>
          <w:tcPr>
            <w:tcW w:w="4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D1483">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1、包括但不限于每班一组（300*65CM）。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2、材质：塑料。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7C13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F231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15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D0E46">
            <w:pPr>
              <w:rPr>
                <w:rFonts w:hint="eastAsia" w:ascii="宋体" w:hAnsi="宋体" w:eastAsia="宋体" w:cs="宋体"/>
                <w:i w:val="0"/>
                <w:iCs w:val="0"/>
                <w:color w:val="auto"/>
                <w:sz w:val="20"/>
                <w:szCs w:val="20"/>
                <w:u w:val="none"/>
              </w:rPr>
            </w:pPr>
          </w:p>
        </w:tc>
      </w:tr>
      <w:tr w14:paraId="454E12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7568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67</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3167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户外大型搭建积木</w:t>
            </w:r>
          </w:p>
        </w:tc>
        <w:tc>
          <w:tcPr>
            <w:tcW w:w="4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6656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1、包括180片拼插塑料积木。</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2、材质：塑料。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7DA5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5A88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18448">
            <w:pPr>
              <w:rPr>
                <w:rFonts w:hint="eastAsia" w:ascii="宋体" w:hAnsi="宋体" w:eastAsia="宋体" w:cs="宋体"/>
                <w:i w:val="0"/>
                <w:iCs w:val="0"/>
                <w:color w:val="auto"/>
                <w:sz w:val="20"/>
                <w:szCs w:val="20"/>
                <w:u w:val="none"/>
              </w:rPr>
            </w:pPr>
          </w:p>
        </w:tc>
      </w:tr>
      <w:tr w14:paraId="2661C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2664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68</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C0CD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球类收纳架</w:t>
            </w:r>
          </w:p>
        </w:tc>
        <w:tc>
          <w:tcPr>
            <w:tcW w:w="4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28F5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1、尺寸：139cm*38cm*131cm。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2、材质：优质钢材。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1CC3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8FE3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3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2EB25">
            <w:pPr>
              <w:rPr>
                <w:rFonts w:hint="eastAsia" w:ascii="宋体" w:hAnsi="宋体" w:eastAsia="宋体" w:cs="宋体"/>
                <w:i w:val="0"/>
                <w:iCs w:val="0"/>
                <w:color w:val="auto"/>
                <w:sz w:val="20"/>
                <w:szCs w:val="20"/>
                <w:u w:val="none"/>
              </w:rPr>
            </w:pPr>
          </w:p>
        </w:tc>
      </w:tr>
    </w:tbl>
    <w:p w14:paraId="75ADAB7B">
      <w:pPr>
        <w:rPr>
          <w:color w:val="auto"/>
        </w:rPr>
      </w:pPr>
    </w:p>
    <w:p w14:paraId="252B2C28">
      <w:pPr>
        <w:rPr>
          <w:rFonts w:hint="eastAsia" w:ascii="宋体" w:hAnsi="宋体" w:eastAsia="宋体" w:cs="宋体"/>
          <w:b/>
          <w:color w:val="auto"/>
          <w:sz w:val="52"/>
          <w:szCs w:val="52"/>
          <w:highlight w:val="none"/>
          <w:lang w:val="en-US" w:eastAsia="zh-CN"/>
        </w:rPr>
      </w:pPr>
      <w:r>
        <w:rPr>
          <w:rFonts w:hint="eastAsia" w:ascii="宋体" w:hAnsi="宋体" w:eastAsia="宋体" w:cs="宋体"/>
          <w:b/>
          <w:color w:val="auto"/>
          <w:sz w:val="52"/>
          <w:szCs w:val="52"/>
          <w:highlight w:val="none"/>
          <w:lang w:val="en-US" w:eastAsia="zh-CN"/>
        </w:rPr>
        <w:br w:type="page"/>
      </w:r>
    </w:p>
    <w:p w14:paraId="3C8062D9">
      <w:pPr>
        <w:jc w:val="center"/>
        <w:rPr>
          <w:rFonts w:hint="eastAsia" w:ascii="宋体" w:hAnsi="宋体" w:eastAsia="宋体" w:cs="宋体"/>
          <w:b/>
          <w:color w:val="auto"/>
          <w:sz w:val="52"/>
          <w:szCs w:val="52"/>
          <w:highlight w:val="none"/>
          <w:lang w:val="en-US" w:eastAsia="zh-CN"/>
        </w:rPr>
      </w:pPr>
      <w:r>
        <w:rPr>
          <w:rFonts w:hint="eastAsia" w:ascii="宋体" w:hAnsi="宋体" w:eastAsia="宋体" w:cs="宋体"/>
          <w:b/>
          <w:color w:val="auto"/>
          <w:sz w:val="52"/>
          <w:szCs w:val="52"/>
          <w:highlight w:val="none"/>
          <w:lang w:val="en-US" w:eastAsia="zh-CN"/>
        </w:rPr>
        <w:t>C包：办公用品</w:t>
      </w:r>
    </w:p>
    <w:tbl>
      <w:tblPr>
        <w:tblStyle w:val="23"/>
        <w:tblW w:w="814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16"/>
        <w:gridCol w:w="660"/>
        <w:gridCol w:w="4050"/>
        <w:gridCol w:w="780"/>
        <w:gridCol w:w="795"/>
        <w:gridCol w:w="1248"/>
      </w:tblGrid>
      <w:tr w14:paraId="0B8BA9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8149" w:type="dxa"/>
            <w:gridSpan w:val="6"/>
            <w:tcBorders>
              <w:top w:val="nil"/>
              <w:left w:val="nil"/>
              <w:bottom w:val="nil"/>
              <w:right w:val="nil"/>
            </w:tcBorders>
            <w:shd w:val="clear" w:color="auto" w:fill="auto"/>
            <w:noWrap/>
            <w:vAlign w:val="center"/>
          </w:tcPr>
          <w:p w14:paraId="0B09E5F3">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办公用品清单</w:t>
            </w:r>
          </w:p>
        </w:tc>
      </w:tr>
      <w:tr w14:paraId="64F17D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40" w:type="dxa"/>
            <w:gridSpan w:val="5"/>
            <w:tcBorders>
              <w:top w:val="single" w:color="000000" w:sz="4" w:space="0"/>
              <w:left w:val="single" w:color="000000" w:sz="4" w:space="0"/>
              <w:bottom w:val="single" w:color="000000" w:sz="4" w:space="0"/>
              <w:right w:val="nil"/>
            </w:tcBorders>
            <w:shd w:val="clear" w:color="auto" w:fill="auto"/>
            <w:vAlign w:val="center"/>
          </w:tcPr>
          <w:p w14:paraId="4933AE7D">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一、安保防卫设备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C7CAB">
            <w:pPr>
              <w:rPr>
                <w:rFonts w:hint="eastAsia" w:ascii="宋体" w:hAnsi="宋体" w:eastAsia="宋体" w:cs="宋体"/>
                <w:i w:val="0"/>
                <w:iCs w:val="0"/>
                <w:color w:val="auto"/>
                <w:sz w:val="20"/>
                <w:szCs w:val="20"/>
                <w:u w:val="none"/>
              </w:rPr>
            </w:pPr>
          </w:p>
        </w:tc>
      </w:tr>
      <w:tr w14:paraId="6DE461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7190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序号</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2DBD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货物名称</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6F19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规格型号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96DE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单位</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C4AF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03D4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备注</w:t>
            </w:r>
          </w:p>
        </w:tc>
      </w:tr>
      <w:tr w14:paraId="3B296B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3211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D85D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防刺手套</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DF9F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1、符合《GA614-2006警用防割手套》相关规定；                                    2、材质：由高强纤维包覆不锈钢丝的包芯纱织成；                                    </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3、耐切割系数：2.52；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5357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97DC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E3B8B">
            <w:pPr>
              <w:rPr>
                <w:rFonts w:hint="eastAsia" w:ascii="宋体" w:hAnsi="宋体" w:eastAsia="宋体" w:cs="宋体"/>
                <w:i w:val="0"/>
                <w:iCs w:val="0"/>
                <w:color w:val="auto"/>
                <w:sz w:val="20"/>
                <w:szCs w:val="20"/>
                <w:u w:val="none"/>
              </w:rPr>
            </w:pPr>
          </w:p>
        </w:tc>
      </w:tr>
      <w:tr w14:paraId="43C276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0C9D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373B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防护盾牌</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37C1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1、符合《GA422-2008防暴盾牌》有关要求；                                         2、材质：3.5mm厚PC材料制成；</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3、防暴盾牌宽度： 0.51m；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4、防护面积： 0.46㎡；</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5、重量：2.49KG；</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6、透光率：84.8%；</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7、耐冲击强度：147J动能冲击符合标准；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8、耐穿刺性能：147J动能穿刺符合标准；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9、握把连接强度：≥500N；臂带连接强度：≥500N；</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93C2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2850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16A30">
            <w:pPr>
              <w:rPr>
                <w:rFonts w:hint="eastAsia" w:ascii="宋体" w:hAnsi="宋体" w:eastAsia="宋体" w:cs="宋体"/>
                <w:i w:val="0"/>
                <w:iCs w:val="0"/>
                <w:color w:val="auto"/>
                <w:sz w:val="20"/>
                <w:szCs w:val="20"/>
                <w:u w:val="none"/>
              </w:rPr>
            </w:pPr>
          </w:p>
        </w:tc>
      </w:tr>
      <w:tr w14:paraId="637BE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6F10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B16D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防暴头盔</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DECE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1、材质：PC+ABS合金；抗冲击、耐化学试剂。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587F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FFA6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75377">
            <w:pPr>
              <w:rPr>
                <w:rFonts w:hint="eastAsia" w:ascii="宋体" w:hAnsi="宋体" w:eastAsia="宋体" w:cs="宋体"/>
                <w:i w:val="0"/>
                <w:iCs w:val="0"/>
                <w:color w:val="auto"/>
                <w:sz w:val="20"/>
                <w:szCs w:val="20"/>
                <w:u w:val="none"/>
              </w:rPr>
            </w:pPr>
          </w:p>
        </w:tc>
      </w:tr>
      <w:tr w14:paraId="192012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2D22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214E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长短橡质棍</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6DE5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1、材质：外橡胶，内为合金弹簧；</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2、尺寸：Φ38mm*480mm。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A79B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BDED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99476">
            <w:pPr>
              <w:rPr>
                <w:rFonts w:hint="eastAsia" w:ascii="宋体" w:hAnsi="宋体" w:eastAsia="宋体" w:cs="宋体"/>
                <w:i w:val="0"/>
                <w:iCs w:val="0"/>
                <w:color w:val="auto"/>
                <w:sz w:val="20"/>
                <w:szCs w:val="20"/>
                <w:u w:val="none"/>
              </w:rPr>
            </w:pPr>
          </w:p>
        </w:tc>
      </w:tr>
      <w:tr w14:paraId="1A501D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88F1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7256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钢叉</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B03A6">
            <w:pPr>
              <w:keepNext w:val="0"/>
              <w:keepLines w:val="0"/>
              <w:widowControl/>
              <w:suppressLineNumbers w:val="0"/>
              <w:spacing w:after="200" w:afterAutospacing="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1、材质‌：不锈钢（主流）或铝合金（轻量化）‌；</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2、长度‌：伸缩款：1.2米~1.6米（可调节）‌。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5BD6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785F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EE9F1">
            <w:pPr>
              <w:rPr>
                <w:rFonts w:hint="eastAsia" w:ascii="宋体" w:hAnsi="宋体" w:eastAsia="宋体" w:cs="宋体"/>
                <w:i w:val="0"/>
                <w:iCs w:val="0"/>
                <w:color w:val="auto"/>
                <w:sz w:val="20"/>
                <w:szCs w:val="20"/>
                <w:u w:val="none"/>
              </w:rPr>
            </w:pPr>
          </w:p>
        </w:tc>
      </w:tr>
      <w:tr w14:paraId="28A0AA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71ED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5D3F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强光电筒</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A1D6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 符合《GA883-2010公安单警装备 警用强光手电》标准配置：电筒一支,18650锂电池一支,车载充器一个、座式充电器；2、 强光手电总重量（含电池）：200g；</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 尺寸：总长度150.0mm，握柄直径27.0mm，头盖外径35.0mm，挂绳长度156.0mm，电池直径18.6mm，电池长度70.0mm；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 提供三种照明方式，强光、弱光、爆闪光；</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 前端有攻击头，具有攻击致痛、制服作用；强光筒体采铝合金材质；</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6、 灯泡采用3W LED灯。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801F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6AE9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607FE">
            <w:pPr>
              <w:rPr>
                <w:rFonts w:hint="eastAsia" w:ascii="宋体" w:hAnsi="宋体" w:eastAsia="宋体" w:cs="宋体"/>
                <w:i w:val="0"/>
                <w:iCs w:val="0"/>
                <w:color w:val="auto"/>
                <w:sz w:val="20"/>
                <w:szCs w:val="20"/>
                <w:u w:val="none"/>
              </w:rPr>
            </w:pPr>
          </w:p>
        </w:tc>
      </w:tr>
      <w:tr w14:paraId="22ADB8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2626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379D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自卫喷雾剂</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6FEB0">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1、符合《GA884-2010公安单警装备 警用催泪喷射器》相关规定；</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2、结构：由罐体、袋阀组件、催泪器溶液、喷射组件和保护帽组成；</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3、成份：CS；含量：3%-5%，110ml，不解体、不爆裂、不泄露，保质期3年。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E768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7926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46C8A">
            <w:pPr>
              <w:rPr>
                <w:rFonts w:hint="eastAsia" w:ascii="宋体" w:hAnsi="宋体" w:eastAsia="宋体" w:cs="宋体"/>
                <w:i w:val="0"/>
                <w:iCs w:val="0"/>
                <w:color w:val="auto"/>
                <w:sz w:val="20"/>
                <w:szCs w:val="20"/>
                <w:u w:val="none"/>
              </w:rPr>
            </w:pPr>
          </w:p>
        </w:tc>
      </w:tr>
      <w:tr w14:paraId="0037A3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6268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3CF5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防刺背心</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50A1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1、基材‌：超高强纤维（如UHMWPE或芳纶）复合层压工艺‌</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2、防护能力‌：可抵御20J动能穿刺（符合GA 68-2019《防刺服》标准）‌。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2F2B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37EA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E64B7">
            <w:pPr>
              <w:rPr>
                <w:rFonts w:hint="eastAsia" w:ascii="宋体" w:hAnsi="宋体" w:eastAsia="宋体" w:cs="宋体"/>
                <w:i w:val="0"/>
                <w:iCs w:val="0"/>
                <w:color w:val="auto"/>
                <w:sz w:val="20"/>
                <w:szCs w:val="20"/>
                <w:u w:val="none"/>
              </w:rPr>
            </w:pPr>
          </w:p>
        </w:tc>
      </w:tr>
      <w:tr w14:paraId="3C4C01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FD10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766B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装备组合架</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E281B">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1、长110CM、宽40CM、高113CM；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2、材质：金属，可拆卸的，便于收纳。可放置钢叉、盾牌、防刺服等，牢固可靠。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2316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BCEA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55FEF">
            <w:pPr>
              <w:rPr>
                <w:rFonts w:hint="eastAsia" w:ascii="宋体" w:hAnsi="宋体" w:eastAsia="宋体" w:cs="宋体"/>
                <w:i w:val="0"/>
                <w:iCs w:val="0"/>
                <w:color w:val="auto"/>
                <w:sz w:val="20"/>
                <w:szCs w:val="20"/>
                <w:u w:val="none"/>
              </w:rPr>
            </w:pPr>
          </w:p>
        </w:tc>
      </w:tr>
      <w:tr w14:paraId="76BD7D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76B8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D6FD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办公桌、椅</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95C3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1、办公桌尺寸：1200*60*90，一桌一椅，椅子人体工学设计，透气网布；</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99F5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ACF5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BA179">
            <w:pPr>
              <w:rPr>
                <w:rFonts w:hint="eastAsia" w:ascii="宋体" w:hAnsi="宋体" w:eastAsia="宋体" w:cs="宋体"/>
                <w:i w:val="0"/>
                <w:iCs w:val="0"/>
                <w:color w:val="auto"/>
                <w:sz w:val="20"/>
                <w:szCs w:val="20"/>
                <w:u w:val="none"/>
              </w:rPr>
            </w:pPr>
          </w:p>
        </w:tc>
      </w:tr>
      <w:tr w14:paraId="1B5524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6D7B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1A0E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文件柜</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3A7EB">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1、多层铁皮文件柜：1850*850*400，</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★2、为保护人身安全，要求出具经MA、ilac-MRA、CNAS认证的检测报告中要求检出限值（mg/kg)：砷≤2.5、钡≤5、镉≤3、铬≤5、汞≤5、铅≤5、锑≤5、硒≤5；提供检测报告复印件并盖公章。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91E2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B69D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923CE">
            <w:pPr>
              <w:rPr>
                <w:rFonts w:hint="eastAsia" w:ascii="宋体" w:hAnsi="宋体" w:eastAsia="宋体" w:cs="宋体"/>
                <w:i w:val="0"/>
                <w:iCs w:val="0"/>
                <w:color w:val="auto"/>
                <w:sz w:val="20"/>
                <w:szCs w:val="20"/>
                <w:u w:val="none"/>
              </w:rPr>
            </w:pPr>
          </w:p>
        </w:tc>
      </w:tr>
      <w:tr w14:paraId="456704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6E20D">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二、保健、观察与隔离室设施设备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DAD50">
            <w:pPr>
              <w:rPr>
                <w:rFonts w:hint="eastAsia" w:ascii="宋体" w:hAnsi="宋体" w:eastAsia="宋体" w:cs="宋体"/>
                <w:i w:val="0"/>
                <w:iCs w:val="0"/>
                <w:color w:val="auto"/>
                <w:sz w:val="20"/>
                <w:szCs w:val="20"/>
                <w:u w:val="none"/>
              </w:rPr>
            </w:pPr>
          </w:p>
        </w:tc>
      </w:tr>
      <w:tr w14:paraId="1A3029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4505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序号</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5DFF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货品名称</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7211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规格型号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13BD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84A7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64D1A">
            <w:pPr>
              <w:rPr>
                <w:rFonts w:hint="eastAsia" w:ascii="宋体" w:hAnsi="宋体" w:eastAsia="宋体" w:cs="宋体"/>
                <w:i w:val="0"/>
                <w:iCs w:val="0"/>
                <w:color w:val="auto"/>
                <w:sz w:val="20"/>
                <w:szCs w:val="20"/>
                <w:u w:val="none"/>
              </w:rPr>
            </w:pPr>
          </w:p>
        </w:tc>
      </w:tr>
      <w:tr w14:paraId="6587B7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5F31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C303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药品柜</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A408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1、多层铁皮文件柜：1850*850*400；</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★2、为保护人身安全，要求出具经MA、ilac-MRA、CNAS认证的检测报告中要求检出限值（mg/kg)：砷≤2.5、钡≤5、镉≤5、铬≤5、汞≤5、铅≤5、锑≤5、硒≤5；提供检测报告复印件并盖公章。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BB94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08C0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A5113">
            <w:pPr>
              <w:rPr>
                <w:rFonts w:hint="eastAsia" w:ascii="宋体" w:hAnsi="宋体" w:eastAsia="宋体" w:cs="宋体"/>
                <w:i w:val="0"/>
                <w:iCs w:val="0"/>
                <w:color w:val="auto"/>
                <w:sz w:val="20"/>
                <w:szCs w:val="20"/>
                <w:u w:val="none"/>
              </w:rPr>
            </w:pPr>
          </w:p>
        </w:tc>
      </w:tr>
      <w:tr w14:paraId="5C6F8E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A22E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A927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保健资料柜</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3B4DB">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1、多层铁皮文件柜：1850*850*400；</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★2、为保护人身安全，要求出具经MA、ilac-MRA、CNAS认证的检测报告中要求检出限值（mg/kg)：砷≤2.5、钡≤5、镉≤5、铬≤5、汞≤5、铅≤5、锑≤5、硒≤5；提供检测报告复印件并盖公章。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3995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D594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3971E">
            <w:pPr>
              <w:rPr>
                <w:rFonts w:hint="eastAsia" w:ascii="宋体" w:hAnsi="宋体" w:eastAsia="宋体" w:cs="宋体"/>
                <w:i w:val="0"/>
                <w:iCs w:val="0"/>
                <w:color w:val="auto"/>
                <w:sz w:val="20"/>
                <w:szCs w:val="20"/>
                <w:u w:val="none"/>
              </w:rPr>
            </w:pPr>
          </w:p>
        </w:tc>
      </w:tr>
      <w:tr w14:paraId="38F8CB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D582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14</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47C9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诊察床</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7C02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1、医用加厚诊断床：900*2000*600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0C23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1588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C1007">
            <w:pPr>
              <w:rPr>
                <w:rFonts w:hint="eastAsia" w:ascii="宋体" w:hAnsi="宋体" w:eastAsia="宋体" w:cs="宋体"/>
                <w:i w:val="0"/>
                <w:iCs w:val="0"/>
                <w:color w:val="auto"/>
                <w:sz w:val="20"/>
                <w:szCs w:val="20"/>
                <w:u w:val="none"/>
              </w:rPr>
            </w:pPr>
          </w:p>
        </w:tc>
      </w:tr>
      <w:tr w14:paraId="62C298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E2F3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8709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冰箱</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87B3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1、双门；包装尺寸：625*615*1600</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2、能效等级: 二级；</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3、容量不低地165L；</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4、电脑控温；</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5、面板材质：彩钢；</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6、制冷方式 ：风冷，智能除霜，压缩机制冷，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23BF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3EA4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3FA97">
            <w:pPr>
              <w:rPr>
                <w:rFonts w:hint="eastAsia" w:ascii="宋体" w:hAnsi="宋体" w:eastAsia="宋体" w:cs="宋体"/>
                <w:i w:val="0"/>
                <w:iCs w:val="0"/>
                <w:color w:val="auto"/>
                <w:sz w:val="20"/>
                <w:szCs w:val="20"/>
                <w:u w:val="none"/>
              </w:rPr>
            </w:pPr>
          </w:p>
        </w:tc>
      </w:tr>
      <w:tr w14:paraId="508728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3854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C0CC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办公桌</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8EEE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1、桌面采用0.6mm厚的胡桃色木纹贴面；</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2、基材：采用厚度为15mm优质中密度板，经过耐酸碱、防虫、防腐特殊处理；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3、尺寸：1200*60*90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8252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张</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CBFF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63AE9">
            <w:pPr>
              <w:rPr>
                <w:rFonts w:hint="eastAsia" w:ascii="宋体" w:hAnsi="宋体" w:eastAsia="宋体" w:cs="宋体"/>
                <w:i w:val="0"/>
                <w:iCs w:val="0"/>
                <w:color w:val="auto"/>
                <w:sz w:val="20"/>
                <w:szCs w:val="20"/>
                <w:u w:val="none"/>
              </w:rPr>
            </w:pPr>
          </w:p>
        </w:tc>
      </w:tr>
      <w:tr w14:paraId="4343B1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95DE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17</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6CFA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办公椅</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8FA2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1、实木材料，贴面可选：44*46*95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A250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张</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F88A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AA4C1">
            <w:pPr>
              <w:rPr>
                <w:rFonts w:hint="eastAsia" w:ascii="宋体" w:hAnsi="宋体" w:eastAsia="宋体" w:cs="宋体"/>
                <w:i w:val="0"/>
                <w:iCs w:val="0"/>
                <w:color w:val="auto"/>
                <w:sz w:val="20"/>
                <w:szCs w:val="20"/>
                <w:u w:val="none"/>
              </w:rPr>
            </w:pPr>
          </w:p>
        </w:tc>
      </w:tr>
      <w:tr w14:paraId="303A5D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9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F14E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BA9D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电脑</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0CA2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1.机箱：考虑到桌面空间占用小，要求机箱容量≤15L，方便使用</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2.处理器：采用i5不低于12代CPU处理器，≥10核、≥16线程、主频≥2.5GHz、动态加速频率≥4.6GHz、L3缓存≥20MB</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3.内存：配置内存≥8GB DDR4，可扩展内存</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4.硬盘：配置≥256GB SSD硬盘，支持机械硬盘≥1TB</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5.前置面板：USB3.0≥6个（其中两个支持USB 3.2 Gen2，四个支持USB 3.2 Gen1）；TypeC≥1个（支持USB 3.2 Gen1）；麦克风输入≥1个，音频输出≥1个。</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6.配置光驱；支持wifi及蓝牙。</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▲7.关机状态下，支持≥2个前置USB端口对外供电。（提供国家认证认可监督管理委员会认可的检测机构具有CMA或CNAS标志所出具的检测报告复印件）</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8.后置面板：USB2.0≥4个；HDMI输出≥1；VGA输出≥1；DP输出≥1；音频输入≥2；音频输出≥1；RJ45≥1；串口≥1。</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▲9.前置面板音频输出接口采用四段式接口，兼容单耳机输出和耳机、麦克风二合一。支持欧标/美标自动切换。（提供国家认证认可监督管理委员会认可的检测机构具有CMA或CNAS标志所出具的检测报告复印件）</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▲10.可通过物理按键实现系统一键还原。（提供国家认证认可监督管理委员会认可的检测机构具有CMA或CNAS标志所出具的检测报告复印件）</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11.键鼠：具有统一品牌的键盘鼠标；</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12.显示器：≥23.8寸LED，分辨率不低于1920x1080，要求显示器和主机统一品牌。</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13.电源功率：≤200W。</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★14.产品需通过3C认证，提供国家强制性产品认证证书（扫描件）。</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★15.产品需通过节能体系认证，提供中国节能产品认证证书（扫描件）。</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16.需提供原厂售后服务承诺函并加盖厂家公章。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CC21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F959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8D8A9">
            <w:pPr>
              <w:rPr>
                <w:rFonts w:hint="eastAsia" w:ascii="宋体" w:hAnsi="宋体" w:eastAsia="宋体" w:cs="宋体"/>
                <w:i w:val="0"/>
                <w:iCs w:val="0"/>
                <w:color w:val="auto"/>
                <w:sz w:val="20"/>
                <w:szCs w:val="20"/>
                <w:u w:val="none"/>
              </w:rPr>
            </w:pPr>
          </w:p>
        </w:tc>
      </w:tr>
      <w:tr w14:paraId="3873DA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C1E4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19</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53EB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彩色喷墨打印一体机</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35F9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1、彩色喷墨打印一体机(A4)；</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2、连续供墨，彩色打印/复印/扫描，150页纸盒，经济模式28/11ppm，64MB，1200X6000dpi,无线网络，USB2.0接口，内置墨仓，微信小程序直连，支持远程打印。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F6AE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289E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D56BA">
            <w:pPr>
              <w:rPr>
                <w:rFonts w:hint="eastAsia" w:ascii="宋体" w:hAnsi="宋体" w:eastAsia="宋体" w:cs="宋体"/>
                <w:i w:val="0"/>
                <w:iCs w:val="0"/>
                <w:color w:val="auto"/>
                <w:sz w:val="20"/>
                <w:szCs w:val="20"/>
                <w:u w:val="none"/>
              </w:rPr>
            </w:pPr>
          </w:p>
        </w:tc>
      </w:tr>
      <w:tr w14:paraId="405AC6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5B04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41DE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医疗废弃物专用桶</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D8DF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容积12L,采用高密度聚丙烯塑料制造，不含医疗废物PVC成份，具有无毒、耐热、耐寒、耐穿刺、抗震、不渗漏等优点，桶口均加有密封圈，外封安全扣，具有良好的密封性，能更好的避免桶体滑倒时的废物漏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EEF0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8736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2F636">
            <w:pPr>
              <w:rPr>
                <w:rFonts w:hint="eastAsia" w:ascii="宋体" w:hAnsi="宋体" w:eastAsia="宋体" w:cs="宋体"/>
                <w:i w:val="0"/>
                <w:iCs w:val="0"/>
                <w:color w:val="auto"/>
                <w:sz w:val="20"/>
                <w:szCs w:val="20"/>
                <w:u w:val="none"/>
              </w:rPr>
            </w:pPr>
          </w:p>
        </w:tc>
      </w:tr>
      <w:tr w14:paraId="14112C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0C77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21</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B9F3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喂药箱</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5293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1、规格尺寸：34cm*13cm*29cm；  </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 xml:space="preserve">2、不锈钢制喂药箱 </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166D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4296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7914E">
            <w:pPr>
              <w:rPr>
                <w:rFonts w:hint="eastAsia" w:ascii="宋体" w:hAnsi="宋体" w:eastAsia="宋体" w:cs="宋体"/>
                <w:i w:val="0"/>
                <w:iCs w:val="0"/>
                <w:color w:val="auto"/>
                <w:sz w:val="20"/>
                <w:szCs w:val="20"/>
                <w:u w:val="none"/>
              </w:rPr>
            </w:pPr>
          </w:p>
        </w:tc>
      </w:tr>
      <w:tr w14:paraId="1BD7BD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50E8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22</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068A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身高体重计</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83AC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1、台面：38.5*28cm，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2、净重：22kg；最大载重50千克，读数精确到50克以内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7306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C2D4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C0D0C">
            <w:pPr>
              <w:rPr>
                <w:rFonts w:hint="eastAsia" w:ascii="宋体" w:hAnsi="宋体" w:eastAsia="宋体" w:cs="宋体"/>
                <w:i w:val="0"/>
                <w:iCs w:val="0"/>
                <w:color w:val="auto"/>
                <w:sz w:val="20"/>
                <w:szCs w:val="20"/>
                <w:u w:val="none"/>
              </w:rPr>
            </w:pPr>
          </w:p>
        </w:tc>
      </w:tr>
      <w:tr w14:paraId="0EC4A1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19FD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23</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1D64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灯光对数视力箱</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901D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1、儿童视力灯箱，测量距离5m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F622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7713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42EED">
            <w:pPr>
              <w:rPr>
                <w:rFonts w:hint="eastAsia" w:ascii="宋体" w:hAnsi="宋体" w:eastAsia="宋体" w:cs="宋体"/>
                <w:i w:val="0"/>
                <w:iCs w:val="0"/>
                <w:color w:val="auto"/>
                <w:sz w:val="20"/>
                <w:szCs w:val="20"/>
                <w:u w:val="none"/>
              </w:rPr>
            </w:pPr>
          </w:p>
        </w:tc>
      </w:tr>
      <w:tr w14:paraId="70602F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F409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465C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紫外消毒灯（开关设在户外）</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390C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1、型号：W-40紫外线杀菌消毒灯；30W 1.2米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0995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E98A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01336">
            <w:pPr>
              <w:rPr>
                <w:rFonts w:hint="eastAsia" w:ascii="宋体" w:hAnsi="宋体" w:eastAsia="宋体" w:cs="宋体"/>
                <w:i w:val="0"/>
                <w:iCs w:val="0"/>
                <w:color w:val="auto"/>
                <w:sz w:val="20"/>
                <w:szCs w:val="20"/>
                <w:u w:val="none"/>
              </w:rPr>
            </w:pPr>
          </w:p>
        </w:tc>
      </w:tr>
      <w:tr w14:paraId="6E7F46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B6A8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3BED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听诊器</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64DD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1、医用专业单用听诊器主要材料：钢材，塑料管，弹簧片，听头直径36CM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C86E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7E06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2D2F2">
            <w:pPr>
              <w:rPr>
                <w:rFonts w:hint="eastAsia" w:ascii="宋体" w:hAnsi="宋体" w:eastAsia="宋体" w:cs="宋体"/>
                <w:i w:val="0"/>
                <w:iCs w:val="0"/>
                <w:color w:val="auto"/>
                <w:sz w:val="20"/>
                <w:szCs w:val="20"/>
                <w:u w:val="none"/>
              </w:rPr>
            </w:pPr>
          </w:p>
        </w:tc>
      </w:tr>
      <w:tr w14:paraId="2CD54E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0BF9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26</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D83D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血压计</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FD3E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1、电子血压计，臂式电子血压计，显示方式;LCD数字式显示；2、测量范围：OKPa-37.3Pa,测量精度：±0.4Pa；</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3、充气方式：自动充气，电子泄气阀门。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BD54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88A9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A849D">
            <w:pPr>
              <w:rPr>
                <w:rFonts w:hint="eastAsia" w:ascii="宋体" w:hAnsi="宋体" w:eastAsia="宋体" w:cs="宋体"/>
                <w:i w:val="0"/>
                <w:iCs w:val="0"/>
                <w:color w:val="auto"/>
                <w:sz w:val="20"/>
                <w:szCs w:val="20"/>
                <w:u w:val="none"/>
              </w:rPr>
            </w:pPr>
          </w:p>
        </w:tc>
      </w:tr>
      <w:tr w14:paraId="692003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4A59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27</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7990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体温计</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21AE0">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1、感应式体温计非接触式红外感应体温计，测量距离1-3cm；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2、测量时间：≤2秒，自动关机≤30秒；</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3、测量范围：额温模式：34.1℃-42.0℃；</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4、物体表面模式：25℃-100℃。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929D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324F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9C2D0">
            <w:pPr>
              <w:rPr>
                <w:rFonts w:hint="eastAsia" w:ascii="宋体" w:hAnsi="宋体" w:eastAsia="宋体" w:cs="宋体"/>
                <w:i w:val="0"/>
                <w:iCs w:val="0"/>
                <w:color w:val="auto"/>
                <w:sz w:val="20"/>
                <w:szCs w:val="20"/>
                <w:u w:val="none"/>
              </w:rPr>
            </w:pPr>
          </w:p>
        </w:tc>
      </w:tr>
      <w:tr w14:paraId="201AFA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EC8C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28</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FC06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手电筒</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098A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1、充电式手电筒多功能充电，连续照明时间3-6小时，最高亮度达到350流明以上，长度145mm,日常携带 露营 徒步 夜骑等。</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793E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2E4D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AC9D9">
            <w:pPr>
              <w:rPr>
                <w:rFonts w:hint="eastAsia" w:ascii="宋体" w:hAnsi="宋体" w:eastAsia="宋体" w:cs="宋体"/>
                <w:i w:val="0"/>
                <w:iCs w:val="0"/>
                <w:color w:val="auto"/>
                <w:sz w:val="20"/>
                <w:szCs w:val="20"/>
                <w:u w:val="none"/>
              </w:rPr>
            </w:pPr>
          </w:p>
        </w:tc>
      </w:tr>
      <w:tr w14:paraId="58FE99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B9D3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29</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C0C6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压舌板</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701C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1、一次性无菌压舌板，长度15CM，宽度1.75CM，厚度0.15CM，木质。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2F75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138F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F5D2F">
            <w:pPr>
              <w:rPr>
                <w:rFonts w:hint="eastAsia" w:ascii="宋体" w:hAnsi="宋体" w:eastAsia="宋体" w:cs="宋体"/>
                <w:i w:val="0"/>
                <w:iCs w:val="0"/>
                <w:color w:val="auto"/>
                <w:sz w:val="20"/>
                <w:szCs w:val="20"/>
                <w:u w:val="none"/>
              </w:rPr>
            </w:pPr>
          </w:p>
        </w:tc>
      </w:tr>
      <w:tr w14:paraId="221B9B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1FDE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F3C5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医用脱脂棉</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73BE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1、医用脱脂棉。</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5765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CF08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79A4E">
            <w:pPr>
              <w:rPr>
                <w:rFonts w:hint="eastAsia" w:ascii="宋体" w:hAnsi="宋体" w:eastAsia="宋体" w:cs="宋体"/>
                <w:i w:val="0"/>
                <w:iCs w:val="0"/>
                <w:color w:val="auto"/>
                <w:sz w:val="20"/>
                <w:szCs w:val="20"/>
                <w:u w:val="none"/>
              </w:rPr>
            </w:pPr>
          </w:p>
        </w:tc>
      </w:tr>
      <w:tr w14:paraId="7B25AE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E7AC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31</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8456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剪刀</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7DA0B">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1、不锈钢剪刀4件套弯尖手术剪10CM,圆弯组织剪12.5CM,圆直组织剪12.5CM,拆线剪14CM。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F8FF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FB0E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9897D">
            <w:pPr>
              <w:rPr>
                <w:rFonts w:hint="eastAsia" w:ascii="宋体" w:hAnsi="宋体" w:eastAsia="宋体" w:cs="宋体"/>
                <w:i w:val="0"/>
                <w:iCs w:val="0"/>
                <w:color w:val="auto"/>
                <w:sz w:val="20"/>
                <w:szCs w:val="20"/>
                <w:u w:val="none"/>
              </w:rPr>
            </w:pPr>
          </w:p>
        </w:tc>
      </w:tr>
      <w:tr w14:paraId="37F690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50DF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32</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2EA9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镊子</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BDDC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1、不锈钢防滑长医用长、短镊子直头型长镊子25CM,短镊子12.5CM。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62B4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E948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39D53">
            <w:pPr>
              <w:rPr>
                <w:rFonts w:hint="eastAsia" w:ascii="宋体" w:hAnsi="宋体" w:eastAsia="宋体" w:cs="宋体"/>
                <w:i w:val="0"/>
                <w:iCs w:val="0"/>
                <w:color w:val="auto"/>
                <w:sz w:val="20"/>
                <w:szCs w:val="20"/>
                <w:u w:val="none"/>
              </w:rPr>
            </w:pPr>
          </w:p>
        </w:tc>
      </w:tr>
      <w:tr w14:paraId="268834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8C67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33</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80CF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弯盘</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7E95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1、加厚医用不锈钢消毒托盘，弯盘小号18.3cm*11.5cm，大号21.3cm*15.3cm。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515F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D53C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01DA1">
            <w:pPr>
              <w:rPr>
                <w:rFonts w:hint="eastAsia" w:ascii="宋体" w:hAnsi="宋体" w:eastAsia="宋体" w:cs="宋体"/>
                <w:i w:val="0"/>
                <w:iCs w:val="0"/>
                <w:color w:val="auto"/>
                <w:sz w:val="20"/>
                <w:szCs w:val="20"/>
                <w:u w:val="none"/>
              </w:rPr>
            </w:pPr>
          </w:p>
        </w:tc>
      </w:tr>
      <w:tr w14:paraId="4FB8F7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A483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34</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10919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软皮尺</w:t>
            </w:r>
          </w:p>
        </w:tc>
        <w:tc>
          <w:tcPr>
            <w:tcW w:w="40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73036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1、50米。</w:t>
            </w:r>
          </w:p>
        </w:tc>
        <w:tc>
          <w:tcPr>
            <w:tcW w:w="7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07D9B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副</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1B365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F7A6F">
            <w:pPr>
              <w:rPr>
                <w:rFonts w:hint="eastAsia" w:ascii="宋体" w:hAnsi="宋体" w:eastAsia="宋体" w:cs="宋体"/>
                <w:i w:val="0"/>
                <w:iCs w:val="0"/>
                <w:color w:val="auto"/>
                <w:sz w:val="20"/>
                <w:szCs w:val="20"/>
                <w:u w:val="none"/>
              </w:rPr>
            </w:pPr>
          </w:p>
        </w:tc>
      </w:tr>
      <w:tr w14:paraId="357457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D1FF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1D8F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治疗小推车车</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DEF6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1、不锈钢治疗车  双层不锈钢双抽手推车，带桶自带刹车轮，加厚护栏钢板  中号660cm*440cm*860cm。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AC6F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辆</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5E82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0CD48">
            <w:pPr>
              <w:rPr>
                <w:rFonts w:hint="eastAsia" w:ascii="宋体" w:hAnsi="宋体" w:eastAsia="宋体" w:cs="宋体"/>
                <w:i w:val="0"/>
                <w:iCs w:val="0"/>
                <w:color w:val="auto"/>
                <w:sz w:val="20"/>
                <w:szCs w:val="20"/>
                <w:u w:val="none"/>
              </w:rPr>
            </w:pPr>
          </w:p>
        </w:tc>
      </w:tr>
      <w:tr w14:paraId="77C5C3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44A9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36</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D941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治疗盘</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32AE3">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1、不锈钢治疗盘，11.5寸30cm*20.2cm*5.8cm。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3D3F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7A35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01B91">
            <w:pPr>
              <w:rPr>
                <w:rFonts w:hint="eastAsia" w:ascii="宋体" w:hAnsi="宋体" w:eastAsia="宋体" w:cs="宋体"/>
                <w:i w:val="0"/>
                <w:iCs w:val="0"/>
                <w:color w:val="auto"/>
                <w:sz w:val="20"/>
                <w:szCs w:val="20"/>
                <w:u w:val="none"/>
              </w:rPr>
            </w:pPr>
          </w:p>
        </w:tc>
      </w:tr>
      <w:tr w14:paraId="5A5C79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0163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37</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F744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冰袋</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142A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1、医用冰袋，120G(12*17.8)冷敷凝胶，捏破里袋，抖动冰袋敷于患处。</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8EA6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AE22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BEFE3">
            <w:pPr>
              <w:rPr>
                <w:rFonts w:hint="eastAsia" w:ascii="宋体" w:hAnsi="宋体" w:eastAsia="宋体" w:cs="宋体"/>
                <w:i w:val="0"/>
                <w:iCs w:val="0"/>
                <w:color w:val="auto"/>
                <w:sz w:val="20"/>
                <w:szCs w:val="20"/>
                <w:u w:val="none"/>
              </w:rPr>
            </w:pPr>
          </w:p>
        </w:tc>
      </w:tr>
      <w:tr w14:paraId="5019FB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BF67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38</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64AE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持物杯</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D22C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1、不锈钢持物杯，规格10cm*10cm。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C97C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B0BA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CAF88">
            <w:pPr>
              <w:rPr>
                <w:rFonts w:hint="eastAsia" w:ascii="宋体" w:hAnsi="宋体" w:eastAsia="宋体" w:cs="宋体"/>
                <w:i w:val="0"/>
                <w:iCs w:val="0"/>
                <w:color w:val="auto"/>
                <w:sz w:val="20"/>
                <w:szCs w:val="20"/>
                <w:u w:val="none"/>
              </w:rPr>
            </w:pPr>
          </w:p>
        </w:tc>
      </w:tr>
      <w:tr w14:paraId="7097FF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A2DD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39</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93F2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棉球罐</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AC0C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1、不锈钢棉球罐，规格12cm*12cm。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352E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22BD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B5FEA">
            <w:pPr>
              <w:rPr>
                <w:rFonts w:hint="eastAsia" w:ascii="宋体" w:hAnsi="宋体" w:eastAsia="宋体" w:cs="宋体"/>
                <w:i w:val="0"/>
                <w:iCs w:val="0"/>
                <w:color w:val="auto"/>
                <w:sz w:val="20"/>
                <w:szCs w:val="20"/>
                <w:u w:val="none"/>
              </w:rPr>
            </w:pPr>
          </w:p>
        </w:tc>
      </w:tr>
      <w:tr w14:paraId="6B73A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1A00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661A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方盘</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8978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1、不锈钢有盖方盘，9寸24cm*16cm*5.5cm。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615C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C07C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4524C">
            <w:pPr>
              <w:rPr>
                <w:rFonts w:hint="eastAsia" w:ascii="宋体" w:hAnsi="宋体" w:eastAsia="宋体" w:cs="宋体"/>
                <w:i w:val="0"/>
                <w:iCs w:val="0"/>
                <w:color w:val="auto"/>
                <w:sz w:val="20"/>
                <w:szCs w:val="20"/>
                <w:u w:val="none"/>
              </w:rPr>
            </w:pPr>
          </w:p>
        </w:tc>
      </w:tr>
      <w:tr w14:paraId="658409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149C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41</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8C45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小药箱</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12730">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1、塑料班级小药箱，规格：29.5cm*17.5cm*18cm。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2088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C9B5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6C8A9">
            <w:pPr>
              <w:rPr>
                <w:rFonts w:hint="eastAsia" w:ascii="宋体" w:hAnsi="宋体" w:eastAsia="宋体" w:cs="宋体"/>
                <w:i w:val="0"/>
                <w:iCs w:val="0"/>
                <w:color w:val="auto"/>
                <w:sz w:val="20"/>
                <w:szCs w:val="20"/>
                <w:u w:val="none"/>
              </w:rPr>
            </w:pPr>
          </w:p>
        </w:tc>
      </w:tr>
      <w:tr w14:paraId="48454A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8C38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42</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20A7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工作服</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54B3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1、粉色工作服（冬夏各2套M+L各两件），新型聚酯纤维60% 棉40%，具体尺寸根据实际情况现场量制订做。</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1B6C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件</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5B1C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48981">
            <w:pPr>
              <w:rPr>
                <w:rFonts w:hint="eastAsia" w:ascii="宋体" w:hAnsi="宋体" w:eastAsia="宋体" w:cs="宋体"/>
                <w:i w:val="0"/>
                <w:iCs w:val="0"/>
                <w:color w:val="auto"/>
                <w:sz w:val="20"/>
                <w:szCs w:val="20"/>
                <w:u w:val="none"/>
              </w:rPr>
            </w:pPr>
          </w:p>
        </w:tc>
      </w:tr>
      <w:tr w14:paraId="7D4D15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B8FF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43</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8F3E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就诊椅</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BFE3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1、幼儿就诊靠背椅，钢架结构，规格：1700mm*500mm*700mm。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9E26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张</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2AF6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133D1">
            <w:pPr>
              <w:rPr>
                <w:rFonts w:hint="eastAsia" w:ascii="宋体" w:hAnsi="宋体" w:eastAsia="宋体" w:cs="宋体"/>
                <w:i w:val="0"/>
                <w:iCs w:val="0"/>
                <w:color w:val="auto"/>
                <w:sz w:val="20"/>
                <w:szCs w:val="20"/>
                <w:u w:val="none"/>
              </w:rPr>
            </w:pPr>
          </w:p>
        </w:tc>
      </w:tr>
      <w:tr w14:paraId="402CED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2FC3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44</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31E4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壁扇</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98B8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1、16英寸 遥控壁挂电扇；含风速调整，三档风力调节，定频自然风，左右摇头方式；</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2、额定功率60KW；</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3、规格:420*205*415,净重2.8KG。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CA12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87CB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7B659">
            <w:pPr>
              <w:rPr>
                <w:rFonts w:hint="eastAsia" w:ascii="宋体" w:hAnsi="宋体" w:eastAsia="宋体" w:cs="宋体"/>
                <w:i w:val="0"/>
                <w:iCs w:val="0"/>
                <w:color w:val="auto"/>
                <w:sz w:val="20"/>
                <w:szCs w:val="20"/>
                <w:u w:val="none"/>
              </w:rPr>
            </w:pPr>
          </w:p>
        </w:tc>
      </w:tr>
      <w:tr w14:paraId="7CBC27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4CB5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45</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1FB4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幼儿睡床</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39816">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1、木质1.2米*0.6米。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0365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张</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04EB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DFA66">
            <w:pPr>
              <w:rPr>
                <w:rFonts w:hint="eastAsia" w:ascii="宋体" w:hAnsi="宋体" w:eastAsia="宋体" w:cs="宋体"/>
                <w:i w:val="0"/>
                <w:iCs w:val="0"/>
                <w:color w:val="auto"/>
                <w:sz w:val="20"/>
                <w:szCs w:val="20"/>
                <w:u w:val="none"/>
              </w:rPr>
            </w:pPr>
          </w:p>
        </w:tc>
      </w:tr>
      <w:tr w14:paraId="2AA6F9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0BCD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46</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05DB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高压灭菌锅</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4128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1、24L不锈钢。</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057B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7553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FFBA4">
            <w:pPr>
              <w:rPr>
                <w:rFonts w:hint="eastAsia" w:ascii="宋体" w:hAnsi="宋体" w:eastAsia="宋体" w:cs="宋体"/>
                <w:i w:val="0"/>
                <w:iCs w:val="0"/>
                <w:color w:val="auto"/>
                <w:sz w:val="20"/>
                <w:szCs w:val="20"/>
                <w:u w:val="none"/>
              </w:rPr>
            </w:pPr>
          </w:p>
        </w:tc>
      </w:tr>
      <w:tr w14:paraId="624B61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4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749A79F">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三、园长办公室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90244">
            <w:pPr>
              <w:rPr>
                <w:rFonts w:hint="eastAsia" w:ascii="宋体" w:hAnsi="宋体" w:eastAsia="宋体" w:cs="宋体"/>
                <w:i w:val="0"/>
                <w:iCs w:val="0"/>
                <w:color w:val="auto"/>
                <w:sz w:val="20"/>
                <w:szCs w:val="20"/>
                <w:u w:val="none"/>
              </w:rPr>
            </w:pPr>
          </w:p>
        </w:tc>
      </w:tr>
      <w:tr w14:paraId="7E2C7F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2C69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序号</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E567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货物名称</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DE3CA">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规格型号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2601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单位</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62BD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C4378">
            <w:pPr>
              <w:rPr>
                <w:rFonts w:hint="eastAsia" w:ascii="宋体" w:hAnsi="宋体" w:eastAsia="宋体" w:cs="宋体"/>
                <w:i w:val="0"/>
                <w:iCs w:val="0"/>
                <w:color w:val="auto"/>
                <w:sz w:val="20"/>
                <w:szCs w:val="20"/>
                <w:u w:val="none"/>
              </w:rPr>
            </w:pPr>
          </w:p>
        </w:tc>
      </w:tr>
      <w:tr w14:paraId="1C452C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1C86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47</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FA99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办公桌、椅</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BF64A">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1、办公桌：胡桃木色实木皮贴面；</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2、基材：符合国标E1级进口优质高密度板；</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3、油漆：面漆采用PU聚脂漆,表面硬度达到H级,底漆采用PE不饱和树脂漆；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4、优质五金配件；台面设优质真皮书写垫；</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5、200cm*80cm*76cm；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6、椅子：皮料采用优质黑色西皮；海绵选用一次成型发泡海棉，密度高达55kg/m3弹性好；底盘台湾进口座椅底盘，气压升降。</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ED99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E6E4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78146">
            <w:pPr>
              <w:rPr>
                <w:rFonts w:hint="eastAsia" w:ascii="宋体" w:hAnsi="宋体" w:eastAsia="宋体" w:cs="宋体"/>
                <w:i w:val="0"/>
                <w:iCs w:val="0"/>
                <w:color w:val="auto"/>
                <w:sz w:val="20"/>
                <w:szCs w:val="20"/>
                <w:u w:val="none"/>
              </w:rPr>
            </w:pPr>
          </w:p>
        </w:tc>
      </w:tr>
      <w:tr w14:paraId="49D0E4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07E6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48</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670C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四门书柜</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2F3E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1、160cm*200cm*400cm面材选用进口一级胡桃木色，基材选用福人牌高密度纤维板，经过防虫、防腐等化学处理，符合国际E1级环保标准适用各种气候不易开，耐用不变形；附着性好。</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93E0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FACA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DC582">
            <w:pPr>
              <w:rPr>
                <w:rFonts w:hint="eastAsia" w:ascii="宋体" w:hAnsi="宋体" w:eastAsia="宋体" w:cs="宋体"/>
                <w:i w:val="0"/>
                <w:iCs w:val="0"/>
                <w:color w:val="auto"/>
                <w:sz w:val="20"/>
                <w:szCs w:val="20"/>
                <w:u w:val="none"/>
              </w:rPr>
            </w:pPr>
          </w:p>
        </w:tc>
      </w:tr>
      <w:tr w14:paraId="05E5B3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6202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49</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5822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沙发</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DD67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1、三人位西皮沙发，尺寸大于1860*800*800mm。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F75C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张</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471F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1B23F">
            <w:pPr>
              <w:rPr>
                <w:rFonts w:hint="eastAsia" w:ascii="宋体" w:hAnsi="宋体" w:eastAsia="宋体" w:cs="宋体"/>
                <w:i w:val="0"/>
                <w:iCs w:val="0"/>
                <w:color w:val="auto"/>
                <w:sz w:val="20"/>
                <w:szCs w:val="20"/>
                <w:u w:val="none"/>
              </w:rPr>
            </w:pPr>
          </w:p>
        </w:tc>
      </w:tr>
      <w:tr w14:paraId="4D3329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5475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0FC0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茶几</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8911B">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1、钢化玻璃茶几，双层钢化玻璃桌面，加粗碳素钢架，大于100*50*45mm。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6C58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张</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3BD9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C0CF0">
            <w:pPr>
              <w:rPr>
                <w:rFonts w:hint="eastAsia" w:ascii="宋体" w:hAnsi="宋体" w:eastAsia="宋体" w:cs="宋体"/>
                <w:i w:val="0"/>
                <w:iCs w:val="0"/>
                <w:color w:val="auto"/>
                <w:sz w:val="20"/>
                <w:szCs w:val="20"/>
                <w:u w:val="none"/>
              </w:rPr>
            </w:pPr>
          </w:p>
        </w:tc>
      </w:tr>
      <w:tr w14:paraId="0A3356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9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2379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51</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38C7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台式电脑</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1B6A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1、机箱：考虑到桌面空间占用小，要求机箱容量≤15L，方便使用</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2、处理器：采用i5不低于12代CPU处理器，≥10核、≥16线程、主频≥2.5GHz、动态加速频率≥4.6GHz、L3缓存≥20MB</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3、内存：配置内存≥8GB DDR4，可扩展内存</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4、硬盘：配置≥256GB SSD硬盘，支持机械硬盘≥1TB</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5、前置面板：USB3.0≥6个（其中两个支持USB 3.2 Gen2，四个支持USB 3.2 Gen1）；TypeC≥1个（支持USB 3.2 Gen1）；麦克风输入≥1个，音频输出≥1个。</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6、配置光驱；支持wifi及蓝牙。</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▲7、关机状态下，支持≥2个前置USB端口对外供电。（提供国家认证认可监督管理委员会认可的检测机构具有CMA或CNAS标志所出具的检测报告复印件）</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8、后置面板：USB2.0≥4个；HDMI输出≥1；VGA输出≥1；DP输出≥1；音频输入≥2；音频输出≥1；RJ45≥1；串口≥1。</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▲9、前置面板音频输出接口采用四段式接口，兼容单耳机输出和耳机、麦克风二合一。支持欧标/美标自动切换。（提供国家认证认可监督管理委员会认可的检测机构具有CMA或CNAS标志所出具的检测报告复印件）</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▲10、可通过物理按键实现系统一键还原。（提供国家认证认可监督管理委员会认可的检测机构具有CMA或CNAS标志所出具的检测报告复印件）</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11、键鼠：具有统一品牌的键盘鼠标；</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12、显示器：≥23.8寸LED，分辨率不低于1920x1080，要求显示器和主机统一品牌。</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13、电源功率：≤200W。</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★14、产品需通过3C认证，提供国家强制性产品认证证书（扫描件）。</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★15、产品需通过节能体系认证，提供中国节能产品认证证书（扫描件）。</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16、需提供原厂售后服务承诺函并加盖厂家公章。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1D6E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A5CA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B040C">
            <w:pPr>
              <w:rPr>
                <w:rFonts w:hint="eastAsia" w:ascii="宋体" w:hAnsi="宋体" w:eastAsia="宋体" w:cs="宋体"/>
                <w:i w:val="0"/>
                <w:iCs w:val="0"/>
                <w:color w:val="auto"/>
                <w:sz w:val="20"/>
                <w:szCs w:val="20"/>
                <w:u w:val="none"/>
              </w:rPr>
            </w:pPr>
          </w:p>
        </w:tc>
      </w:tr>
      <w:tr w14:paraId="353D56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783B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52</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8522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彩色喷墨打印一体机</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A520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1、彩色喷墨打印一体机(A4)；</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2、连续供墨，彩色打印/复印/扫描，150页纸盒，经济模式28/11ppm，64MB，1200X6000dpi,无线网络，USB2.0接口，内置墨仓，微信小程序直连，支持远程打印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5719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59F4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955F3">
            <w:pPr>
              <w:rPr>
                <w:rFonts w:hint="eastAsia" w:ascii="宋体" w:hAnsi="宋体" w:eastAsia="宋体" w:cs="宋体"/>
                <w:i w:val="0"/>
                <w:iCs w:val="0"/>
                <w:color w:val="auto"/>
                <w:sz w:val="20"/>
                <w:szCs w:val="20"/>
                <w:u w:val="none"/>
              </w:rPr>
            </w:pPr>
          </w:p>
        </w:tc>
      </w:tr>
      <w:tr w14:paraId="166754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4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45FDC25">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四、教师备课室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CAE32">
            <w:pPr>
              <w:rPr>
                <w:rFonts w:hint="eastAsia" w:ascii="宋体" w:hAnsi="宋体" w:eastAsia="宋体" w:cs="宋体"/>
                <w:i w:val="0"/>
                <w:iCs w:val="0"/>
                <w:color w:val="auto"/>
                <w:sz w:val="20"/>
                <w:szCs w:val="20"/>
                <w:u w:val="none"/>
              </w:rPr>
            </w:pPr>
          </w:p>
        </w:tc>
      </w:tr>
      <w:tr w14:paraId="7B1186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251B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序号</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A91C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货物名称</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068F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规格型号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86B5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单位</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C349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2D440">
            <w:pPr>
              <w:rPr>
                <w:rFonts w:hint="eastAsia" w:ascii="宋体" w:hAnsi="宋体" w:eastAsia="宋体" w:cs="宋体"/>
                <w:i w:val="0"/>
                <w:iCs w:val="0"/>
                <w:color w:val="auto"/>
                <w:sz w:val="20"/>
                <w:szCs w:val="20"/>
                <w:u w:val="none"/>
              </w:rPr>
            </w:pPr>
          </w:p>
        </w:tc>
      </w:tr>
      <w:tr w14:paraId="786BC5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6034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53</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A334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办公桌、椅</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19B7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1、办公桌：胡桃色木纹贴面；</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2、基材：优质中密度板，经过耐酸碱、防虫、防腐特殊处理；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3、尺寸：120cm*60cm*90cm ；办公椅 高970mm×宽480mm×深540mm 柔软高回弹不变形海绵坐垫，耐磨，透气，靠背通风，加粗管材，优质网布，弓形脚架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7BCB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15F9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FD9C2">
            <w:pPr>
              <w:rPr>
                <w:rFonts w:hint="eastAsia" w:ascii="宋体" w:hAnsi="宋体" w:eastAsia="宋体" w:cs="宋体"/>
                <w:i w:val="0"/>
                <w:iCs w:val="0"/>
                <w:color w:val="auto"/>
                <w:sz w:val="20"/>
                <w:szCs w:val="20"/>
                <w:u w:val="none"/>
              </w:rPr>
            </w:pPr>
          </w:p>
        </w:tc>
      </w:tr>
      <w:tr w14:paraId="59116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2FC4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54</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9E23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文件柜</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FDB9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1、多层铁皮文件柜（上半玻璃平开）：1850*850*400mm。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★2、为保护人身安全，要求出具经MA、ilac-MRA、CNAS认证的检测报告中要求检出限值（mg/kg)：砷≤2.5、钡≤5、镉≤5、铬≤5、汞≤5、铅≤5、锑≤5、硒≤5；提供检测报告复印件并盖公章。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01E1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7F1A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A6534">
            <w:pPr>
              <w:rPr>
                <w:rFonts w:hint="eastAsia" w:ascii="宋体" w:hAnsi="宋体" w:eastAsia="宋体" w:cs="宋体"/>
                <w:i w:val="0"/>
                <w:iCs w:val="0"/>
                <w:color w:val="auto"/>
                <w:sz w:val="20"/>
                <w:szCs w:val="20"/>
                <w:u w:val="none"/>
              </w:rPr>
            </w:pPr>
          </w:p>
        </w:tc>
      </w:tr>
      <w:tr w14:paraId="7F8D41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9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D539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55</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2158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台式电脑</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7316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1、机箱：考虑到桌面空间占用小，要求机箱容量≤15L，方便使用</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2、处理器：采用i5不低于12代CPU处理器，≥10核、≥16线程、主频≥2.5GHz、动态加速频率≥4.6GHz、L3缓存≥20MB</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3、内存：配置内存≥8GB DDR4，可扩展内存</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4、硬盘：配置≥256GB SSD硬盘，支持机械硬盘≥1TB</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5、前置面板：USB3.0≥6个（其中两个支持USB 3.2 Gen2，四个支持USB 3.2 Gen1）；TypeC≥1个（支持USB 3.2 Gen1）；麦克风输入≥1个，音频输出≥1个。</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6、配置光驱；支持wifi及蓝牙。</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▲7、关机状态下，支持≥2个前置USB端口对外供电。（提供国家认证认可监督管理委员会认可的检测机构具有CMA或CNAS标志所出具的检测报告复印件）</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8、后置面板：USB2.0≥4个；HDMI输出≥1；VGA输出≥1；DP输出≥1；音频输入≥2；音频输出≥1；RJ45≥1；串口≥1。</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▲9、前置面板音频输出接口采用四段式接口，兼容单耳机输出和耳机、麦克风二合一。支持欧标/美标自动切换。（提供国家认证认可监督管理委员会认可的检测机构具有CMA或CNAS标志所出具的检测报告复印件）</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▲10、可通过物理按键实现系统一键还原。（提供国家认证认可监督管理委员会认可的检测机构具有CMA或CNAS标志所出具的检测报告复印件）</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11、键鼠：具有统一品牌的键盘鼠标；</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12、显示器：≥23.8寸LED，分辨率不低于1920x1080，要求显示器和主机统一品牌。</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13、电源功率：≤200W。</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★14、产品需通过3C认证，提供国家强制性产品认证证书（扫描件）。</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★15、产品需通过节能体系认证，提供中国节能产品认证证书（扫描件）。</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16、需提供原厂售后服务承诺函并加盖厂家公章。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F524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BD49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92DC4">
            <w:pPr>
              <w:rPr>
                <w:rFonts w:hint="eastAsia" w:ascii="宋体" w:hAnsi="宋体" w:eastAsia="宋体" w:cs="宋体"/>
                <w:i w:val="0"/>
                <w:iCs w:val="0"/>
                <w:color w:val="auto"/>
                <w:sz w:val="20"/>
                <w:szCs w:val="20"/>
                <w:u w:val="none"/>
              </w:rPr>
            </w:pPr>
          </w:p>
        </w:tc>
      </w:tr>
      <w:tr w14:paraId="2FDC36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17B1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56</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08C7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彩色喷墨打印一体机</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5397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1、彩色喷墨打印一体机(A4)；</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2、连续供墨，彩色打印/复印/扫描，150页纸盒，经济模式28/11ppm，64MB，1200X6000dpi,无线网络，USB2.0接口，内置墨仓，微信小程序直连，支持远程打印。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9994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D5B3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583A3">
            <w:pPr>
              <w:rPr>
                <w:rFonts w:hint="eastAsia" w:ascii="宋体" w:hAnsi="宋体" w:eastAsia="宋体" w:cs="宋体"/>
                <w:i w:val="0"/>
                <w:iCs w:val="0"/>
                <w:color w:val="auto"/>
                <w:sz w:val="20"/>
                <w:szCs w:val="20"/>
                <w:u w:val="none"/>
              </w:rPr>
            </w:pPr>
          </w:p>
        </w:tc>
      </w:tr>
      <w:tr w14:paraId="3222E8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4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3C8E0F5">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五、后勤办公室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3E642">
            <w:pPr>
              <w:rPr>
                <w:rFonts w:hint="eastAsia" w:ascii="宋体" w:hAnsi="宋体" w:eastAsia="宋体" w:cs="宋体"/>
                <w:i w:val="0"/>
                <w:iCs w:val="0"/>
                <w:color w:val="auto"/>
                <w:sz w:val="20"/>
                <w:szCs w:val="20"/>
                <w:u w:val="none"/>
              </w:rPr>
            </w:pPr>
          </w:p>
        </w:tc>
      </w:tr>
      <w:tr w14:paraId="0E2B5E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27EA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序号</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0940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货物名称</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138F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规格型号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8187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单位</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4E92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0DC7A">
            <w:pPr>
              <w:rPr>
                <w:rFonts w:hint="eastAsia" w:ascii="宋体" w:hAnsi="宋体" w:eastAsia="宋体" w:cs="宋体"/>
                <w:i w:val="0"/>
                <w:iCs w:val="0"/>
                <w:color w:val="auto"/>
                <w:sz w:val="20"/>
                <w:szCs w:val="20"/>
                <w:u w:val="none"/>
              </w:rPr>
            </w:pPr>
          </w:p>
        </w:tc>
      </w:tr>
      <w:tr w14:paraId="143EBE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DE3B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57</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BBB8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办公桌、椅</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2C99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1、办公桌：胡桃色木纹贴面；</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2、基材：优质中密度板，经过耐酸碱、防虫、防腐特殊处理；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3、尺寸：120cm*60cm*90cm ；办公椅 高970mm×宽480mm×深540mm 柔软高回弹不变形海绵坐垫，耐磨，透气，靠背通风，加粗管材，优质网布，弓形脚架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1526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6681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55A10">
            <w:pPr>
              <w:rPr>
                <w:rFonts w:hint="eastAsia" w:ascii="宋体" w:hAnsi="宋体" w:eastAsia="宋体" w:cs="宋体"/>
                <w:i w:val="0"/>
                <w:iCs w:val="0"/>
                <w:color w:val="auto"/>
                <w:sz w:val="20"/>
                <w:szCs w:val="20"/>
                <w:u w:val="none"/>
              </w:rPr>
            </w:pPr>
          </w:p>
        </w:tc>
      </w:tr>
      <w:tr w14:paraId="1F1AA0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B0D0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58</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1347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文件柜</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3F6D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1、多层铁皮文件柜（上半玻璃平开）：1850*850*400mm。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★2、为保护人身安全，要求出具经MA、ilac-MRA、CNAS认证的检测报告中要求检出限值（mg/kg)：砷≤2.5、钡≤5、镉≤5、铬≤5、汞≤5、铅≤5、锑≤5、硒≤5；提供检测报告复印件并盖公章。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5E46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D9E4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D7434">
            <w:pPr>
              <w:rPr>
                <w:rFonts w:hint="eastAsia" w:ascii="宋体" w:hAnsi="宋体" w:eastAsia="宋体" w:cs="宋体"/>
                <w:i w:val="0"/>
                <w:iCs w:val="0"/>
                <w:color w:val="auto"/>
                <w:sz w:val="20"/>
                <w:szCs w:val="20"/>
                <w:u w:val="none"/>
              </w:rPr>
            </w:pPr>
          </w:p>
        </w:tc>
      </w:tr>
      <w:tr w14:paraId="4E5723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4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B70DA16">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六、行政办公室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94BA8">
            <w:pPr>
              <w:rPr>
                <w:rFonts w:hint="eastAsia" w:ascii="宋体" w:hAnsi="宋体" w:eastAsia="宋体" w:cs="宋体"/>
                <w:i w:val="0"/>
                <w:iCs w:val="0"/>
                <w:color w:val="auto"/>
                <w:sz w:val="20"/>
                <w:szCs w:val="20"/>
                <w:u w:val="none"/>
              </w:rPr>
            </w:pPr>
          </w:p>
        </w:tc>
      </w:tr>
      <w:tr w14:paraId="458933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2E39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序号</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6720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货物名称</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A4E33">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规格型号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C28A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单位</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0274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8B848">
            <w:pPr>
              <w:rPr>
                <w:rFonts w:hint="eastAsia" w:ascii="宋体" w:hAnsi="宋体" w:eastAsia="宋体" w:cs="宋体"/>
                <w:i w:val="0"/>
                <w:iCs w:val="0"/>
                <w:color w:val="auto"/>
                <w:sz w:val="20"/>
                <w:szCs w:val="20"/>
                <w:u w:val="none"/>
              </w:rPr>
            </w:pPr>
          </w:p>
        </w:tc>
      </w:tr>
      <w:tr w14:paraId="648C86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C46D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59</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C11C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办公桌、椅</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7034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1、办公桌：胡桃色木纹贴面；</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2、基材：优质中密度板，经过耐酸碱、防虫、防腐特殊处理；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3、尺寸：120cm*60cm*90cm ；办公椅 高970mm×宽480mm×深540mm 柔软高回弹不变形海绵坐垫，耐磨，透气，靠背通风，加粗管材，优质网布，弓形脚架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B284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0B13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14FED">
            <w:pPr>
              <w:rPr>
                <w:rFonts w:hint="eastAsia" w:ascii="宋体" w:hAnsi="宋体" w:eastAsia="宋体" w:cs="宋体"/>
                <w:i w:val="0"/>
                <w:iCs w:val="0"/>
                <w:color w:val="auto"/>
                <w:sz w:val="20"/>
                <w:szCs w:val="20"/>
                <w:u w:val="none"/>
              </w:rPr>
            </w:pPr>
          </w:p>
        </w:tc>
      </w:tr>
      <w:tr w14:paraId="7957C8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A6E9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957E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文件柜</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B969B">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1、多层铁皮文件柜（上半玻璃平开）：1850*850*400mm。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★2、为保护人身安全，要求出具经MA、ilac-MRA、CNAS认证的检测报告中要求检出限值（mg/kg)：砷≤2.5、钡≤5、镉≤5、铬≤5、汞≤5、铅≤5、锑≤5、硒≤5；提供检测报告复印件并盖公章。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82DC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AD9D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C2069">
            <w:pPr>
              <w:rPr>
                <w:rFonts w:hint="eastAsia" w:ascii="宋体" w:hAnsi="宋体" w:eastAsia="宋体" w:cs="宋体"/>
                <w:i w:val="0"/>
                <w:iCs w:val="0"/>
                <w:color w:val="auto"/>
                <w:sz w:val="20"/>
                <w:szCs w:val="20"/>
                <w:u w:val="none"/>
              </w:rPr>
            </w:pPr>
          </w:p>
        </w:tc>
      </w:tr>
      <w:tr w14:paraId="24837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E766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61</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D82A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彩色喷墨打印一体机</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74E1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1、彩色喷墨打印一体机(A4)；</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2、连续供墨，彩色打印/复印/扫描，150页纸盒，经济模式28/11ppm，64MB，1200X6000dpi,无线网络，USB2.0接口，内置墨仓，微信小程序直连，支持远程打印。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9762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809E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68EB8">
            <w:pPr>
              <w:rPr>
                <w:rFonts w:hint="eastAsia" w:ascii="宋体" w:hAnsi="宋体" w:eastAsia="宋体" w:cs="宋体"/>
                <w:i w:val="0"/>
                <w:iCs w:val="0"/>
                <w:color w:val="auto"/>
                <w:sz w:val="20"/>
                <w:szCs w:val="20"/>
                <w:u w:val="none"/>
              </w:rPr>
            </w:pPr>
          </w:p>
        </w:tc>
      </w:tr>
      <w:tr w14:paraId="21045E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4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B8FEFD2">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七、会议室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BB94E">
            <w:pPr>
              <w:rPr>
                <w:rFonts w:hint="eastAsia" w:ascii="宋体" w:hAnsi="宋体" w:eastAsia="宋体" w:cs="宋体"/>
                <w:i w:val="0"/>
                <w:iCs w:val="0"/>
                <w:color w:val="auto"/>
                <w:sz w:val="20"/>
                <w:szCs w:val="20"/>
                <w:u w:val="none"/>
              </w:rPr>
            </w:pPr>
          </w:p>
        </w:tc>
      </w:tr>
      <w:tr w14:paraId="72C7C9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DAFF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序号</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3F7F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货物名称</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C65C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规格型号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51E4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单位</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95A9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5F8E4">
            <w:pPr>
              <w:rPr>
                <w:rFonts w:hint="eastAsia" w:ascii="宋体" w:hAnsi="宋体" w:eastAsia="宋体" w:cs="宋体"/>
                <w:i w:val="0"/>
                <w:iCs w:val="0"/>
                <w:color w:val="auto"/>
                <w:sz w:val="20"/>
                <w:szCs w:val="20"/>
                <w:u w:val="none"/>
              </w:rPr>
            </w:pPr>
          </w:p>
        </w:tc>
      </w:tr>
      <w:tr w14:paraId="0C113D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C724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62</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FFFC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会议桌、椅</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AD75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1、办公桌：胡桃色木纹贴面；</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2、基材：优质中密度板，经过耐酸碱、防虫、防腐特殊处理；</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3、尺寸：500cm*160cm*80cm ；办公椅 高970mm×宽480mm×深540mm 柔软高回弹不变形海绵坐垫，耐磨，透气，靠背通风，加粗管材，优质网布，弓形脚架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E620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1张桌</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20把椅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A479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031EA">
            <w:pPr>
              <w:rPr>
                <w:rFonts w:hint="eastAsia" w:ascii="宋体" w:hAnsi="宋体" w:eastAsia="宋体" w:cs="宋体"/>
                <w:i w:val="0"/>
                <w:iCs w:val="0"/>
                <w:color w:val="auto"/>
                <w:sz w:val="20"/>
                <w:szCs w:val="20"/>
                <w:u w:val="none"/>
              </w:rPr>
            </w:pPr>
          </w:p>
        </w:tc>
      </w:tr>
      <w:tr w14:paraId="45F373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4BD8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63</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BE36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文件柜</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8B13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1、多层铁皮文件柜（上半玻璃平开）：1850*850*400mm。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★2、为保护人身安全，要求出具经MA、ilac-MRA、CNAS认证的检测报告中要求检出限值（mg/kg)：砷≤2.5、钡≤5、镉≤5、铬≤5、汞≤5、铅≤5、锑≤5、硒≤5；提供检测报告复印件并盖公章。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4339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52E7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86910">
            <w:pPr>
              <w:rPr>
                <w:rFonts w:hint="eastAsia" w:ascii="宋体" w:hAnsi="宋体" w:eastAsia="宋体" w:cs="宋体"/>
                <w:i w:val="0"/>
                <w:iCs w:val="0"/>
                <w:color w:val="auto"/>
                <w:sz w:val="20"/>
                <w:szCs w:val="20"/>
                <w:u w:val="none"/>
              </w:rPr>
            </w:pPr>
          </w:p>
        </w:tc>
      </w:tr>
      <w:tr w14:paraId="7117E1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BFCB0">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八、图书室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4293B">
            <w:pPr>
              <w:rPr>
                <w:rFonts w:hint="eastAsia" w:ascii="宋体" w:hAnsi="宋体" w:eastAsia="宋体" w:cs="宋体"/>
                <w:i w:val="0"/>
                <w:iCs w:val="0"/>
                <w:color w:val="auto"/>
                <w:sz w:val="20"/>
                <w:szCs w:val="20"/>
                <w:u w:val="none"/>
              </w:rPr>
            </w:pPr>
          </w:p>
        </w:tc>
      </w:tr>
      <w:tr w14:paraId="1927FE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32EE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序号</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BDA8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货物名称</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29EC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规格型号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9731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单位</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E449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8393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备注</w:t>
            </w:r>
          </w:p>
        </w:tc>
      </w:tr>
      <w:tr w14:paraId="50B7C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5FF0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64</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667D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小圆桌</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17EB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1、直径90CM。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1C0C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61E8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9147B">
            <w:pPr>
              <w:rPr>
                <w:rFonts w:hint="eastAsia" w:ascii="宋体" w:hAnsi="宋体" w:eastAsia="宋体" w:cs="宋体"/>
                <w:i w:val="0"/>
                <w:iCs w:val="0"/>
                <w:color w:val="auto"/>
                <w:sz w:val="20"/>
                <w:szCs w:val="20"/>
                <w:u w:val="none"/>
              </w:rPr>
            </w:pPr>
          </w:p>
        </w:tc>
      </w:tr>
      <w:tr w14:paraId="1CC73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182C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65</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5F4A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圆凳</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DF58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1、高30CM，直径30CM，实木+PU材质。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292B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0FA3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19298">
            <w:pPr>
              <w:rPr>
                <w:rFonts w:hint="eastAsia" w:ascii="宋体" w:hAnsi="宋体" w:eastAsia="宋体" w:cs="宋体"/>
                <w:i w:val="0"/>
                <w:iCs w:val="0"/>
                <w:color w:val="auto"/>
                <w:sz w:val="20"/>
                <w:szCs w:val="20"/>
                <w:u w:val="none"/>
              </w:rPr>
            </w:pPr>
          </w:p>
        </w:tc>
      </w:tr>
      <w:tr w14:paraId="003D02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F851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66</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888B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书架</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667A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1、根据教室环境定制，71.5*36.5*66，进口环保HDPE，10个一组。</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9D16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D632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6CF14">
            <w:pPr>
              <w:rPr>
                <w:rFonts w:hint="eastAsia" w:ascii="宋体" w:hAnsi="宋体" w:eastAsia="宋体" w:cs="宋体"/>
                <w:i w:val="0"/>
                <w:iCs w:val="0"/>
                <w:color w:val="auto"/>
                <w:sz w:val="20"/>
                <w:szCs w:val="20"/>
                <w:u w:val="none"/>
              </w:rPr>
            </w:pPr>
          </w:p>
        </w:tc>
      </w:tr>
      <w:tr w14:paraId="397B4E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4B7F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67</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71DD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多功能音乐凳</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77C5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1、可折叠琴蹬电子琴凳/电钢琴凳古筝凳/二胡凳/钢琴凳/吉他凳子。</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5CC0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0C9A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3C2E6">
            <w:pPr>
              <w:rPr>
                <w:rFonts w:hint="eastAsia" w:ascii="宋体" w:hAnsi="宋体" w:eastAsia="宋体" w:cs="宋体"/>
                <w:i w:val="0"/>
                <w:iCs w:val="0"/>
                <w:color w:val="auto"/>
                <w:sz w:val="20"/>
                <w:szCs w:val="20"/>
                <w:u w:val="none"/>
              </w:rPr>
            </w:pPr>
          </w:p>
        </w:tc>
      </w:tr>
      <w:tr w14:paraId="1DFEC3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C148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68</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9190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长条桌</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CD80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1、根据教室环境定制。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899C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C1EE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0CF84">
            <w:pPr>
              <w:rPr>
                <w:rFonts w:hint="eastAsia" w:ascii="宋体" w:hAnsi="宋体" w:eastAsia="宋体" w:cs="宋体"/>
                <w:i w:val="0"/>
                <w:iCs w:val="0"/>
                <w:color w:val="auto"/>
                <w:sz w:val="20"/>
                <w:szCs w:val="20"/>
                <w:u w:val="none"/>
              </w:rPr>
            </w:pPr>
          </w:p>
        </w:tc>
      </w:tr>
      <w:tr w14:paraId="58B56A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904A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69</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7CBC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小舞台</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4B00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1、根据教室环境定制。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D037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62A3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21B8C">
            <w:pPr>
              <w:rPr>
                <w:rFonts w:hint="eastAsia" w:ascii="宋体" w:hAnsi="宋体" w:eastAsia="宋体" w:cs="宋体"/>
                <w:i w:val="0"/>
                <w:iCs w:val="0"/>
                <w:color w:val="auto"/>
                <w:sz w:val="20"/>
                <w:szCs w:val="20"/>
                <w:u w:val="none"/>
              </w:rPr>
            </w:pPr>
          </w:p>
        </w:tc>
      </w:tr>
      <w:tr w14:paraId="4B43D7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E721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E006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投影（接平板）</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20EC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1、幕布大小，根据环境定制。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6E8D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6C0D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7E24F">
            <w:pPr>
              <w:rPr>
                <w:rFonts w:hint="eastAsia" w:ascii="宋体" w:hAnsi="宋体" w:eastAsia="宋体" w:cs="宋体"/>
                <w:i w:val="0"/>
                <w:iCs w:val="0"/>
                <w:color w:val="auto"/>
                <w:sz w:val="20"/>
                <w:szCs w:val="20"/>
                <w:u w:val="none"/>
              </w:rPr>
            </w:pPr>
          </w:p>
        </w:tc>
      </w:tr>
      <w:tr w14:paraId="0050B8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1977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71</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7904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方桌</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35F5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1、类似宜家方桌。</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5779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B16F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233EF">
            <w:pPr>
              <w:rPr>
                <w:rFonts w:hint="eastAsia" w:ascii="宋体" w:hAnsi="宋体" w:eastAsia="宋体" w:cs="宋体"/>
                <w:i w:val="0"/>
                <w:iCs w:val="0"/>
                <w:color w:val="auto"/>
                <w:sz w:val="20"/>
                <w:szCs w:val="20"/>
                <w:u w:val="none"/>
              </w:rPr>
            </w:pPr>
          </w:p>
        </w:tc>
      </w:tr>
      <w:tr w14:paraId="50C0BE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0FE3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72</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D3D7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平板电脑</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9C58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1、供幼儿查阅资料、录音。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1A4C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B1FD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4707E">
            <w:pPr>
              <w:rPr>
                <w:rFonts w:hint="eastAsia" w:ascii="宋体" w:hAnsi="宋体" w:eastAsia="宋体" w:cs="宋体"/>
                <w:i w:val="0"/>
                <w:iCs w:val="0"/>
                <w:color w:val="auto"/>
                <w:sz w:val="20"/>
                <w:szCs w:val="20"/>
                <w:u w:val="none"/>
              </w:rPr>
            </w:pPr>
          </w:p>
        </w:tc>
      </w:tr>
      <w:tr w14:paraId="7EA887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A362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73</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6168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音响</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32E3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1、规    格: 6.5吋/2分频</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2、颜    色: 白色、黑色</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3、材    质:木质</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4、频率响应: 100Hz-18KHz</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5、阻    抗: 4Ω</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6、额定功率: 40W-80W</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7、最大声压: 120dB SPL,124dB SPL peak</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8、尺寸（高、宽、厚）：330*205*190mm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9、重    量：4.4kg</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 xml:space="preserve">10、连接方式：接线夹 </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11、安装方式：壁挂式</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3C6C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3926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060CE">
            <w:pPr>
              <w:rPr>
                <w:rFonts w:hint="eastAsia" w:ascii="宋体" w:hAnsi="宋体" w:eastAsia="宋体" w:cs="宋体"/>
                <w:i w:val="0"/>
                <w:iCs w:val="0"/>
                <w:color w:val="auto"/>
                <w:sz w:val="20"/>
                <w:szCs w:val="20"/>
                <w:u w:val="none"/>
              </w:rPr>
            </w:pPr>
          </w:p>
        </w:tc>
      </w:tr>
      <w:tr w14:paraId="6A5559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907E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74</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BD04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立式麦克风</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2154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1.指向拾音</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2.3.5mm音频接口</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3.信噪比≥60db</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4368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88AE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0338B">
            <w:pPr>
              <w:rPr>
                <w:rFonts w:hint="eastAsia" w:ascii="宋体" w:hAnsi="宋体" w:eastAsia="宋体" w:cs="宋体"/>
                <w:i w:val="0"/>
                <w:iCs w:val="0"/>
                <w:color w:val="auto"/>
                <w:sz w:val="20"/>
                <w:szCs w:val="20"/>
                <w:u w:val="none"/>
              </w:rPr>
            </w:pPr>
          </w:p>
        </w:tc>
      </w:tr>
      <w:tr w14:paraId="335D27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DC691">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九、其他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43B28">
            <w:pPr>
              <w:rPr>
                <w:rFonts w:hint="eastAsia" w:ascii="宋体" w:hAnsi="宋体" w:eastAsia="宋体" w:cs="宋体"/>
                <w:i w:val="0"/>
                <w:iCs w:val="0"/>
                <w:color w:val="auto"/>
                <w:sz w:val="20"/>
                <w:szCs w:val="20"/>
                <w:u w:val="none"/>
              </w:rPr>
            </w:pPr>
          </w:p>
        </w:tc>
      </w:tr>
      <w:tr w14:paraId="1469FB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7A34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序号</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C538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货物名称</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531E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规格型号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B0E4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单位</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63C0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11522">
            <w:pPr>
              <w:rPr>
                <w:rFonts w:hint="eastAsia" w:ascii="宋体" w:hAnsi="宋体" w:eastAsia="宋体" w:cs="宋体"/>
                <w:i w:val="0"/>
                <w:iCs w:val="0"/>
                <w:color w:val="auto"/>
                <w:sz w:val="20"/>
                <w:szCs w:val="20"/>
                <w:u w:val="none"/>
              </w:rPr>
            </w:pPr>
          </w:p>
        </w:tc>
      </w:tr>
      <w:tr w14:paraId="07803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B750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75</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F85F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纱窗</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2A14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1、根据教室现场定制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2906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48B6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472A7">
            <w:pPr>
              <w:rPr>
                <w:rFonts w:hint="eastAsia" w:ascii="宋体" w:hAnsi="宋体" w:eastAsia="宋体" w:cs="宋体"/>
                <w:i w:val="0"/>
                <w:iCs w:val="0"/>
                <w:color w:val="auto"/>
                <w:sz w:val="20"/>
                <w:szCs w:val="20"/>
                <w:u w:val="none"/>
              </w:rPr>
            </w:pPr>
          </w:p>
        </w:tc>
      </w:tr>
      <w:tr w14:paraId="2F76C2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87A1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76</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FE38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窗帘</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81F6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1、国标防火材料</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2、高密针织布料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C890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BACF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0F120">
            <w:pPr>
              <w:rPr>
                <w:rFonts w:hint="eastAsia" w:ascii="宋体" w:hAnsi="宋体" w:eastAsia="宋体" w:cs="宋体"/>
                <w:i w:val="0"/>
                <w:iCs w:val="0"/>
                <w:color w:val="auto"/>
                <w:sz w:val="20"/>
                <w:szCs w:val="20"/>
                <w:u w:val="none"/>
              </w:rPr>
            </w:pPr>
          </w:p>
        </w:tc>
      </w:tr>
      <w:tr w14:paraId="5FC0FF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7037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77</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13BB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户外宣传栏</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73E86">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1、不锈钢挂墙宣传长2.4米、高1.5米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FCA9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F896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AC9B8">
            <w:pPr>
              <w:rPr>
                <w:rFonts w:hint="eastAsia" w:ascii="宋体" w:hAnsi="宋体" w:eastAsia="宋体" w:cs="宋体"/>
                <w:i w:val="0"/>
                <w:iCs w:val="0"/>
                <w:color w:val="auto"/>
                <w:sz w:val="20"/>
                <w:szCs w:val="20"/>
                <w:u w:val="none"/>
              </w:rPr>
            </w:pPr>
          </w:p>
        </w:tc>
      </w:tr>
      <w:tr w14:paraId="703731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05AD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78</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23E8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环境创设物品</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4884A">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1、定制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4B1D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5908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8CDB2">
            <w:pPr>
              <w:rPr>
                <w:rFonts w:hint="eastAsia" w:ascii="宋体" w:hAnsi="宋体" w:eastAsia="宋体" w:cs="宋体"/>
                <w:i w:val="0"/>
                <w:iCs w:val="0"/>
                <w:color w:val="auto"/>
                <w:sz w:val="20"/>
                <w:szCs w:val="20"/>
                <w:u w:val="none"/>
              </w:rPr>
            </w:pPr>
          </w:p>
        </w:tc>
      </w:tr>
      <w:tr w14:paraId="14CF21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2CB8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79</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1AC4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品宣设计</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D23A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1、定制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02B3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3586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B0509">
            <w:pPr>
              <w:rPr>
                <w:rFonts w:hint="eastAsia" w:ascii="宋体" w:hAnsi="宋体" w:eastAsia="宋体" w:cs="宋体"/>
                <w:i w:val="0"/>
                <w:iCs w:val="0"/>
                <w:color w:val="auto"/>
                <w:sz w:val="20"/>
                <w:szCs w:val="20"/>
                <w:u w:val="none"/>
              </w:rPr>
            </w:pPr>
          </w:p>
        </w:tc>
      </w:tr>
      <w:tr w14:paraId="406E10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C58A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2A28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多功能教室（一楼公共活动室）-专业音箱</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8A4E3">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1、规    格: 6.5吋/2分频</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2、颜    色: 白色、黑色</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3、材    质:木质</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4、频率响应: 100Hz-18KHz</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5、阻    抗: 4Ω</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6、额定功率: 40W-80W</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7、最大声压: 120dB SPL,124dB SPL peak</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8、尺寸（高、宽、厚）：330*205*190mm</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9、重    量：4.4kg</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 xml:space="preserve">10、连接方式：接线夹 </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11、安装方式：壁挂式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FE73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118E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BBF2F">
            <w:pPr>
              <w:rPr>
                <w:rFonts w:hint="eastAsia" w:ascii="宋体" w:hAnsi="宋体" w:eastAsia="宋体" w:cs="宋体"/>
                <w:i w:val="0"/>
                <w:iCs w:val="0"/>
                <w:color w:val="auto"/>
                <w:sz w:val="20"/>
                <w:szCs w:val="20"/>
                <w:u w:val="none"/>
              </w:rPr>
            </w:pPr>
          </w:p>
        </w:tc>
      </w:tr>
      <w:tr w14:paraId="5576A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4684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81</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9EF9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多功能教室（一楼公共活动室）-话筒带支架</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4C23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1.指向拾音</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2.3.5mm音频接口</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3.信噪比≥60db</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CF8A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6D29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CC0EC">
            <w:pPr>
              <w:rPr>
                <w:rFonts w:hint="eastAsia" w:ascii="宋体" w:hAnsi="宋体" w:eastAsia="宋体" w:cs="宋体"/>
                <w:i w:val="0"/>
                <w:iCs w:val="0"/>
                <w:color w:val="auto"/>
                <w:sz w:val="20"/>
                <w:szCs w:val="20"/>
                <w:u w:val="none"/>
              </w:rPr>
            </w:pPr>
          </w:p>
        </w:tc>
      </w:tr>
      <w:tr w14:paraId="3689DC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B626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82</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E0A8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教室活动室幼儿图书</w:t>
            </w:r>
          </w:p>
        </w:tc>
        <w:tc>
          <w:tcPr>
            <w:tcW w:w="40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6283CB">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★1、投标人需提供正版图书承诺函并加盖投标人公章(格式自拟)。中班以下儿童配备的图书版面宜不小于24K。</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1DB6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册</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77EE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2700</w:t>
            </w:r>
          </w:p>
        </w:tc>
        <w:tc>
          <w:tcPr>
            <w:tcW w:w="0" w:type="auto"/>
            <w:tcBorders>
              <w:top w:val="nil"/>
              <w:left w:val="nil"/>
              <w:bottom w:val="nil"/>
              <w:right w:val="nil"/>
            </w:tcBorders>
            <w:shd w:val="clear" w:color="auto" w:fill="auto"/>
            <w:noWrap/>
            <w:vAlign w:val="center"/>
          </w:tcPr>
          <w:p w14:paraId="475D5ED9">
            <w:pPr>
              <w:rPr>
                <w:rFonts w:hint="eastAsia" w:ascii="宋体" w:hAnsi="宋体" w:eastAsia="宋体" w:cs="宋体"/>
                <w:i w:val="0"/>
                <w:iCs w:val="0"/>
                <w:color w:val="auto"/>
                <w:sz w:val="20"/>
                <w:szCs w:val="20"/>
                <w:u w:val="none"/>
              </w:rPr>
            </w:pPr>
          </w:p>
        </w:tc>
      </w:tr>
      <w:tr w14:paraId="513369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07DD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83</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A6DDC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三楼功能室-阅读区图书</w:t>
            </w:r>
          </w:p>
        </w:tc>
        <w:tc>
          <w:tcPr>
            <w:tcW w:w="40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83C433">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★1、投标人需提供正版图书承诺函并加盖投标人公章（格式自拟）。</w:t>
            </w:r>
          </w:p>
        </w:tc>
        <w:tc>
          <w:tcPr>
            <w:tcW w:w="780" w:type="dxa"/>
            <w:tcBorders>
              <w:top w:val="single" w:color="000000" w:sz="4" w:space="0"/>
              <w:left w:val="single" w:color="000000" w:sz="4" w:space="0"/>
              <w:bottom w:val="nil"/>
              <w:right w:val="single" w:color="000000" w:sz="4" w:space="0"/>
            </w:tcBorders>
            <w:shd w:val="clear" w:color="auto" w:fill="auto"/>
            <w:vAlign w:val="center"/>
          </w:tcPr>
          <w:p w14:paraId="1D8FB43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册</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41683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1000</w:t>
            </w:r>
          </w:p>
        </w:tc>
        <w:tc>
          <w:tcPr>
            <w:tcW w:w="0" w:type="auto"/>
            <w:tcBorders>
              <w:top w:val="nil"/>
              <w:left w:val="nil"/>
              <w:bottom w:val="nil"/>
              <w:right w:val="nil"/>
            </w:tcBorders>
            <w:shd w:val="clear" w:color="auto" w:fill="auto"/>
            <w:noWrap/>
            <w:vAlign w:val="center"/>
          </w:tcPr>
          <w:p w14:paraId="43C66451">
            <w:pPr>
              <w:rPr>
                <w:rFonts w:hint="eastAsia" w:ascii="宋体" w:hAnsi="宋体" w:eastAsia="宋体" w:cs="宋体"/>
                <w:i w:val="0"/>
                <w:iCs w:val="0"/>
                <w:color w:val="auto"/>
                <w:sz w:val="20"/>
                <w:szCs w:val="20"/>
                <w:u w:val="none"/>
              </w:rPr>
            </w:pPr>
          </w:p>
        </w:tc>
      </w:tr>
      <w:tr w14:paraId="56D967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B9F5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84</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39BE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教师图书</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E4DB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★1、投标人需提供正版图书承诺函并加盖投标人公章（格式自拟）。详见幼儿园9个班-教师用书采购参考清单。</w:t>
            </w:r>
          </w:p>
        </w:tc>
        <w:tc>
          <w:tcPr>
            <w:tcW w:w="780" w:type="dxa"/>
            <w:tcBorders>
              <w:top w:val="single" w:color="000000" w:sz="4" w:space="0"/>
              <w:left w:val="single" w:color="000000" w:sz="4" w:space="0"/>
              <w:bottom w:val="nil"/>
              <w:right w:val="single" w:color="000000" w:sz="4" w:space="0"/>
            </w:tcBorders>
            <w:shd w:val="clear" w:color="auto" w:fill="auto"/>
            <w:vAlign w:val="center"/>
          </w:tcPr>
          <w:p w14:paraId="0FB004A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AE77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233</w:t>
            </w:r>
          </w:p>
        </w:tc>
        <w:tc>
          <w:tcPr>
            <w:tcW w:w="0" w:type="auto"/>
            <w:tcBorders>
              <w:top w:val="nil"/>
              <w:left w:val="nil"/>
              <w:bottom w:val="nil"/>
              <w:right w:val="nil"/>
            </w:tcBorders>
            <w:shd w:val="clear" w:color="auto" w:fill="auto"/>
            <w:noWrap/>
            <w:vAlign w:val="center"/>
          </w:tcPr>
          <w:p w14:paraId="327A67F1">
            <w:pPr>
              <w:rPr>
                <w:rFonts w:hint="eastAsia" w:ascii="宋体" w:hAnsi="宋体" w:eastAsia="宋体" w:cs="宋体"/>
                <w:i w:val="0"/>
                <w:iCs w:val="0"/>
                <w:color w:val="auto"/>
                <w:sz w:val="20"/>
                <w:szCs w:val="20"/>
                <w:u w:val="none"/>
              </w:rPr>
            </w:pPr>
          </w:p>
        </w:tc>
      </w:tr>
    </w:tbl>
    <w:p w14:paraId="3853BEF4">
      <w:pPr>
        <w:rPr>
          <w:color w:val="auto"/>
        </w:rPr>
      </w:pPr>
    </w:p>
    <w:p w14:paraId="672DF2AD">
      <w:pPr>
        <w:spacing w:line="360" w:lineRule="auto"/>
        <w:rPr>
          <w:rFonts w:hint="eastAsia" w:ascii="宋体" w:hAnsi="宋体" w:eastAsia="宋体" w:cs="宋体"/>
          <w:b/>
          <w:color w:val="auto"/>
          <w:sz w:val="24"/>
          <w:szCs w:val="24"/>
          <w:highlight w:val="none"/>
        </w:rPr>
      </w:pPr>
      <w:r>
        <w:rPr>
          <w:rFonts w:hint="eastAsia" w:ascii="黑体" w:hAnsi="宋体" w:eastAsia="黑体" w:cs="黑体"/>
          <w:b/>
          <w:bCs/>
          <w:i w:val="0"/>
          <w:iCs w:val="0"/>
          <w:color w:val="auto"/>
          <w:kern w:val="0"/>
          <w:sz w:val="32"/>
          <w:szCs w:val="32"/>
          <w:u w:val="none"/>
          <w:lang w:val="en-US" w:eastAsia="zh-CN" w:bidi="ar"/>
        </w:rPr>
        <w:t>附件-幼儿园9个班-教师用书采购参考清单</w:t>
      </w:r>
    </w:p>
    <w:tbl>
      <w:tblPr>
        <w:tblStyle w:val="23"/>
        <w:tblW w:w="859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79"/>
        <w:gridCol w:w="1795"/>
        <w:gridCol w:w="2156"/>
        <w:gridCol w:w="2007"/>
        <w:gridCol w:w="879"/>
        <w:gridCol w:w="879"/>
      </w:tblGrid>
      <w:tr w14:paraId="20AE8B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595" w:type="dxa"/>
            <w:gridSpan w:val="6"/>
            <w:tcBorders>
              <w:top w:val="nil"/>
              <w:left w:val="nil"/>
              <w:bottom w:val="nil"/>
              <w:right w:val="nil"/>
            </w:tcBorders>
            <w:shd w:val="clear" w:color="auto" w:fill="auto"/>
            <w:noWrap/>
            <w:vAlign w:val="center"/>
          </w:tcPr>
          <w:p w14:paraId="67BA2EB7">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幼儿园9个班-教师用书采购参考清单</w:t>
            </w:r>
          </w:p>
        </w:tc>
      </w:tr>
      <w:tr w14:paraId="578A1F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C9F03">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序号</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41617">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分类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595EB">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书号</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5A7A6">
            <w:pPr>
              <w:keepNext w:val="0"/>
              <w:keepLines w:val="0"/>
              <w:widowControl/>
              <w:suppressLineNumbers w:val="0"/>
              <w:jc w:val="left"/>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书名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38F33">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69469">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数量</w:t>
            </w:r>
          </w:p>
        </w:tc>
      </w:tr>
      <w:tr w14:paraId="1B385B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57B2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19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4D618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法律法规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C305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9787567724334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129E6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中小学幼儿园法律法规教师教育读本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0A34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171E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586AD7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0AA7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C31FEE">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3F55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9787303236275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8B3E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幼儿园常见法律问题案例及解析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3571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03BA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177672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0B3D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C1EAFF">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FD50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9787563729494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C47A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学前教育政策法规规章汇编（简装）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EA06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1EDB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6410C8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4F76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192BBE">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01AD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9787565619359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AD2B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学前教育政策法规规章汇编（精装）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3AC6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85BE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16252A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6C0D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DB4FF4">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60DE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9787501996117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061D4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幼儿园教师必知的60条教育政策与法规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E9D7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0503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2543D0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9EAF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401D22">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EEF4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9787565636585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271F6">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幼儿园教育指导纲要（试行）——及相关法规汇编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B49B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4390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23BD89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E489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2A7D2A">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27E4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9787565617652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6DDC2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学前教育法规政策的理解与运用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9FD1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56AA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298AFF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0858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F2BF21">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E788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9787565103919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3918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以案释法幼儿园涉法事务全解析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387E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653B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323AFF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863B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w:t>
            </w:r>
          </w:p>
        </w:tc>
        <w:tc>
          <w:tcPr>
            <w:tcW w:w="19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BFC6F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师德师风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AB67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9787565617607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387B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师德建设规章制度汇编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D12E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1201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10A6B2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0E86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25DE5B">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29A9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9787565617614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D1DC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古今中外师德修养理论与实践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AB07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9391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249B12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5FB7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E48769">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DED4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9787565617621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066A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师德修养培训教材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A14E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0760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7116BF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16E2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AB104C">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2134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9787516214985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BF9C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教师法制教育培训教材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B403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D5AE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1D2E14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4EEB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47573E">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0788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9787567705777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AF473">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教师心理健康教育培训教材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5ADD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68AB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134033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526B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14</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679293">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C7A0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9787565617652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735A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师德典型案例评析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5968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1700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160038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AD6A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CFC45E">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09C3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9787565617669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3351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师德考核评价理论与实践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8DFE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09A6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24155D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6134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5DF802">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1EB1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9787565617676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56F6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违反师德行为的防范与处理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32CD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95C0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36D23A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574E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17</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40B7A1">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58FF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9787565617683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91F0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教师为人师表培训教材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18D6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6953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743388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F111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31B765">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A864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9787567778832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039A8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幼儿教师必备技能丛书 幼儿教师德育预设技巧66招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0A61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ED68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591DB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A93B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19</w:t>
            </w:r>
          </w:p>
        </w:tc>
        <w:tc>
          <w:tcPr>
            <w:tcW w:w="19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ECDDF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幼儿园管理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E8DA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9787567561175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77A78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幼儿园智慧管理丛书  学前儿童家庭与社区教育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30C0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8598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4108CA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F1E1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6D9806">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2F67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9787569201772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6D4FF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幼儿园智慧管理丛书 幼儿教师如何高效工作的策略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F732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5A19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516F7F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35A3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21</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4627B9">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6C55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9787567782327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78681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幼儿园智慧管理丛书 幼儿园班级管理的九大有效方式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9B53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7E1A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43250C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0732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22</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1113B5">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5256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9787567775947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5AF6C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幼儿园智慧管理丛书 幼儿园环境设计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A0F0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3034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07F147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6528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23</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342C1A">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CD53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9787567762053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AD60C0">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幼儿园智慧管理丛书 幼儿园教学具设计与使用指导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810B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2E2E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6E402B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9B5A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8B8600">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56A3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9787567766075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B85640">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幼儿园智慧管理丛书 幼儿园区角设计指导手册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3F20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B4A1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12FC7E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0D74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B15B65">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D11B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9787567775930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23B10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幼儿园智慧管理丛书 幼儿园文化建设指导与策略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B673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B92C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6E4141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F5BD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26</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76D6BE">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EF18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9787567766068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E0842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幼儿园智慧管理丛书 幼儿园总务管理手册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D901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9283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117EC2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C874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27</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1CD01C">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735E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9787303222773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A4FF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牵手与牵心——园长指导家长工作能力的提升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355A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C530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53A146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CAFD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28</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6B1D04">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5D56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9787303222681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8285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沟通的力量——园长公共关系协调能力的提升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43EC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DBAC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1EF2F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9928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29</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193323">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97EE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9787303222629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5047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为远航助力——园长政策把握及规划、计划制定能力的提升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34CE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309A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5A4F3B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9FCA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70D40F">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20BD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9787303209866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6E8C6">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规矩成方圆——园长流程管理能力的提升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137C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1294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69D856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4FFB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31</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7182B1">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F88B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9787303222735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276FA">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润物细无声——园长园所文化建设能力的提升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317A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68E3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5BD270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BD6D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32</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958A12">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C42B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9787303222742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2F2EB">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为教育涂色——园长课程领导力的提升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34A9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7AA1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09156A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087A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33</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5AFBF5">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E51E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9787303222766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E7D4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安全无小事——园长安全管理能力的提升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6F58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BD28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7D3C72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5223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34</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5FA6D5">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575E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9787303222759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8AAB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成就教师——园长教师队伍建设能力的提升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7CD9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A756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7EA915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DC10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215F8B">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1080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9787303222698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60A1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绽放幕后精彩——园长指导后勤工作能力的提升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DFCF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5E3C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1F4F4E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C792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36</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6F39CF">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B64E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9787303222711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C2D9A">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教科研并不难——园长教科研管理能力的提升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0DD7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FFD8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354752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BA56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37</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35A750">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8A8E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9787303222704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8AABA">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尊重生命的管理——园长卫生保健工作管理能力的提升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DE8A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21B0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32505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EE86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38</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DD37CE">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C125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9787303222728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8F36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源头与活水——园长指导保教工作能力的提升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96A4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12B1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420715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EF07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39</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F406D4">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E2C1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9787303238255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0171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幼儿园规范化管理指南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BE2C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ABCE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621510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A7F6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40</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307B04">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FFF2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9787303183036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8737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幼儿园后勤精细化管理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4A1B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C78B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39F237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C65F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41</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324AD1">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E7F7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9787303214945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CD146">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幼儿园精粹管理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117F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8F2B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65047C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E14A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42</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E556DC">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A081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9787565120008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A086C0">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幼儿园精细化管理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D8DD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17AA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597EDD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7637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43</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5A5E4D">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04CE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9787565115301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CCDDA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幼儿园管理故事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BE69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9A5A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74D817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A91D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44</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E16364">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9004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9787518416066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796C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幼儿教师的核心素养与专业成长——幼儿园班级管理问题与处理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29E2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D9B7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4DBA80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7E39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45</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BFD0B9">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90DB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9787518418022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95C5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幼儿园班级管理问题预防与应对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03FF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E03D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1EFAAB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E34D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46</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406B89">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9708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9787518415960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206760">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幼儿园班级安全管理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0762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90CF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50EE6E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DC5C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47</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FDCC3B">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61A7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9787518415960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E41B8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幼儿园安全管理策略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6005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98FB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5579FF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A8F1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48</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5FD3AF">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A205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9787109214279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C1AE6">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幼儿园管理实用手册（全国幼儿教师培训用书）&lt;梦山书系&gt;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3429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CCFD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42866F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00DA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49</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493E40">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A19D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9787533467708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8EBEE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幼儿园的50个安全管理问题（全国幼儿教师培训用书）&lt;梦山书系&gt;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5A37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724D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3F7AA0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2DF2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18FE9C">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AB30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9787533466602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1342A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幼儿园管理的50个细节（教育教学细节丛书）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8ECF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C040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261DDE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A11C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51</w:t>
            </w:r>
          </w:p>
        </w:tc>
        <w:tc>
          <w:tcPr>
            <w:tcW w:w="19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7E280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纲要指南规程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72F0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9787565609565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15F3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3-6岁儿童学习与发展指南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90C5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1593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7DD95A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A497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52</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08AF36">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FDA9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9787563724093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2C7A0">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《3-6岁儿童学习与发展指南》解读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5772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E1A7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2E998E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61C7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53</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32F9CB">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A971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9787563724079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544E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《3-6岁儿童学习与发展指南》解读家长读本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2FE2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7421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696A88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2865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54</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8D110C">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7C81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9787565609565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DE62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2016版幼儿园工作规程——附《3-6岁儿童学习与发展指南》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4D7E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D8ED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737089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AF59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55</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9B4218">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C8F1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9787565628429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4927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《&lt;2016版幼儿园工作规程&gt;附幼儿园工作规程新旧对照》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428A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3CF6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4B075E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CD86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56</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D2D119">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1C94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9787565628405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3851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2016版幼儿园工作规程教职工读本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640A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1BE6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4B0C2D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17F4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57</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1B9A5C">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C80F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9787576006230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CCEB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2016幼儿园工作规程园长读本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9AD5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8018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3C71D1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577B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58</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7B632C">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59EF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9787565636585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42FD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幼儿园教育指导纲要（试行）——及相关法规汇编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572F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9D9D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50E2F9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1A60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59</w:t>
            </w:r>
          </w:p>
        </w:tc>
        <w:tc>
          <w:tcPr>
            <w:tcW w:w="19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32960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快乐与发展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94B0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9787303094448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2E484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幼儿园快乐与发展课程教师用书（中班）上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DE2A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0300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105EDC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16C1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60</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24F147">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2CF4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9787303108053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1CB82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幼儿园快乐与发展课程教师用书（中班）下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DF8A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1D5C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4B5231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987B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61</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7ED928">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70E1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9787303094431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1FCEF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幼儿园快乐与发展课程教师用书（小班）上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AB8D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F3CD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51F7D6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0390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62</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CAAC2E">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9A35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9787303107636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833C1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幼儿园快乐与发展课程教师用书（小班）下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96F6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80CD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214611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838F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63</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98FBD2">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42B9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9787303094455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ABB3C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幼儿园快乐与发展课程教师用书（大班）上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C072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B5B3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373BC5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0DFD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64</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691781">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B28D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9787303108084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39511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幼儿园快乐与发展课程教师用书（大班）下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B46A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FA62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27BD22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1058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65</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A1735E">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3CAD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9787303093007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C1C796">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幼儿园快乐与发展课程教师教学用书 托班上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4C41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5C59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34CCE3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6A19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66</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907C81">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82E6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9787303106745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3A274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幼儿园快乐与发展课程教师教学用书 托班下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95B3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CB13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4AB0FE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35B1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67</w:t>
            </w:r>
          </w:p>
        </w:tc>
        <w:tc>
          <w:tcPr>
            <w:tcW w:w="19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2A3C9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环境创设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B4CA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9787518415694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31C1A">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幼儿教师的核心素养与专业成长——幼儿园区域环境创设与活动开展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6096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12F5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3620D2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3089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68</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C2CDA6">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15C3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9787501989409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9958F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桃李书系幼儿园教师专业标准培训丛书幼儿与幼儿园环境对话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CF29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C353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36DDB4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7482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69</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FFC348">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B23A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9787501991495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B5FB3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幼儿园创造性游戏：环境创设与活动指导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6885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2436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29AB77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0404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70</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5CF0B5">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BEA4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9787501996131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EA911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幼儿园区域活动——环境创设与活动设计方法（全彩）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0373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FC69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774A57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85C7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71</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511F6A">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27EE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9787501991495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2E666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小区域，大学问——幼儿园区域环境创设与活动指导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4D6B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9783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638185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4017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72</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D6F581">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AB93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9787567530157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9448A">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幼儿园中华优秀传统文化教育环境创设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7A63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453A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31BFC2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C67A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73</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E56A2F">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CD18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9787549202669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B108B">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幼儿园环境创设主题墙饰篇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A1E9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8332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00D2F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4F6F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74</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CD0FCF">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C5B4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9787549202669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2FC2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幼儿园环境创设区角与陈列篇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B419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B4C2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134186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98DA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75</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38A856">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D7A3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9787549202669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1480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幼儿园环境创设主题环境篇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6B52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590D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7B75AE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EFED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76</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280253">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2B5C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9787549202669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8A4C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幼儿园环境创设角色游戏篇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64C7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A829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7FCF4F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5A9D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77</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AB342B">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B9A9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9787501996131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DF333">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幼儿园环境创设整合设计篇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6908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A8BB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754379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68AD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78</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84EFC9">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141C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9787543076563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3E4E0">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幼儿园墙饰环境三维空间设计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2807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FC0E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7B877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841A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79</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42E47B">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7C7B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9787308051422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6DA8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幼儿园环境创设新概念上教玩具创意活动设计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3CC9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F45E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65390A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58C8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934F4A">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2B05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9787308051422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1181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幼儿园环境创设新概念下墙饰区角创意设计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7D0A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1C06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72C317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6CB5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81</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C681EC">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D222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9787543032897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1098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幼儿园墙饰环境整合设计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BD92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1B0C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7266E6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E38A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82</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08EAFE">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994B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9787539419367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EFE3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幼儿园墙饰环境整合手工制作大全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007C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96F4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314CF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74DC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83</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C64501">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54CE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9787109205482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279AA">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环境美育幼儿成长——幼儿园环境创设与与教育互动初探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218D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D559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090608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3748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84</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93EEC0">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8CA4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9787567775947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19CC6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幼儿园智慧管理丛书 幼儿园环境设计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D9E7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90F7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7D7233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38BD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85</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3D1F23">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B36F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9787569221923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41C64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幼儿园教育环境与创设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1743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55A2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3285E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00D0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86</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CE4CB0">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9FB8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9787303172696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54DEB">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幼儿学习环境的创设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0DA0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99D8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43B6E3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8041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87</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BDDB47">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559C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9787303249268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ADF00">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图说：幼儿园环境规划与创设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9729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7C6C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39913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DFAD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88</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8BD488">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BBB5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9787303162215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4ADF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幼儿园探究式环境创设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AB38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F508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2E7104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A269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89</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9E05E7">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795F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9787565146459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BE6BFB">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0～8岁儿童学习环境创设（教育实验室）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769D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13F8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7BA92C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6F48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2A205A">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C8EE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9787565113444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CB161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幼儿园主题环境创意新设计（小班）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E465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FD0F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73D412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178A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91</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6F0881">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368C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9787565113437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107EE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幼儿园主题环境创意新设计（中班）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BFFE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0DAD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04C904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358C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92</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E6EEB9">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119A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9787565113420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65E3C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幼儿园主题环境创意新设计（大班）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FD89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7379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1B4FE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BC60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93</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BE1DDC">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0BDD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9787565125140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5C452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图解：幼儿园班级主题环境创设（小班）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E993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452B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025C10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4729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94</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775BA5">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141E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9787565125133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43C13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图解：幼儿园班级主题环境创设（中班）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85D7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86F8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359118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F4DC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95</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11D079">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C139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9787565125140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038C3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图解：幼儿园班级主题环境创设（小班）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69A8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CE7D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0159EA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ECDD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96</w:t>
            </w:r>
          </w:p>
        </w:tc>
        <w:tc>
          <w:tcPr>
            <w:tcW w:w="19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8B492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教育理念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2401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9787565115950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1ECB8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儿童的一百种语言（第3版）：转型时期的瑞吉欧·艾米利亚经验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CE80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3175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1C18F6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D783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97</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FFE9F9">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3476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9787565116223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29743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对话瑞吉欧·艾米里亚：倾听，研究与学习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D5DE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2471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204FA8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9682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98</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5E416C">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3318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9787565116445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48F4D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我们都是探索者：在城市环境中运用瑞吉欧原则开展教学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3AFC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21B2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0DAB48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250F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99</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97A3C4">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4AB5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9787565116452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D57200">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瑞吉欧·艾米利亚市属幼儿园和婴幼园指南（瑞吉欧幼儿教育精选译丛）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9740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BF89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5961D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EBB4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ED30F7">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0056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9787565116469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3F6E9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除了蚂蚁，什么东西都有影子（瑞吉欧幼儿教育精选译丛）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CAAF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52BA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168D20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20F9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101</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A515D8">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9962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9787565125577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A44CE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劳拉日记（瑞吉欧幼儿教育精选译丛）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6F7C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063C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0D21C2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0D32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102</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3A513B">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0E3E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9787811017960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CB68E3">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早期教育理论的实际应用（幼儿教师专业发展译丛）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E97E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AF63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429307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DE2C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103</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6AA7D3">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3B27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9787811017946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57DEEA">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儿童早期游戏规划（第2版）（幼儿教师专业发展译丛）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5C33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7224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4FFEB0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2E91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104</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025AB7">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8414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9787811017953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A31E8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支持特殊需要：理解早期教育中的全纳理念（幼儿教师专业发展译丛）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B5D0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AC75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500B85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4EC3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105</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3109C6">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FF4D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9787565119774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61059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儿童行为管理（幼儿教师专业发展译丛）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CE0C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EEE3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122953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2D01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106</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BDDB09">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F1D9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9787565103223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C2B6D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儿童工作中的全纳、平等和多样性（幼儿教师专业发展译丛）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6F9B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27A4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062E43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73E9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107</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1BB404">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5646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9787565110788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75C04A">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儿童早期发展：基于多元文化视角（第5版）(教育实验室）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3A77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DF9B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02FE48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C509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108</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A1C6D2">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A69A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9787565110825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8FC030">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早期儿童读写能力发展：帮助儿童读与写 ：第6版(教育实验室）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1357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796F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73F32D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B0E0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109</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C139AA">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CEC5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9787565110795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C55720">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游戏、儿童发展与早期教育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5637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4FDE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6D8610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2E7D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110</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655D79">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759E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9787565110801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F6197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早期儿童数学教育（第4版）(教育实验室）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D0E6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3194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561EE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96C4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111</w:t>
            </w:r>
          </w:p>
        </w:tc>
        <w:tc>
          <w:tcPr>
            <w:tcW w:w="19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76063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教师培训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A230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9787518415687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3C55C0">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幼儿教师的核心素养与专业成长——幼儿园五大领域核心经验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0A7C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CC70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2DEBFC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229C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112</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4AF298">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C6A5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9787518416073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C20320">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幼儿教师的核心素养与专业成长——幼儿园一日生活组织与指导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5907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DC66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1672B0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F629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113</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76C67D">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7199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9787518416110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DC216">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幼儿教师的核心素养与专业成长——幼儿常见冲突解决策略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126B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2488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41704F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3430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114</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E24710">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10BD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9787518416103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B93B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幼儿教师的核心素养与专业成长——幼儿教师成长的36个建议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A5DA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DAA6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2CFDD0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4283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115</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484B3F">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F5E1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9787518416264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41A23">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幼儿教师的核心素养与专业成长——幼儿教师的核心素养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BAA4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8C06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483CB5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05F9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116</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C76AE5">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A0D4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9787518416080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F6B5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幼儿教师的核心素养与专业成长——幼儿教师与家长沟通的33个技巧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F1E6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A57B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118899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587D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117</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1F4A6A">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9AE2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9787518416271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8FF7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幼儿教师的核心素养与专业成长——幼儿经典游戏278例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2822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1791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4F03D3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6339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118</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D6E0B2">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71D4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9787518416066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6FED0">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幼儿教师的核心素养与专业成长——幼儿园班级管理问题与处理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5633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604A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1D58B7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3873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119</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BEE7EE">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85B3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9787518415694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42ABB">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幼儿教师的核心素养与专业成长——幼儿园区域环境创设与活动开展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BB1E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CDF6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7CD714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09EC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120</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B9DABB">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51C3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9787518415403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142C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幼儿教师的核心素养与专业成长——幼儿园特色主题活动设计与实施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3A45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4AE0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47C883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A3A4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121</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9283B5">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AA73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9787518415670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592A3">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幼儿教师的核心素养与专业成长——幼儿园园本研修方法、步骤与案例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B067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9FB5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5F382C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745C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122</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DAC332">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2245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9787518416059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FECD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幼儿教师的核心素养与专业成长——幼儿园自制玩教具指导与范例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FA60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8181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08EA34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2D06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123</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E683A6">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A15D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9787530969359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01D0B6">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教师专业标准解读（幼儿教师）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1840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5491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45A631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5D69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124</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963BB5">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66FB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9787501989263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A312F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桃李书系幼儿园教师专业标准培训丛书幼儿能力培养与训练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3CE7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B0C5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643DA0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6F02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125</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21B02B">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8B6F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9787501988945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3E423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桃李书系幼儿园教师专业标准培训丛书幼儿教师教研活动及写作指导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334D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2691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490705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E508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126</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B087EA">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DC06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9787501989409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5BD9C6">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桃李书系幼儿园教师专业标准培训丛书幼儿与幼儿园环境对话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E69B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ABD0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502EF6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EFCC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127</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763AE9">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699B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9787501989270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78ACA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桃李书系幼儿园教师专业标准培训丛书园内幼儿安全防护与救助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599B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33E2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056804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5942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128</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57C3E2">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B9ED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9787501989287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F31EA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桃李书系幼儿园教师专业标准培训丛书幼儿游戏活动的支持与引导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E7D2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3F8A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066857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1C88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129</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F5544D">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6F0F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9787501989393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87AA1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桃李书系幼儿园教师专业标准培训丛书家长开放日的活动设计与组织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9DA8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E6BD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451294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1E6A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130</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CF1D71">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4C8E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9787501988907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1E80B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桃李书系幼儿园教师专业标准培训丛书幼儿教师的专业素养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EBA7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C9B8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3ACABD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AFB9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131</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CC10F0">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E0C7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9787501988853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F29DE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桃李书系幼儿园教师专业标准培训丛书幼教名师成长案例解读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80DA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3B6A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16A8EE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C3FD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132</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60E520">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8AD8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9787501989379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72019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桃李书系幼儿园教师专业标准培训丛书幼儿行为分析与教育对策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CA24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43B9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082AD7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525B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133</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8C7A38">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1B16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9787501989096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7D999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桃李书系幼儿园教师专业标准培训丛书教师如何观察和评价幼儿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8AD1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3FE7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3621DC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FA30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134</w:t>
            </w:r>
          </w:p>
        </w:tc>
        <w:tc>
          <w:tcPr>
            <w:tcW w:w="19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9ABE2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区域活动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B275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9787504854650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30F2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幼儿园区域活动指导手册（建构区）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71D3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8B94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6F6907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B202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135</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241751">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157F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9787303222155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BFABB">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幼儿园区域活动指导手册（角色区）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9A35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5D67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411943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6C2B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136</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9EAADC">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CA2F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9787303222377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C619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幼儿园区域活动指导手册（科学区）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C798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F570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3389DC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A83D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137</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BD8B3B">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532B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9787504854636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FB2E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幼儿园区域活动指导手册（美工区）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187F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25AF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7D6573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1A3A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138</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A596EA">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35C0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9787109239500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7D40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幼儿园区域活动使用手册——去小学化就是这么轻松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3AC5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ABA0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1FD38D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B58E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139</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9D9A5D">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6C61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9787569232462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08EDC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区域活动中师幼互动策略的探究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4F5E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1E6A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0A449E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7F44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140</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40A778">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8F8B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9787569216677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14B82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幼儿园区域游戏活动新玩法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E229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5A67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02EA2D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0EA5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141</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2E30EB">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7C0B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9787565123474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8EA05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主题·融合——幼儿园区域活动设计（小班）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CFF5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3FD4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31D59F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7ACE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142</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39CA4C">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67A4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9787565123481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F40DD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主题·融合——幼儿园区域活动设计（中班）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E490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CAAD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56E4A9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ACAB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143</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DA8C1E">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99D7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9787565123467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AC93E6">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主题·融合——幼儿园区域活动设计（大班）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1CE6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FA14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54E7AC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D278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144</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0B8A23">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8FDC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9787565126017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27243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创意拼搭——幼儿园建构游戏方案（小班）含1张光盘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AE30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D9C1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2CC36B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00F9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145</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68E977">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B163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9787565126024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A1BC1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创意拼搭——幼儿园建构游戏方案（中班）含1张光盘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F36D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E185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492DC5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B459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146</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FCDD5C">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586C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9787565126031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6AAB7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创意拼搭——幼儿园建构游戏方案（大班）含1张光盘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578A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BED3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264FE3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B701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147</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7EF218">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04AC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9787565119958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3EE24A">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玩味十足——艺术类（幼儿园玩教具创意制作实用手册）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14C0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4E98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259C7D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17E1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148</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EF1394">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7F01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9787565119965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8FF80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玩味十足——益智类（幼儿园玩教具创意制作实用手册）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128B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D3A3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1F018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704A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149</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6A456D">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6A1D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9787565119941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43926A">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玩味十足——生活类（幼儿园玩教具创意制作实用手册）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E413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C74A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0ECE1C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D262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150</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FBDECC">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C9F1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9787518419517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1449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幼儿园生活区材料制作与投放（全彩）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E544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63C3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3DEA76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0173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151</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92C4F3">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DADF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9787518419500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5B05A">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幼儿园科学区材料设计与评价（全彩）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69E1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C4B7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44E8D4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665D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152</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BE5B15">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F0FC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9787518417827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86CA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幼儿园数学区材料制作与投放（全彩）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47D7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B75C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772011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FA02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153</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B68585">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7DE0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9787518418008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F768A">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幼儿园语言区材料设计与评价（全彩）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DA77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F0CF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40AE47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AFA9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154</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883266">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2F60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9787518421039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95F1B">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幼儿园社会区材料设计与评价（全彩）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1E6C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8B60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7F5FC5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1662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155</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CD33A9">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D756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9787518425983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C0EF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幼儿园艺术区材料设计与评价（全彩）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617D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C33A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019849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3A46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156</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3F3371">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D824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9787565119934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6AC68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玩味十足——运动类（幼儿园玩教具创意制作实用手册）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4C54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8DBE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69212F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E878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157</w:t>
            </w:r>
          </w:p>
        </w:tc>
        <w:tc>
          <w:tcPr>
            <w:tcW w:w="19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9E16B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艺术表演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B569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9787565122927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48E906">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学前儿童戏剧教育（平装）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7481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3524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7D3766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3018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158</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FD9768">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B4AC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9787565122927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929490">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学前儿童戏剧教育（精装）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5063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175D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1D1550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2BC7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159</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A628B7">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7248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9787565116407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EB21D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表达·创作·表演——幼儿园戏剧教育课程（小班)(含2张光盘)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E8ED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2413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137586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C961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160</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9E76AF">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0D38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9787565116414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2B70A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表达·创作·表演——幼儿园戏剧教育课程（中班)(含2张光盘)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BBAA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C332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45FF15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B154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161</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483621">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2F01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9787565115646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91900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表达·创作·表演——幼儿园戏剧教育课程（大班）(含2张光盘)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1CA8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54F5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1D437C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0CCB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162</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5FE8C5">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27CB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9787565128714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3FB186">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幼儿园创造性戏剧活动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15B5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A3A2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625D06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93B8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163</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208321">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C9D7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9787565123832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639BD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亲子戏剧：幼儿园与家庭合作新范式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6547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6B43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4E8725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87F2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164</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958383">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62C7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9787565123528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5F179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小天鹅艺术化课程选编（第一辑）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47C3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F8FD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071D60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91D4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165</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8C8E6B">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E0B5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9787565124044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234AE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幼儿园童话剧主题课程--基于儿童经验的班本课程（小班）(小天鹅艺术教育丛书）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A3FF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DFED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400D4F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43E9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166</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E41554">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4F07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9787565124051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968FE0">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幼儿园童话剧主题课程--基于儿童经验的班本课程（中班）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BEDE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1F0C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5866D3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C58A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167</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5C0851">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76E6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9787565124037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D2B0A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幼儿园童话剧主题课程--基于儿童经验的班本课程（大班）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5BCA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A350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0E5A1C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F0EE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168</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1A02EC">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6D15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9787565103971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E0D87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儿童剧表演（小天鹅幼儿园艺术教育丛书）(含光盘)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0829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0C35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10866C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D254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169</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1A5CB5">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FF9C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9787565104053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F75C80">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舞蹈（小天鹅幼儿园艺术教育丛书）(含光盘)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E198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4ED8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5E5B7F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7312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170</w:t>
            </w:r>
          </w:p>
        </w:tc>
        <w:tc>
          <w:tcPr>
            <w:tcW w:w="19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E0A13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体智能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9C65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9787565124921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DCA1B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区域体育活动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4FC8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895E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04AC22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CA9E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171</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31DB45">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ED0F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9787565124938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C8F48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运动会与远足活动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307B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07D4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69FF3B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DCC4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172</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64C82F">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7314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9787565124068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7EB5B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体育活动案例(含光盘）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1888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8835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3BD9E1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8D5B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173</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870E2E">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19B5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9787565123719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7C58A6">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体操与集体舞（含1张光盘）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4EA0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64A9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71DBE3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F127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174</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0070BF">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9C97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9787565124945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ED3DB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自制玩具与体育游戏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3448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7A65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4222C9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3189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175</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975E30">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D972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9787109240414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CCCD3">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幼儿园阳光体育创新游戏活动. 小班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1D6D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FA8C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582751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56EE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176</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1832FD">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F963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9787109240421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5C90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幼儿园阳光体育创新游戏活动. 中班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6556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3E90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610A8E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9B78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177</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F7AA57">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DD2B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9787109240438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5207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幼儿园阳光体育创新游戏活动. 大班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9808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6359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78B632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5DD0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178</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E5EB54">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5173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9787109225817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88D8F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幼儿园阳光体育精示范活动  小班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B4D5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72E4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379332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8F01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179</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1560D1">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FD12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9787109225824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F79B1A">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幼儿园阳光体育精示范活动  中班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C7A0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7CDA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74F450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DC43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180</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B9C02F">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0DA9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9787109225831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97479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幼儿园阳光体育精示范活动  大班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7618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D053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1C8066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0510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181</w:t>
            </w:r>
          </w:p>
        </w:tc>
        <w:tc>
          <w:tcPr>
            <w:tcW w:w="19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D295C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主题活动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F620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9787565130717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0A9E5A">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小沙子，大世界：幼儿园玩沙活动设计与实施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D939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E193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55D297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1B51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182</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DFB839">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1718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9787565116872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54B34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小小收藏家——幼儿博物馆的建设与利用(幼儿园课程资源丛书)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2F5F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4511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44EF63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B8EF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183</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151A58">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D1AF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9787565117206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1848C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小小书虫——幼儿园图书馆的建设与利用(幼儿园课程资源丛书)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A75B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4344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1295B3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B79F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184</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B8C5A3">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9C9E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9787565117718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26056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小小美食家——幼儿园炊事活动（幼儿园课程资源丛书）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7F85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6C8C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46B2CB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6F6D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185</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358370">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A178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9787565116858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93B15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小小饲养员——幼儿园饲养活动(幼儿园课程资源丛书)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307F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CD97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582B55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98C6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186</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16E2E9">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B7D3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9787565115752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848CC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小小园丁——幼儿园种植活动（幼儿园课程资源丛书）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7E16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4B70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3D81B7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6724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187</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8D298D">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CA9B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9787565117978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E390D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小不点大发现——幼儿园科学发现活动（幼儿园课程资源丛书）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083C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7768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2649DD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D675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188</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3E63AB">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02B7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9787565115769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B0CE3A">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小小艺术家——幼儿园表演活动（幼儿园课程资源丛书）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6E68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86E6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4F7EE7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F5A6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189</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5D18F0">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08C9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9787565105135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B33170">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中国娃——幼儿园民间文化活动（上册）(幼儿园课程资源丛书)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2AC7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40A0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42616E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3E37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190</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400E0B">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6B8B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9787565117701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64211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中国娃——幼儿园民间文化活动（下册）(幼儿园课程资源丛书)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CB53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3F5E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2C52A5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5184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191</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7DAE74">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8254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9787565123436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66015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书屋的故事——幼儿图书馆建设与利用（幼儿园课程资源丛书）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A7BF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9A62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5216AE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63D1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192</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CA49EB">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3A91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9787565116872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3D0E4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小小木工坊——幼儿园木工坊的建设与利用（幼儿园课程资源丛书）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3F10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5C4D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50533B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09AD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193</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E65CD6">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2A43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9787565130090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92A10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小小农艺师--幼儿园农艺活动(幼儿园课程资源丛书）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F1D1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394D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1B51BE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AD4D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194</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BE5090">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C58F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9787565139550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9FDCA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小小布艺坊——幼儿园布艺活动（幼儿园课程资源丛书）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74CF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287E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5E68B5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3D96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195</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150A6F">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DD7B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9787565141591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7572D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石榴丰收啦（从课程资源到儿童经验丛书）（第一辑）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65C2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91B8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35173C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03BF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196</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E357D3">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668C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9787565141607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F29090">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造房子（从课程资源到儿童经验丛书）（第一辑）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741C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03E9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485E9F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CB0F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197</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F9A24D">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C3FF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9787565141614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DC8CD3">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神奇的大叶榕（从课程资源到儿童经验丛书）（第一辑）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E4B5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BEE4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135114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C348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198</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2A71D9">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0A0A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9787565141669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EB08C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花园里的昆虫记（从课程资源到儿童经验丛书）（第一辑）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7AAC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DDFD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7D0B53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F11F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199</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80812D">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0EFE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9787565146800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0ADE0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笋儿尖尖（从课程资源到儿童经验丛书）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9FB4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5466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6A3D0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4DB3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1653E9">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171F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9787565146787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9CD4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一树百获（从课程资源到儿童经验丛书）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4F22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7656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7AFD47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EFE3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C22479">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10C3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9787565144653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4C35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棉花躲猫猫（从课程资源到儿童经验丛书）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DDB5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E81F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7A863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CA7F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202</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C1DCC2">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DF6A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9787565141669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1EB2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儿童体验中心的故事（从课程资源到儿童经验丛书）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41EF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BCB5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037BB2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E8E7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203</w:t>
            </w:r>
          </w:p>
        </w:tc>
        <w:tc>
          <w:tcPr>
            <w:tcW w:w="19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0B53A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家园共育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33A1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9787518416080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A3D2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幼儿教师的核心素养与专业成长——幼儿教师与家长沟通的33个技巧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E8F7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0DDD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708D1E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5D35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204</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D42B52">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06F7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9787501989393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21A4C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桃李书系幼儿园教师专业标准培训丛书家长开放日的活动设计与组织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0DDC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ABED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515A34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20D6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205</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52C6D7">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0CAC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9787518403646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76E49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幼儿园家长工作技能与艺术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9484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777E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2E49A2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6487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206</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491FE8">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A2E0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9787501996100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A62C9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幼儿教师的家长工作技巧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0A68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0AB3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553686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44FB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207</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D7F2F7">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A844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9787501995929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91D25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幼儿园家长开放日活动设计与实践指导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EBA1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59CC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1D2EB7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3AEB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208</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208330">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663A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9787518423088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5A56CB">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0—8岁儿童纪律教育——给教师和家长的心理学建议（第六版）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B551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B60C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72CA8C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7F15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209</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D627A6">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32AD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9787300259123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1A8B5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透视0—3岁婴幼儿心理世界——给教师和家长的心理学建议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20B6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DB6A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196C4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42BF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210</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70F5F4">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3A01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978750199496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5ABB8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透视幼儿心理世界——给幼儿教师和家长的心理学建议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BB4C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B461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1039F9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2FB6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211</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793A62">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B91C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9787518401802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57E3B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给幼儿教师和家长的81条美术教育建议（全彩）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3869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3BB8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1F6619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E70E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212</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10254F">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527E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9787563724079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1E7A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《3-6岁儿童学习与发展指南》解读家长读本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3C11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B54B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4D4862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14D9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213</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4FFBD3">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1301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9787533478568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8E31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幼儿园家长工作沟通问题50例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DC59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46F0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0C566C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3971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214</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2E9AC6">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84B1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9787109224919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2495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预防为主的幼儿园家长工作——幼儿教师每月必读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0EF6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5CFB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7825E8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AAA1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215</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AF8F51">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7286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9787109241237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7DBDB">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亲子园家长必备工具书——亲子园实用手册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D8BC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86BA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37BE5A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3E62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216</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95F66B">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946D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9787530982679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F276F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研学书系 如何解答幼儿园家长常问的45个问题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8FBC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BCCF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2EBF5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3E9B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217</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AB939E">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8419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9787530982617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D4448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研学书系 新手幼儿教师如何与家长沟通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6995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B303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128540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9065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218</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8B5D71">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5E6B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9787567736337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52D56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幼儿园教师入职必备丛书 幼儿教师如何开好家长会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562A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A90E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6D4F7D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2849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219</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2C5E48">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B9B5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9787567545953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0973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幼儿园家长工作指导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9BA1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12E1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2DCB06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7FBB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220</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BBA3CE">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FD74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9787303237067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7DB26">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幼儿园家长工作实操指引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3F9F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2B11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0738F7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BCCC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221</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7BBA81">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3631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9787303222773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E650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牵手与牵心——园长指导家长工作能力的提升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7B75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72B9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7B3FB4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6973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222</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1B0BF4">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3B82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9787567566156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843E7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图解幼儿园体验式家长会实战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6CE3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8B06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3F2E49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F784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223</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1954A7">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9BC6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9787565110818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FBDEF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家校关系：与家长和家庭成功合作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2F10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B53B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70679F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43BF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224</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47800E">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3627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9787565142185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B18350">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陈鹤琴“家庭教育”家长实用手册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5788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A3C2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27D2A7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D394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225</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92AAD5">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0E6C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9787518408061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483B23">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破解家园沟通的44个难题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B922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D4FE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2752BF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B095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226</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08BE75">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29AB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9787533458744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5BCE52">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家园沟通的艺术（全国幼儿教师培训用书）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D27D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7BFD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67EC7D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F08A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227</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F7ED52">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45F8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9787109224650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81330">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幼儿园家园共育活动案例精选——幼儿园家庭必备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FD7C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6009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4DC745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51AB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228</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71CD24">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61D3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9787567789432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7070A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幼儿教师必备技能丛书 家园沟通实用技巧100例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5BCB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6F66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62E6B6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1406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229</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ACDB55">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950C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9787567799134 </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D8E3A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互联网+家园共育新探（双色）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5E7A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BCDE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48FD4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DEAC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230</w:t>
            </w:r>
          </w:p>
        </w:tc>
        <w:tc>
          <w:tcPr>
            <w:tcW w:w="19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3D045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卫生保健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1FCE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9787303222704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BBA7E">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托幼园所卫生保健工作实用手册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3A45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A470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5E76D6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2255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231</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6EC2C7">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89D2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9787303204199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B6381">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幼儿园保健医工作指南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2A8B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8E45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0BB520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6059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232</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52C322">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6742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9787303222704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9B220">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尊重生命的管理——园长卫生保健工作管理能力的提升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BE4A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9634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61778E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64FE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233</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FEBE06">
            <w:pPr>
              <w:jc w:val="cente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C6E7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9787520204415 </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C6F2B">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幼儿园卫生保健挂图（共7张）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411E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6462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r>
      <w:tr w14:paraId="3307F8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A30B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31B63">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33BEB">
            <w:pPr>
              <w:jc w:val="center"/>
              <w:rPr>
                <w:rFonts w:hint="eastAsia" w:ascii="宋体" w:hAnsi="宋体" w:eastAsia="宋体" w:cs="宋体"/>
                <w:i w:val="0"/>
                <w:iCs w:val="0"/>
                <w:color w:val="auto"/>
                <w:sz w:val="20"/>
                <w:szCs w:val="20"/>
                <w:u w:val="none"/>
              </w:rPr>
            </w:pP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9C948">
            <w:pPr>
              <w:jc w:val="left"/>
              <w:rPr>
                <w:rFonts w:hint="eastAsia" w:ascii="宋体" w:hAnsi="宋体" w:eastAsia="宋体" w:cs="宋体"/>
                <w:b/>
                <w:bCs/>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D2C6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F1C13">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233</w:t>
            </w:r>
          </w:p>
        </w:tc>
      </w:tr>
    </w:tbl>
    <w:p w14:paraId="5A6652AD">
      <w:pPr>
        <w:spacing w:line="360" w:lineRule="auto"/>
        <w:rPr>
          <w:rFonts w:hint="eastAsia" w:ascii="宋体" w:hAnsi="宋体" w:eastAsia="宋体" w:cs="宋体"/>
          <w:b/>
          <w:color w:val="auto"/>
          <w:sz w:val="24"/>
          <w:szCs w:val="24"/>
          <w:highlight w:val="none"/>
        </w:rPr>
      </w:pPr>
    </w:p>
    <w:p w14:paraId="6FBB6918">
      <w:pPr>
        <w:spacing w:line="360" w:lineRule="auto"/>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说明：</w:t>
      </w:r>
      <w:r>
        <w:rPr>
          <w:rFonts w:hint="eastAsia" w:ascii="宋体" w:hAnsi="宋体" w:eastAsia="宋体" w:cs="宋体"/>
          <w:color w:val="auto"/>
          <w:sz w:val="24"/>
          <w:szCs w:val="24"/>
          <w:highlight w:val="none"/>
        </w:rPr>
        <w:t>采用最低评标价法的采购项目，提供相同品牌产品的不同投标人参加同一合同项下投标的，以其中通过资格审查、符合性审查且报价最低的参加评标；报价相同的，由采购人或者采购人委托评标委员会按照</w:t>
      </w:r>
      <w:r>
        <w:rPr>
          <w:rFonts w:hint="eastAsia" w:ascii="宋体" w:hAnsi="宋体" w:eastAsia="宋体" w:cs="宋体"/>
          <w:color w:val="auto"/>
          <w:sz w:val="24"/>
          <w:szCs w:val="24"/>
          <w:highlight w:val="none"/>
          <w:lang w:eastAsia="zh-CN"/>
        </w:rPr>
        <w:t>磋商文件</w:t>
      </w:r>
      <w:r>
        <w:rPr>
          <w:rFonts w:hint="eastAsia" w:ascii="宋体" w:hAnsi="宋体" w:eastAsia="宋体" w:cs="宋体"/>
          <w:color w:val="auto"/>
          <w:sz w:val="24"/>
          <w:szCs w:val="24"/>
          <w:highlight w:val="none"/>
        </w:rPr>
        <w:t>规定的方式确定一个参加评标的投标人，</w:t>
      </w:r>
      <w:r>
        <w:rPr>
          <w:rFonts w:hint="eastAsia" w:ascii="宋体" w:hAnsi="宋体" w:eastAsia="宋体" w:cs="宋体"/>
          <w:color w:val="auto"/>
          <w:sz w:val="24"/>
          <w:szCs w:val="24"/>
          <w:highlight w:val="none"/>
          <w:lang w:eastAsia="zh-CN"/>
        </w:rPr>
        <w:t>磋商文件</w:t>
      </w:r>
      <w:r>
        <w:rPr>
          <w:rFonts w:hint="eastAsia" w:ascii="宋体" w:hAnsi="宋体" w:eastAsia="宋体" w:cs="宋体"/>
          <w:color w:val="auto"/>
          <w:sz w:val="24"/>
          <w:szCs w:val="24"/>
          <w:highlight w:val="none"/>
        </w:rPr>
        <w:t>未规定的采取随机抽取方式确定，其他投标无效。</w:t>
      </w:r>
    </w:p>
    <w:p w14:paraId="35E908B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w:t>
      </w:r>
      <w:r>
        <w:rPr>
          <w:rFonts w:hint="eastAsia" w:ascii="宋体" w:hAnsi="宋体" w:eastAsia="宋体" w:cs="宋体"/>
          <w:color w:val="auto"/>
          <w:sz w:val="24"/>
          <w:szCs w:val="24"/>
          <w:highlight w:val="none"/>
          <w:lang w:eastAsia="zh-CN"/>
        </w:rPr>
        <w:t>磋商文件</w:t>
      </w:r>
      <w:r>
        <w:rPr>
          <w:rFonts w:hint="eastAsia" w:ascii="宋体" w:hAnsi="宋体" w:eastAsia="宋体" w:cs="宋体"/>
          <w:color w:val="auto"/>
          <w:sz w:val="24"/>
          <w:szCs w:val="24"/>
          <w:highlight w:val="none"/>
        </w:rPr>
        <w:t>规定的方式确定一个投标人获得中标人推荐资格，</w:t>
      </w:r>
      <w:r>
        <w:rPr>
          <w:rFonts w:hint="eastAsia" w:ascii="宋体" w:hAnsi="宋体" w:eastAsia="宋体" w:cs="宋体"/>
          <w:color w:val="auto"/>
          <w:sz w:val="24"/>
          <w:szCs w:val="24"/>
          <w:highlight w:val="none"/>
          <w:lang w:eastAsia="zh-CN"/>
        </w:rPr>
        <w:t>磋商文件</w:t>
      </w:r>
      <w:r>
        <w:rPr>
          <w:rFonts w:hint="eastAsia" w:ascii="宋体" w:hAnsi="宋体" w:eastAsia="宋体" w:cs="宋体"/>
          <w:color w:val="auto"/>
          <w:sz w:val="24"/>
          <w:szCs w:val="24"/>
          <w:highlight w:val="none"/>
        </w:rPr>
        <w:t>未规定的采取随机抽取方式确定，其他同品牌投标人不作为中标候选人。</w:t>
      </w:r>
    </w:p>
    <w:p w14:paraId="6515B3F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非单一产品采购项目，采购人应当根据采购项目技术构成、产品价格比重等合理确定核心产品，并在</w:t>
      </w:r>
      <w:r>
        <w:rPr>
          <w:rFonts w:hint="eastAsia" w:ascii="宋体" w:hAnsi="宋体" w:eastAsia="宋体" w:cs="宋体"/>
          <w:color w:val="auto"/>
          <w:sz w:val="24"/>
          <w:szCs w:val="24"/>
          <w:highlight w:val="none"/>
          <w:lang w:eastAsia="zh-CN"/>
        </w:rPr>
        <w:t>磋商文件</w:t>
      </w:r>
      <w:r>
        <w:rPr>
          <w:rFonts w:hint="eastAsia" w:ascii="宋体" w:hAnsi="宋体" w:eastAsia="宋体" w:cs="宋体"/>
          <w:color w:val="auto"/>
          <w:sz w:val="24"/>
          <w:szCs w:val="24"/>
          <w:highlight w:val="none"/>
        </w:rPr>
        <w:t>中载明。多家投标人提供的核心产品品牌相同的，按前两款规定处理。</w:t>
      </w:r>
    </w:p>
    <w:p w14:paraId="577AB7ED">
      <w:pPr>
        <w:pStyle w:val="11"/>
        <w:rPr>
          <w:rFonts w:hint="eastAsia" w:ascii="宋体" w:hAnsi="宋体" w:eastAsia="宋体" w:cs="宋体"/>
          <w:b/>
          <w:color w:val="auto"/>
          <w:sz w:val="24"/>
          <w:szCs w:val="24"/>
          <w:highlight w:val="none"/>
          <w:lang w:val="en-US" w:eastAsia="zh-CN"/>
        </w:rPr>
      </w:pPr>
      <w:r>
        <w:rPr>
          <w:rFonts w:hint="eastAsia"/>
          <w:b/>
          <w:bCs/>
          <w:color w:val="auto"/>
          <w:highlight w:val="none"/>
          <w:lang w:val="en-US" w:eastAsia="zh-CN"/>
        </w:rPr>
        <w:t>备注：以上“★”项为必须响应项，如响应文件不能响应按无效响应文件处理。</w:t>
      </w:r>
    </w:p>
    <w:p w14:paraId="00220159">
      <w:pPr>
        <w:keepNext w:val="0"/>
        <w:keepLines w:val="0"/>
        <w:pageBreakBefore w:val="0"/>
        <w:widowControl w:val="0"/>
        <w:numPr>
          <w:ilvl w:val="0"/>
          <w:numId w:val="8"/>
        </w:numPr>
        <w:kinsoku/>
        <w:wordWrap/>
        <w:overflowPunct/>
        <w:topLinePunct w:val="0"/>
        <w:autoSpaceDE/>
        <w:autoSpaceDN/>
        <w:bidi w:val="0"/>
        <w:adjustRightInd/>
        <w:snapToGrid w:val="0"/>
        <w:spacing w:line="360" w:lineRule="auto"/>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商务要求</w:t>
      </w: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适用于A/B/C包）</w:t>
      </w:r>
    </w:p>
    <w:p w14:paraId="6C0D5F76">
      <w:pPr>
        <w:keepNext w:val="0"/>
        <w:keepLines w:val="0"/>
        <w:pageBreakBefore w:val="0"/>
        <w:widowControl w:val="0"/>
        <w:numPr>
          <w:ilvl w:val="0"/>
          <w:numId w:val="0"/>
        </w:numPr>
        <w:kinsoku/>
        <w:wordWrap/>
        <w:overflowPunct/>
        <w:topLinePunct w:val="0"/>
        <w:autoSpaceDE/>
        <w:autoSpaceDN/>
        <w:bidi w:val="0"/>
        <w:adjustRightInd/>
        <w:snapToGrid w:val="0"/>
        <w:spacing w:before="0" w:line="360" w:lineRule="auto"/>
        <w:ind w:left="0" w:leftChars="0" w:firstLine="422" w:firstLineChars="200"/>
        <w:jc w:val="both"/>
        <w:textAlignment w:val="auto"/>
        <w:rPr>
          <w:rFonts w:hint="eastAsia"/>
          <w:color w:val="auto"/>
        </w:rPr>
      </w:pPr>
      <w:r>
        <w:rPr>
          <w:rFonts w:hint="eastAsia" w:ascii="宋体" w:hAnsi="宋体" w:eastAsia="宋体" w:cs="宋体"/>
          <w:b/>
          <w:bCs/>
          <w:color w:val="auto"/>
          <w:kern w:val="2"/>
          <w:sz w:val="21"/>
          <w:szCs w:val="21"/>
          <w:lang w:val="en-US" w:eastAsia="zh-CN" w:bidi="zh-CN"/>
        </w:rPr>
        <w:t>以下带★条款为实质性条款，投标人须提供书面承诺函（格式自拟），不满足则视为无效投标。</w:t>
      </w:r>
    </w:p>
    <w:p w14:paraId="474E6331">
      <w:pPr>
        <w:pStyle w:val="55"/>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b/>
          <w:bCs/>
          <w:color w:val="auto"/>
          <w:highlight w:val="none"/>
          <w:lang w:val="en-US" w:eastAsia="zh-CN"/>
        </w:rPr>
        <w:t>★</w:t>
      </w:r>
      <w:r>
        <w:rPr>
          <w:rFonts w:hint="eastAsia" w:ascii="宋体" w:hAnsi="宋体" w:eastAsia="宋体" w:cs="宋体"/>
          <w:color w:val="auto"/>
          <w:sz w:val="24"/>
          <w:szCs w:val="24"/>
          <w:highlight w:val="none"/>
        </w:rPr>
        <w:t>交付</w:t>
      </w:r>
      <w:r>
        <w:rPr>
          <w:rFonts w:hint="eastAsia" w:ascii="宋体" w:hAnsi="宋体" w:eastAsia="宋体" w:cs="宋体"/>
          <w:color w:val="auto"/>
          <w:sz w:val="24"/>
          <w:szCs w:val="24"/>
          <w:highlight w:val="none"/>
          <w:lang w:val="en-US" w:eastAsia="zh-CN"/>
        </w:rPr>
        <w:t>期</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kern w:val="2"/>
          <w:sz w:val="24"/>
          <w:szCs w:val="24"/>
          <w:highlight w:val="none"/>
          <w:lang w:val="en-US" w:eastAsia="zh-CN" w:bidi="ar"/>
        </w:rPr>
        <w:t>合同签订生效之日起</w:t>
      </w:r>
      <w:r>
        <w:rPr>
          <w:rFonts w:hint="eastAsia" w:cs="宋体"/>
          <w:color w:val="auto"/>
          <w:kern w:val="2"/>
          <w:sz w:val="24"/>
          <w:szCs w:val="24"/>
          <w:highlight w:val="none"/>
          <w:lang w:val="en-US" w:eastAsia="zh-CN" w:bidi="ar"/>
        </w:rPr>
        <w:t>30</w:t>
      </w:r>
      <w:r>
        <w:rPr>
          <w:rFonts w:hint="eastAsia" w:ascii="宋体" w:hAnsi="宋体" w:eastAsia="宋体" w:cs="宋体"/>
          <w:color w:val="auto"/>
          <w:kern w:val="2"/>
          <w:sz w:val="24"/>
          <w:szCs w:val="24"/>
          <w:highlight w:val="none"/>
          <w:lang w:val="en-US" w:eastAsia="zh-CN" w:bidi="ar"/>
        </w:rPr>
        <w:t>日历天内交付</w:t>
      </w:r>
      <w:r>
        <w:rPr>
          <w:rFonts w:hint="eastAsia" w:ascii="宋体" w:hAnsi="宋体" w:eastAsia="宋体" w:cs="宋体"/>
          <w:color w:val="auto"/>
          <w:sz w:val="24"/>
          <w:szCs w:val="24"/>
          <w:highlight w:val="none"/>
        </w:rPr>
        <w:t>。</w:t>
      </w:r>
    </w:p>
    <w:p w14:paraId="6B2C4706">
      <w:pPr>
        <w:pStyle w:val="55"/>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2、</w:t>
      </w:r>
      <w:r>
        <w:rPr>
          <w:rFonts w:hint="eastAsia"/>
          <w:b/>
          <w:bCs/>
          <w:color w:val="auto"/>
          <w:highlight w:val="none"/>
          <w:lang w:val="en-US" w:eastAsia="zh-CN"/>
        </w:rPr>
        <w:t>★</w:t>
      </w:r>
      <w:r>
        <w:rPr>
          <w:rFonts w:hint="eastAsia" w:ascii="宋体" w:hAnsi="宋体" w:eastAsia="宋体" w:cs="宋体"/>
          <w:color w:val="auto"/>
          <w:sz w:val="24"/>
          <w:szCs w:val="24"/>
          <w:highlight w:val="none"/>
        </w:rPr>
        <w:t>交付地点</w:t>
      </w:r>
      <w:r>
        <w:rPr>
          <w:rFonts w:hint="eastAsia" w:ascii="宋体" w:hAnsi="宋体" w:eastAsia="宋体" w:cs="宋体"/>
          <w:color w:val="auto"/>
          <w:sz w:val="24"/>
          <w:szCs w:val="24"/>
          <w:highlight w:val="none"/>
          <w:lang w:eastAsia="zh-CN"/>
        </w:rPr>
        <w:t>：</w:t>
      </w:r>
      <w:r>
        <w:rPr>
          <w:rFonts w:hint="eastAsia" w:cs="宋体"/>
          <w:i w:val="0"/>
          <w:iCs w:val="0"/>
          <w:color w:val="auto"/>
          <w:kern w:val="0"/>
          <w:sz w:val="24"/>
          <w:szCs w:val="24"/>
          <w:highlight w:val="none"/>
          <w:u w:val="none"/>
          <w:lang w:val="en-US" w:eastAsia="zh-CN" w:bidi="ar"/>
        </w:rPr>
        <w:t>海口市琼山区振群幼儿园</w:t>
      </w:r>
      <w:r>
        <w:rPr>
          <w:rFonts w:hint="eastAsia" w:ascii="宋体" w:hAnsi="宋体" w:eastAsia="宋体" w:cs="宋体"/>
          <w:i w:val="0"/>
          <w:iCs w:val="0"/>
          <w:color w:val="auto"/>
          <w:kern w:val="0"/>
          <w:sz w:val="24"/>
          <w:szCs w:val="24"/>
          <w:highlight w:val="none"/>
          <w:u w:val="none"/>
          <w:lang w:val="en-US" w:eastAsia="zh-CN" w:bidi="ar"/>
        </w:rPr>
        <w:t>。</w:t>
      </w:r>
    </w:p>
    <w:p w14:paraId="5DA4CA14">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w:t>
      </w:r>
      <w:r>
        <w:rPr>
          <w:rFonts w:hint="eastAsia"/>
          <w:b/>
          <w:bCs/>
          <w:color w:val="auto"/>
          <w:highlight w:val="none"/>
          <w:lang w:val="en-US" w:eastAsia="zh-CN"/>
        </w:rPr>
        <w:t>★</w:t>
      </w:r>
      <w:r>
        <w:rPr>
          <w:rFonts w:hint="eastAsia" w:ascii="宋体" w:hAnsi="宋体" w:eastAsia="宋体" w:cs="宋体"/>
          <w:i w:val="0"/>
          <w:iCs w:val="0"/>
          <w:color w:val="auto"/>
          <w:kern w:val="0"/>
          <w:sz w:val="24"/>
          <w:szCs w:val="24"/>
          <w:highlight w:val="none"/>
          <w:u w:val="none"/>
          <w:lang w:val="en-US" w:eastAsia="zh-CN" w:bidi="ar"/>
        </w:rPr>
        <w:t>交货方式</w:t>
      </w:r>
      <w:r>
        <w:rPr>
          <w:rFonts w:hint="eastAsia" w:ascii="宋体" w:hAnsi="宋体" w:eastAsia="宋体" w:cs="宋体"/>
          <w:color w:val="auto"/>
          <w:sz w:val="24"/>
          <w:szCs w:val="24"/>
          <w:highlight w:val="none"/>
          <w:lang w:eastAsia="zh-CN"/>
        </w:rPr>
        <w:t>：</w:t>
      </w:r>
      <w:r>
        <w:rPr>
          <w:rFonts w:hint="eastAsia" w:ascii="宋体" w:hAnsi="宋体" w:eastAsia="宋体" w:cs="宋体"/>
          <w:i w:val="0"/>
          <w:iCs w:val="0"/>
          <w:color w:val="auto"/>
          <w:kern w:val="0"/>
          <w:sz w:val="24"/>
          <w:szCs w:val="24"/>
          <w:highlight w:val="none"/>
          <w:u w:val="none"/>
          <w:lang w:val="en-US" w:eastAsia="zh-CN" w:bidi="ar"/>
        </w:rPr>
        <w:t>双方另行约定。</w:t>
      </w:r>
    </w:p>
    <w:p w14:paraId="7B0C38C3">
      <w:pPr>
        <w:keepNext w:val="0"/>
        <w:keepLines w:val="0"/>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w:t>
      </w:r>
      <w:r>
        <w:rPr>
          <w:rFonts w:hint="eastAsia"/>
          <w:b/>
          <w:bCs/>
          <w:color w:val="auto"/>
          <w:highlight w:val="none"/>
          <w:lang w:val="en-US" w:eastAsia="zh-CN"/>
        </w:rPr>
        <w:t>★</w:t>
      </w:r>
      <w:r>
        <w:rPr>
          <w:rFonts w:hint="eastAsia" w:ascii="宋体" w:hAnsi="宋体" w:eastAsia="宋体" w:cs="宋体"/>
          <w:color w:val="auto"/>
          <w:sz w:val="24"/>
          <w:szCs w:val="24"/>
          <w:highlight w:val="none"/>
          <w:lang w:val="en-US" w:eastAsia="zh-CN"/>
        </w:rPr>
        <w:t>包装和运输</w:t>
      </w:r>
    </w:p>
    <w:p w14:paraId="7AE58C96">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4.1交付货物的包装和运输的费用必须包含在投标报价中，且必须满足中国法律法规、相关部门的相应产业标准及本合同的要求产生。提供的货物应</w:t>
      </w:r>
      <w:r>
        <w:rPr>
          <w:rFonts w:hint="eastAsia" w:ascii="宋体" w:hAnsi="宋体" w:eastAsia="宋体" w:cs="宋体"/>
          <w:color w:val="auto"/>
          <w:sz w:val="24"/>
          <w:szCs w:val="24"/>
          <w:highlight w:val="none"/>
          <w:lang w:val="en-US" w:eastAsia="zh-CN"/>
        </w:rPr>
        <w:t>是</w:t>
      </w:r>
      <w:r>
        <w:rPr>
          <w:rFonts w:hint="eastAsia" w:ascii="宋体" w:hAnsi="宋体" w:eastAsia="宋体" w:cs="宋体"/>
          <w:color w:val="auto"/>
          <w:sz w:val="24"/>
          <w:szCs w:val="24"/>
          <w:highlight w:val="none"/>
        </w:rPr>
        <w:t>全新、完整、技术成熟稳定、性能质量良好并未曾使用的产品，货物及相关许可证明文件、技术文件、软件、服务等均不存在瑕疵。</w:t>
      </w:r>
    </w:p>
    <w:p w14:paraId="326E80FD">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4.2交付货物的塑料包装材料应尽量符合海南禁塑制品名录要求，优先使用低（无）挥发性有机物（VOCs）含量油墨印刷标识和全生物降解塑料，对于交付货物的运输优先使用清洁能源汽车。</w:t>
      </w:r>
    </w:p>
    <w:p w14:paraId="63CE9C07">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w:t>
      </w:r>
      <w:r>
        <w:rPr>
          <w:rFonts w:hint="eastAsia"/>
          <w:b/>
          <w:bCs/>
          <w:color w:val="auto"/>
          <w:highlight w:val="none"/>
          <w:lang w:val="en-US" w:eastAsia="zh-CN"/>
        </w:rPr>
        <w:t>★</w:t>
      </w:r>
      <w:r>
        <w:rPr>
          <w:rFonts w:hint="eastAsia" w:ascii="宋体" w:hAnsi="宋体" w:eastAsia="宋体" w:cs="宋体"/>
          <w:color w:val="auto"/>
          <w:sz w:val="24"/>
          <w:szCs w:val="24"/>
          <w:highlight w:val="none"/>
        </w:rPr>
        <w:t>验收标准</w:t>
      </w:r>
    </w:p>
    <w:p w14:paraId="5D9C6BD9">
      <w:pPr>
        <w:pStyle w:val="55"/>
        <w:keepNext w:val="0"/>
        <w:keepLines w:val="0"/>
        <w:pageBreakBefore w:val="0"/>
        <w:widowControl w:val="0"/>
        <w:numPr>
          <w:ilvl w:val="0"/>
          <w:numId w:val="0"/>
        </w:numPr>
        <w:kinsoku/>
        <w:wordWrap/>
        <w:overflowPunct/>
        <w:topLinePunct w:val="0"/>
        <w:autoSpaceDE/>
        <w:autoSpaceDN/>
        <w:bidi w:val="0"/>
        <w:spacing w:line="360" w:lineRule="auto"/>
        <w:ind w:left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（1）是</w:t>
      </w:r>
      <w:r>
        <w:rPr>
          <w:rFonts w:hint="eastAsia" w:ascii="宋体" w:hAnsi="宋体" w:eastAsia="宋体" w:cs="宋体"/>
          <w:color w:val="auto"/>
          <w:sz w:val="24"/>
          <w:szCs w:val="24"/>
          <w:highlight w:val="none"/>
        </w:rPr>
        <w:t>否满足合同规定的相关要求；</w:t>
      </w:r>
    </w:p>
    <w:p w14:paraId="729D1055">
      <w:pPr>
        <w:pStyle w:val="55"/>
        <w:keepNext w:val="0"/>
        <w:keepLines w:val="0"/>
        <w:pageBreakBefore w:val="0"/>
        <w:widowControl w:val="0"/>
        <w:numPr>
          <w:ilvl w:val="0"/>
          <w:numId w:val="0"/>
        </w:numPr>
        <w:kinsoku/>
        <w:wordWrap/>
        <w:overflowPunct/>
        <w:topLinePunct w:val="0"/>
        <w:autoSpaceDE/>
        <w:autoSpaceDN/>
        <w:bidi w:val="0"/>
        <w:spacing w:line="360" w:lineRule="auto"/>
        <w:ind w:left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（2）是</w:t>
      </w:r>
      <w:r>
        <w:rPr>
          <w:rFonts w:hint="eastAsia" w:ascii="宋体" w:hAnsi="宋体" w:eastAsia="宋体" w:cs="宋体"/>
          <w:color w:val="auto"/>
          <w:sz w:val="24"/>
          <w:szCs w:val="24"/>
          <w:highlight w:val="none"/>
        </w:rPr>
        <w:t>否达到了</w:t>
      </w:r>
      <w:r>
        <w:rPr>
          <w:rFonts w:hint="eastAsia" w:ascii="宋体" w:hAnsi="宋体" w:eastAsia="宋体" w:cs="宋体"/>
          <w:color w:val="auto"/>
          <w:sz w:val="24"/>
          <w:szCs w:val="24"/>
          <w:highlight w:val="none"/>
          <w:lang w:val="en-US" w:eastAsia="zh-CN"/>
        </w:rPr>
        <w:t>磋商</w:t>
      </w:r>
      <w:r>
        <w:rPr>
          <w:rFonts w:hint="eastAsia" w:ascii="宋体" w:hAnsi="宋体" w:eastAsia="宋体" w:cs="宋体"/>
          <w:color w:val="auto"/>
          <w:sz w:val="24"/>
          <w:szCs w:val="24"/>
          <w:highlight w:val="none"/>
        </w:rPr>
        <w:t>文件的采购需求。</w:t>
      </w:r>
    </w:p>
    <w:p w14:paraId="5397092A">
      <w:pPr>
        <w:pStyle w:val="55"/>
        <w:keepNext w:val="0"/>
        <w:keepLines w:val="0"/>
        <w:pageBreakBefore w:val="0"/>
        <w:widowControl w:val="0"/>
        <w:numPr>
          <w:ilvl w:val="0"/>
          <w:numId w:val="0"/>
        </w:numPr>
        <w:kinsoku/>
        <w:wordWrap/>
        <w:overflowPunct/>
        <w:topLinePunct w:val="0"/>
        <w:autoSpaceDE/>
        <w:autoSpaceDN/>
        <w:bidi w:val="0"/>
        <w:spacing w:line="360" w:lineRule="auto"/>
        <w:ind w:left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（3）是</w:t>
      </w:r>
      <w:r>
        <w:rPr>
          <w:rFonts w:hint="eastAsia" w:ascii="宋体" w:hAnsi="宋体" w:eastAsia="宋体" w:cs="宋体"/>
          <w:color w:val="auto"/>
          <w:sz w:val="24"/>
          <w:szCs w:val="24"/>
          <w:highlight w:val="none"/>
        </w:rPr>
        <w:t>否达到了</w:t>
      </w:r>
      <w:r>
        <w:rPr>
          <w:rFonts w:hint="eastAsia" w:ascii="宋体" w:hAnsi="宋体" w:eastAsia="宋体" w:cs="宋体"/>
          <w:color w:val="auto"/>
          <w:sz w:val="24"/>
          <w:szCs w:val="24"/>
          <w:highlight w:val="none"/>
          <w:lang w:val="en-US" w:eastAsia="zh-CN"/>
        </w:rPr>
        <w:t>响应</w:t>
      </w:r>
      <w:r>
        <w:rPr>
          <w:rFonts w:hint="eastAsia" w:ascii="宋体" w:hAnsi="宋体" w:eastAsia="宋体" w:cs="宋体"/>
          <w:color w:val="auto"/>
          <w:sz w:val="24"/>
          <w:szCs w:val="24"/>
          <w:highlight w:val="none"/>
        </w:rPr>
        <w:t>文件承诺的要求</w:t>
      </w:r>
    </w:p>
    <w:p w14:paraId="43ED0993">
      <w:pPr>
        <w:pStyle w:val="55"/>
        <w:keepNext w:val="0"/>
        <w:keepLines w:val="0"/>
        <w:pageBreakBefore w:val="0"/>
        <w:widowControl w:val="0"/>
        <w:numPr>
          <w:ilvl w:val="0"/>
          <w:numId w:val="0"/>
        </w:numPr>
        <w:kinsoku/>
        <w:wordWrap/>
        <w:overflowPunct/>
        <w:topLinePunct w:val="0"/>
        <w:autoSpaceDE/>
        <w:autoSpaceDN/>
        <w:bidi w:val="0"/>
        <w:spacing w:line="360" w:lineRule="auto"/>
        <w:ind w:left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（4）是</w:t>
      </w:r>
      <w:r>
        <w:rPr>
          <w:rFonts w:hint="eastAsia" w:ascii="宋体" w:hAnsi="宋体" w:eastAsia="宋体" w:cs="宋体"/>
          <w:color w:val="auto"/>
          <w:sz w:val="24"/>
          <w:szCs w:val="24"/>
          <w:highlight w:val="none"/>
        </w:rPr>
        <w:t>否满足国家、海南省、行业相关规范和标准的要求。</w:t>
      </w:r>
    </w:p>
    <w:p w14:paraId="55DC0629">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6、售后服务</w:t>
      </w:r>
    </w:p>
    <w:p w14:paraId="58B5B365">
      <w:pPr>
        <w:pStyle w:val="22"/>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lang w:val="en-US" w:eastAsia="zh-CN"/>
        </w:rPr>
        <w:t>1</w:t>
      </w: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bCs/>
          <w:color w:val="auto"/>
          <w:sz w:val="24"/>
          <w:szCs w:val="24"/>
          <w:highlight w:val="none"/>
        </w:rPr>
        <w:t>保修期</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不得少于</w:t>
      </w:r>
      <w:r>
        <w:rPr>
          <w:rFonts w:hint="eastAsia" w:ascii="宋体" w:hAnsi="宋体" w:cs="宋体"/>
          <w:b/>
          <w:bCs/>
          <w:color w:val="auto"/>
          <w:sz w:val="24"/>
          <w:szCs w:val="24"/>
          <w:highlight w:val="none"/>
          <w:lang w:val="en-US" w:eastAsia="zh-CN"/>
        </w:rPr>
        <w:t>3</w:t>
      </w:r>
      <w:r>
        <w:rPr>
          <w:rFonts w:hint="eastAsia" w:ascii="宋体" w:hAnsi="宋体" w:eastAsia="宋体" w:cs="宋体"/>
          <w:b/>
          <w:bCs/>
          <w:color w:val="auto"/>
          <w:sz w:val="24"/>
          <w:szCs w:val="24"/>
          <w:highlight w:val="none"/>
        </w:rPr>
        <w:t>年</w:t>
      </w:r>
      <w:r>
        <w:rPr>
          <w:rFonts w:hint="eastAsia" w:ascii="宋体" w:hAnsi="宋体" w:eastAsia="宋体" w:cs="宋体"/>
          <w:b w:val="0"/>
          <w:bCs w:val="0"/>
          <w:color w:val="auto"/>
          <w:sz w:val="24"/>
          <w:szCs w:val="24"/>
          <w:highlight w:val="none"/>
        </w:rPr>
        <w:t>，产品交付</w:t>
      </w:r>
      <w:r>
        <w:rPr>
          <w:rFonts w:hint="eastAsia" w:ascii="宋体" w:hAnsi="宋体" w:eastAsia="宋体" w:cs="宋体"/>
          <w:color w:val="auto"/>
          <w:sz w:val="24"/>
          <w:szCs w:val="24"/>
          <w:highlight w:val="none"/>
        </w:rPr>
        <w:t>使用后，保修期内免费上门保修。</w:t>
      </w:r>
    </w:p>
    <w:p w14:paraId="3FF5FFE0">
      <w:pPr>
        <w:pStyle w:val="22"/>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供应商须开通24小时服务热线，提供7*24小时技术服务。在质保期内，产品问题2小时内响应，48小时内上门服务，并在2天内修复，否则，必须提供备用产品。同一产品、同一质量问题，连续两次维修仍无法正常使用，供应商必须予以更换同品牌、同型号全新产品或性能更优的替代产品，采购人不再支付额外任何费用。</w:t>
      </w:r>
    </w:p>
    <w:p w14:paraId="57BCF21A">
      <w:pPr>
        <w:pStyle w:val="22"/>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质保期内，供应商负责对其提供的系统及全部产品进行维修和软件维护、升级，不再向采购人收取费用，但人为因素、自然因素（如火灾、雷击等）造成的故障除外。</w:t>
      </w:r>
    </w:p>
    <w:p w14:paraId="38A34796">
      <w:pPr>
        <w:pStyle w:val="22"/>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所有产品和软件质保服务方式均为供应商上门保修，即由供应商派员到采购人设备使用现场维修，由此产生的一切费用均由供应商承担。</w:t>
      </w:r>
    </w:p>
    <w:p w14:paraId="6FC79A05">
      <w:pPr>
        <w:pStyle w:val="22"/>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供应商在质保期内定期回访，每年不少于2次，免费提供技术培训，并提供采购人要求的所有培训资料，培训主要内容为产品的基本结构、性能、主要部件的构造及原理，日常使用操作、保养与管理，常见故障的排除，紧急情况的处理等，培训地点由采购人确定。</w:t>
      </w:r>
    </w:p>
    <w:p w14:paraId="33D57CBD">
      <w:pPr>
        <w:pStyle w:val="22"/>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供应商需提供区域维修服务网络和技术保障能力情况；提供全寿命周期的主要耗损件、易损件及更换周期的目录和年度价格清单，并承诺保证供应且价格合理。</w:t>
      </w:r>
    </w:p>
    <w:p w14:paraId="5E8E354B">
      <w:pPr>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rPr>
        <w:t>质量保证</w:t>
      </w:r>
    </w:p>
    <w:p w14:paraId="20EFDE18">
      <w:pPr>
        <w:pStyle w:val="22"/>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所投的产品必须</w:t>
      </w:r>
      <w:r>
        <w:rPr>
          <w:rFonts w:hint="eastAsia" w:ascii="宋体" w:hAnsi="宋体" w:eastAsia="宋体" w:cs="宋体"/>
          <w:color w:val="auto"/>
          <w:sz w:val="24"/>
          <w:szCs w:val="24"/>
          <w:highlight w:val="none"/>
          <w:lang w:eastAsia="zh-CN"/>
        </w:rPr>
        <w:t>是</w:t>
      </w:r>
      <w:r>
        <w:rPr>
          <w:rFonts w:hint="eastAsia" w:ascii="宋体" w:hAnsi="宋体" w:eastAsia="宋体" w:cs="宋体"/>
          <w:color w:val="auto"/>
          <w:sz w:val="24"/>
          <w:szCs w:val="24"/>
          <w:highlight w:val="none"/>
        </w:rPr>
        <w:t>厂商原装、全新的正品，符合国家及该产品的出厂标准，必须提供出厂合格证等证明文件。</w:t>
      </w:r>
    </w:p>
    <w:p w14:paraId="34510135">
      <w:pPr>
        <w:pStyle w:val="22"/>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所投的产品外观清洁，标记编号以及盘面显示等字体清晰、明确。</w:t>
      </w:r>
    </w:p>
    <w:p w14:paraId="109BA359">
      <w:pPr>
        <w:pStyle w:val="22"/>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所投产品必须</w:t>
      </w:r>
      <w:r>
        <w:rPr>
          <w:rFonts w:hint="eastAsia" w:ascii="宋体" w:hAnsi="宋体" w:eastAsia="宋体" w:cs="宋体"/>
          <w:color w:val="auto"/>
          <w:sz w:val="24"/>
          <w:szCs w:val="24"/>
          <w:highlight w:val="none"/>
          <w:lang w:eastAsia="zh-CN"/>
        </w:rPr>
        <w:t>是</w:t>
      </w:r>
      <w:r>
        <w:rPr>
          <w:rFonts w:hint="eastAsia" w:ascii="宋体" w:hAnsi="宋体" w:eastAsia="宋体" w:cs="宋体"/>
          <w:color w:val="auto"/>
          <w:sz w:val="24"/>
          <w:szCs w:val="24"/>
          <w:highlight w:val="none"/>
        </w:rPr>
        <w:t>在中国范围内合法销售，原装、全新、并完全符合用户要求的产品。</w:t>
      </w:r>
    </w:p>
    <w:p w14:paraId="6BFB2B0C">
      <w:pPr>
        <w:pStyle w:val="22"/>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对于影响设备正常工作的必要组成部分，无论在技术规范中指出与否，供应商都应提供在</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中明确列出。</w:t>
      </w:r>
    </w:p>
    <w:p w14:paraId="727A7579">
      <w:pPr>
        <w:pStyle w:val="22"/>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因货物的质量问题而发生争议，</w:t>
      </w:r>
      <w:r>
        <w:rPr>
          <w:rFonts w:hint="eastAsia" w:ascii="宋体" w:hAnsi="宋体" w:eastAsia="宋体" w:cs="宋体"/>
          <w:color w:val="auto"/>
          <w:kern w:val="2"/>
          <w:sz w:val="24"/>
          <w:szCs w:val="24"/>
          <w:highlight w:val="none"/>
          <w:lang w:val="en-US" w:eastAsia="zh-CN" w:bidi="ar"/>
        </w:rPr>
        <w:t>可委托有相关资质的第三方机构进行质量鉴定。鉴定费用由供应商承担。</w:t>
      </w:r>
    </w:p>
    <w:p w14:paraId="102F2D0E">
      <w:pPr>
        <w:pStyle w:val="22"/>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lang w:eastAsia="zh-CN"/>
        </w:rPr>
        <w:t>）</w:t>
      </w:r>
      <w:r>
        <w:rPr>
          <w:rFonts w:hint="eastAsia" w:ascii="宋体" w:hAnsi="宋体" w:eastAsia="宋体" w:cs="宋体"/>
          <w:b/>
          <w:bCs/>
          <w:color w:val="auto"/>
          <w:sz w:val="24"/>
          <w:szCs w:val="24"/>
          <w:highlight w:val="none"/>
        </w:rPr>
        <w:t>产品整体质保期</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不得少于</w:t>
      </w:r>
      <w:r>
        <w:rPr>
          <w:rFonts w:hint="eastAsia" w:ascii="宋体" w:hAnsi="宋体" w:cs="宋体"/>
          <w:b/>
          <w:bCs/>
          <w:color w:val="auto"/>
          <w:sz w:val="24"/>
          <w:szCs w:val="24"/>
          <w:highlight w:val="none"/>
          <w:lang w:val="en-US" w:eastAsia="zh-CN"/>
        </w:rPr>
        <w:t>3</w:t>
      </w:r>
      <w:r>
        <w:rPr>
          <w:rFonts w:hint="eastAsia" w:ascii="宋体" w:hAnsi="宋体" w:eastAsia="宋体" w:cs="宋体"/>
          <w:b/>
          <w:bCs/>
          <w:color w:val="auto"/>
          <w:sz w:val="24"/>
          <w:szCs w:val="24"/>
          <w:highlight w:val="none"/>
        </w:rPr>
        <w:t>年，产品质保期自验收合格之日起计。</w:t>
      </w:r>
    </w:p>
    <w:p w14:paraId="473F635A">
      <w:pPr>
        <w:pStyle w:val="22"/>
        <w:keepNext w:val="0"/>
        <w:keepLines w:val="0"/>
        <w:pageBreakBefore w:val="0"/>
        <w:widowControl w:val="0"/>
        <w:numPr>
          <w:ilvl w:val="0"/>
          <w:numId w:val="0"/>
        </w:numPr>
        <w:kinsoku/>
        <w:wordWrap/>
        <w:overflowPunct/>
        <w:topLinePunct w:val="0"/>
        <w:autoSpaceDE/>
        <w:autoSpaceDN/>
        <w:bidi w:val="0"/>
        <w:spacing w:line="360" w:lineRule="auto"/>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8、</w:t>
      </w:r>
      <w:r>
        <w:rPr>
          <w:rFonts w:hint="eastAsia" w:ascii="宋体" w:hAnsi="宋体" w:eastAsia="宋体" w:cs="宋体"/>
          <w:b/>
          <w:bCs/>
          <w:color w:val="auto"/>
          <w:sz w:val="24"/>
          <w:szCs w:val="24"/>
          <w:highlight w:val="none"/>
        </w:rPr>
        <w:t>安装调试</w:t>
      </w:r>
    </w:p>
    <w:p w14:paraId="5E1945E4">
      <w:pPr>
        <w:pStyle w:val="22"/>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所有产品应按出厂标准及国家相关要求进行包装及运输。由供应商免费送货至采购人指定地点并安装调试，安装调试应以需求书要求的技术参数指标为标准。</w:t>
      </w:r>
    </w:p>
    <w:p w14:paraId="07EDCFAB">
      <w:pPr>
        <w:pStyle w:val="22"/>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供应商应提供包括但不限于满足设备安装、使用和维护的技术文件，如：设备和附件装箱清单、设备质量合格检定证明文件、设备保修服务卡、设备使用说明和维护手册等。每件产品必须提供至少一份纸质中文使用说明书和电子文档说明书。</w:t>
      </w:r>
    </w:p>
    <w:p w14:paraId="0C8440DA">
      <w:pPr>
        <w:pStyle w:val="55"/>
        <w:keepNext w:val="0"/>
        <w:keepLines w:val="0"/>
        <w:pageBreakBefore w:val="0"/>
        <w:widowControl w:val="0"/>
        <w:numPr>
          <w:ilvl w:val="0"/>
          <w:numId w:val="0"/>
        </w:numPr>
        <w:kinsoku/>
        <w:wordWrap/>
        <w:overflowPunct/>
        <w:topLinePunct w:val="0"/>
        <w:autoSpaceDE/>
        <w:autoSpaceDN/>
        <w:bidi w:val="0"/>
        <w:spacing w:line="360" w:lineRule="auto"/>
        <w:ind w:left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rPr>
        <w:t>保险</w:t>
      </w:r>
    </w:p>
    <w:p w14:paraId="34AD05E8">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交付的货物在验收合格前，</w:t>
      </w:r>
      <w:r>
        <w:rPr>
          <w:rFonts w:hint="eastAsia" w:ascii="宋体" w:hAnsi="宋体" w:eastAsia="宋体" w:cs="宋体"/>
          <w:color w:val="auto"/>
          <w:sz w:val="24"/>
          <w:szCs w:val="24"/>
          <w:highlight w:val="none"/>
          <w:lang w:val="en-US" w:eastAsia="zh-CN"/>
        </w:rPr>
        <w:t>供应商</w:t>
      </w:r>
      <w:r>
        <w:rPr>
          <w:rFonts w:hint="eastAsia" w:ascii="宋体" w:hAnsi="宋体" w:eastAsia="宋体" w:cs="宋体"/>
          <w:color w:val="auto"/>
          <w:sz w:val="24"/>
          <w:szCs w:val="24"/>
          <w:highlight w:val="none"/>
        </w:rPr>
        <w:t>应对货物提供风险保障，所产生的保险费用由</w:t>
      </w:r>
      <w:r>
        <w:rPr>
          <w:rFonts w:hint="eastAsia" w:ascii="宋体" w:hAnsi="宋体" w:eastAsia="宋体" w:cs="宋体"/>
          <w:color w:val="auto"/>
          <w:sz w:val="24"/>
          <w:szCs w:val="24"/>
          <w:highlight w:val="none"/>
          <w:lang w:val="en-US" w:eastAsia="zh-CN"/>
        </w:rPr>
        <w:t>成交供应商</w:t>
      </w:r>
      <w:r>
        <w:rPr>
          <w:rFonts w:hint="eastAsia" w:ascii="宋体" w:hAnsi="宋体" w:eastAsia="宋体" w:cs="宋体"/>
          <w:color w:val="auto"/>
          <w:sz w:val="24"/>
          <w:szCs w:val="24"/>
          <w:highlight w:val="none"/>
        </w:rPr>
        <w:t>承担。</w:t>
      </w:r>
    </w:p>
    <w:p w14:paraId="55C822A8">
      <w:pPr>
        <w:pStyle w:val="55"/>
        <w:keepNext w:val="0"/>
        <w:keepLines w:val="0"/>
        <w:pageBreakBefore w:val="0"/>
        <w:widowControl w:val="0"/>
        <w:numPr>
          <w:ilvl w:val="0"/>
          <w:numId w:val="0"/>
        </w:numPr>
        <w:kinsoku/>
        <w:wordWrap/>
        <w:overflowPunct/>
        <w:topLinePunct w:val="0"/>
        <w:autoSpaceDE/>
        <w:autoSpaceDN/>
        <w:bidi w:val="0"/>
        <w:spacing w:line="360" w:lineRule="auto"/>
        <w:ind w:left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10、</w:t>
      </w:r>
      <w:r>
        <w:rPr>
          <w:rFonts w:hint="eastAsia" w:ascii="宋体" w:hAnsi="宋体" w:eastAsia="宋体" w:cs="宋体"/>
          <w:color w:val="auto"/>
          <w:sz w:val="24"/>
          <w:szCs w:val="24"/>
          <w:highlight w:val="none"/>
        </w:rPr>
        <w:t>知识产权</w:t>
      </w:r>
    </w:p>
    <w:p w14:paraId="7D372159">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供应商</w:t>
      </w:r>
      <w:r>
        <w:rPr>
          <w:rFonts w:hint="eastAsia" w:ascii="宋体" w:hAnsi="宋体" w:eastAsia="宋体" w:cs="宋体"/>
          <w:color w:val="auto"/>
          <w:sz w:val="24"/>
          <w:szCs w:val="24"/>
          <w:highlight w:val="none"/>
        </w:rPr>
        <w:t>必须保证，采购人在中华人民共和国境内使用投标货物、资料、技术、服务或其任何一部分时，享有不受限制的无偿使用权，如有第三方向采购人提出侵犯其专利权、商标权或其它知识产权的主张，该责任应由</w:t>
      </w:r>
      <w:r>
        <w:rPr>
          <w:rFonts w:hint="eastAsia" w:ascii="宋体" w:hAnsi="宋体" w:eastAsia="宋体" w:cs="宋体"/>
          <w:color w:val="auto"/>
          <w:sz w:val="24"/>
          <w:szCs w:val="24"/>
          <w:highlight w:val="none"/>
          <w:lang w:val="en-US" w:eastAsia="zh-CN"/>
        </w:rPr>
        <w:t>供应商</w:t>
      </w:r>
      <w:r>
        <w:rPr>
          <w:rFonts w:hint="eastAsia" w:ascii="宋体" w:hAnsi="宋体" w:eastAsia="宋体" w:cs="宋体"/>
          <w:color w:val="auto"/>
          <w:sz w:val="24"/>
          <w:szCs w:val="24"/>
          <w:highlight w:val="none"/>
        </w:rPr>
        <w:t>承担。</w:t>
      </w:r>
    </w:p>
    <w:p w14:paraId="63A2555E">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
          <w:color w:val="auto"/>
          <w:sz w:val="24"/>
          <w:szCs w:val="24"/>
          <w:highlight w:val="none"/>
          <w:lang w:val="en-US" w:eastAsia="zh-CN"/>
        </w:rPr>
      </w:pPr>
      <w:r>
        <w:rPr>
          <w:rFonts w:hint="eastAsia" w:ascii="宋体" w:hAnsi="宋体" w:eastAsia="宋体" w:cs="宋体"/>
          <w:color w:val="auto"/>
          <w:sz w:val="24"/>
          <w:szCs w:val="24"/>
          <w:highlight w:val="none"/>
        </w:rPr>
        <w:t>投标报价应包含所有应向所有权人支付的专利权、商标权或其它知识产权的一切相关费用；涉及相关专有技术的，在投标时应提供该技术专有人的使用授权正本附于投标书中，否则做侵权废标处理。</w:t>
      </w:r>
    </w:p>
    <w:p w14:paraId="6D1A3289">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四、</w:t>
      </w:r>
      <w:r>
        <w:rPr>
          <w:rFonts w:hint="eastAsia" w:ascii="宋体" w:hAnsi="宋体" w:eastAsia="宋体" w:cs="宋体"/>
          <w:b/>
          <w:color w:val="auto"/>
          <w:sz w:val="24"/>
          <w:szCs w:val="24"/>
          <w:highlight w:val="none"/>
        </w:rPr>
        <w:t>其他相关要求</w:t>
      </w:r>
    </w:p>
    <w:p w14:paraId="36F3A2A7">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bookmarkStart w:id="25" w:name="_Toc460421741"/>
      <w:r>
        <w:rPr>
          <w:rFonts w:hint="eastAsia" w:ascii="宋体" w:hAnsi="宋体" w:eastAsia="宋体" w:cs="宋体"/>
          <w:color w:val="auto"/>
          <w:sz w:val="24"/>
          <w:szCs w:val="24"/>
          <w:highlight w:val="none"/>
          <w:lang w:val="en-US" w:eastAsia="zh-CN"/>
        </w:rPr>
        <w:t>1、供应商必须根据所投产品的技术参数、资质资料编写响应文件。在成交结果公示期间，采购人有权对成交候选人所投产品的资质证书等进行核查，如发现与其响应文件中的描述不一，代理机构将报相关部门严肃处理。</w:t>
      </w:r>
    </w:p>
    <w:p w14:paraId="74B8B508">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2、供应商必须如实地对磋商文件中各项技术要求作出明确的逐项响应承诺，并对其真实性负责。投标货物的技术响应情况必须在《技术标偏离表》中完整体现。</w:t>
      </w:r>
    </w:p>
    <w:p w14:paraId="0F723D44">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3、供应商的报价应包括系统、运输、安装、调试、培训、售后服务及一切应付的税费等费用。</w:t>
      </w:r>
      <w:bookmarkEnd w:id="25"/>
    </w:p>
    <w:p w14:paraId="3C4FC1AC">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lang w:val="en-US" w:eastAsia="zh-CN"/>
        </w:rPr>
        <w:t>、本项目所属行业：工业</w:t>
      </w:r>
    </w:p>
    <w:p w14:paraId="184F9F0D">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lang w:val="en-US" w:eastAsia="zh-CN"/>
        </w:rPr>
        <w:t>、其他：其他未尽事宜由供需双方在服务合同中详细约定。</w:t>
      </w:r>
    </w:p>
    <w:p w14:paraId="5ABB5950">
      <w:pPr>
        <w:numPr>
          <w:ilvl w:val="0"/>
          <w:numId w:val="0"/>
        </w:numPr>
        <w:spacing w:line="360" w:lineRule="auto"/>
        <w:rPr>
          <w:rFonts w:hint="eastAsia" w:eastAsia="宋体"/>
          <w:color w:val="auto"/>
          <w:highlight w:val="none"/>
          <w:lang w:eastAsia="zh-CN"/>
        </w:rPr>
      </w:pPr>
      <w:r>
        <w:rPr>
          <w:rFonts w:hint="eastAsia"/>
          <w:b/>
          <w:color w:val="auto"/>
          <w:sz w:val="28"/>
          <w:szCs w:val="28"/>
          <w:highlight w:val="none"/>
        </w:rPr>
        <w:t>注</w:t>
      </w:r>
      <w:r>
        <w:rPr>
          <w:b/>
          <w:color w:val="auto"/>
          <w:sz w:val="28"/>
          <w:szCs w:val="28"/>
          <w:highlight w:val="none"/>
        </w:rPr>
        <w:t>：</w:t>
      </w:r>
      <w:r>
        <w:rPr>
          <w:rFonts w:hint="eastAsia" w:ascii="宋体" w:hAnsi="宋体" w:eastAsia="宋体" w:cs="Times New Roman"/>
          <w:b/>
          <w:color w:val="auto"/>
          <w:sz w:val="28"/>
          <w:szCs w:val="28"/>
          <w:highlight w:val="none"/>
        </w:rPr>
        <w:t>“</w:t>
      </w:r>
      <w:r>
        <w:rPr>
          <w:rFonts w:hint="eastAsia" w:ascii="宋体" w:hAnsi="宋体" w:cs="Times New Roman"/>
          <w:b/>
          <w:color w:val="auto"/>
          <w:sz w:val="28"/>
          <w:szCs w:val="28"/>
          <w:highlight w:val="none"/>
          <w:lang w:eastAsia="zh-CN"/>
        </w:rPr>
        <w:t>二</w:t>
      </w:r>
      <w:r>
        <w:rPr>
          <w:rFonts w:hint="eastAsia" w:ascii="宋体" w:hAnsi="宋体" w:eastAsia="宋体" w:cs="Times New Roman"/>
          <w:b/>
          <w:color w:val="auto"/>
          <w:sz w:val="28"/>
          <w:szCs w:val="28"/>
          <w:highlight w:val="none"/>
          <w:lang w:eastAsia="zh-CN"/>
        </w:rPr>
        <w:t>、采购清单</w:t>
      </w:r>
      <w:r>
        <w:rPr>
          <w:rFonts w:hint="eastAsia" w:ascii="宋体" w:hAnsi="宋体" w:eastAsia="宋体" w:cs="Times New Roman"/>
          <w:b/>
          <w:color w:val="auto"/>
          <w:sz w:val="28"/>
          <w:szCs w:val="28"/>
          <w:highlight w:val="none"/>
          <w:lang w:val="en-US" w:eastAsia="zh-CN"/>
        </w:rPr>
        <w:t>及技术参数</w:t>
      </w:r>
      <w:r>
        <w:rPr>
          <w:rFonts w:hint="eastAsia" w:ascii="宋体" w:hAnsi="宋体" w:eastAsia="宋体" w:cs="Times New Roman"/>
          <w:b/>
          <w:color w:val="auto"/>
          <w:sz w:val="28"/>
          <w:szCs w:val="28"/>
          <w:highlight w:val="none"/>
          <w:lang w:eastAsia="zh-CN"/>
        </w:rPr>
        <w:t>、</w:t>
      </w:r>
      <w:r>
        <w:rPr>
          <w:rFonts w:hint="eastAsia" w:ascii="宋体" w:hAnsi="宋体" w:cs="Times New Roman"/>
          <w:b/>
          <w:color w:val="auto"/>
          <w:sz w:val="28"/>
          <w:szCs w:val="28"/>
          <w:highlight w:val="none"/>
          <w:lang w:eastAsia="zh-CN"/>
        </w:rPr>
        <w:t>三</w:t>
      </w:r>
      <w:r>
        <w:rPr>
          <w:rFonts w:hint="eastAsia" w:ascii="宋体" w:hAnsi="宋体" w:eastAsia="宋体" w:cs="Times New Roman"/>
          <w:b/>
          <w:color w:val="auto"/>
          <w:sz w:val="28"/>
          <w:szCs w:val="28"/>
          <w:highlight w:val="none"/>
          <w:lang w:eastAsia="zh-CN"/>
        </w:rPr>
        <w:t>、商务要求</w:t>
      </w:r>
      <w:r>
        <w:rPr>
          <w:rFonts w:hint="eastAsia" w:ascii="宋体" w:hAnsi="宋体" w:eastAsia="宋体" w:cs="Times New Roman"/>
          <w:b/>
          <w:color w:val="auto"/>
          <w:sz w:val="28"/>
          <w:szCs w:val="28"/>
          <w:highlight w:val="none"/>
        </w:rPr>
        <w:t>”</w:t>
      </w:r>
      <w:r>
        <w:rPr>
          <w:rFonts w:hint="eastAsia"/>
          <w:b/>
          <w:color w:val="auto"/>
          <w:sz w:val="28"/>
          <w:szCs w:val="28"/>
          <w:highlight w:val="none"/>
        </w:rPr>
        <w:t>在技术</w:t>
      </w:r>
      <w:r>
        <w:rPr>
          <w:rFonts w:hint="eastAsia"/>
          <w:b/>
          <w:color w:val="auto"/>
          <w:sz w:val="28"/>
          <w:szCs w:val="28"/>
          <w:highlight w:val="none"/>
          <w:lang w:eastAsia="zh-CN"/>
        </w:rPr>
        <w:t>标、</w:t>
      </w:r>
      <w:r>
        <w:rPr>
          <w:rFonts w:hint="eastAsia"/>
          <w:b/>
          <w:color w:val="auto"/>
          <w:sz w:val="28"/>
          <w:szCs w:val="28"/>
          <w:highlight w:val="none"/>
        </w:rPr>
        <w:t>商务</w:t>
      </w:r>
      <w:r>
        <w:rPr>
          <w:rFonts w:hint="eastAsia"/>
          <w:b/>
          <w:color w:val="auto"/>
          <w:sz w:val="28"/>
          <w:szCs w:val="28"/>
          <w:highlight w:val="none"/>
          <w:lang w:eastAsia="zh-CN"/>
        </w:rPr>
        <w:t>标偏离</w:t>
      </w:r>
      <w:r>
        <w:rPr>
          <w:rFonts w:hint="eastAsia"/>
          <w:b/>
          <w:color w:val="auto"/>
          <w:sz w:val="28"/>
          <w:szCs w:val="28"/>
          <w:highlight w:val="none"/>
        </w:rPr>
        <w:t>表中逐条响应</w:t>
      </w:r>
      <w:r>
        <w:rPr>
          <w:rFonts w:hint="eastAsia"/>
          <w:b/>
          <w:color w:val="auto"/>
          <w:sz w:val="28"/>
          <w:szCs w:val="28"/>
          <w:highlight w:val="none"/>
          <w:lang w:eastAsia="zh-CN"/>
        </w:rPr>
        <w:t>。</w:t>
      </w:r>
    </w:p>
    <w:p w14:paraId="5B52888C">
      <w:pPr>
        <w:numPr>
          <w:ilvl w:val="0"/>
          <w:numId w:val="0"/>
        </w:numPr>
        <w:spacing w:line="360" w:lineRule="auto"/>
        <w:rPr>
          <w:rFonts w:hint="eastAsia" w:eastAsia="宋体"/>
          <w:color w:val="auto"/>
          <w:highlight w:val="none"/>
          <w:lang w:eastAsia="zh-CN"/>
        </w:rPr>
      </w:pPr>
    </w:p>
    <w:sectPr>
      <w:pgSz w:w="11906" w:h="16838"/>
      <w:pgMar w:top="1417" w:right="1587" w:bottom="1417" w:left="1587" w:header="851" w:footer="992" w:gutter="0"/>
      <w:cols w:space="0" w:num="1"/>
      <w:rtlGutter w:val="0"/>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500000000000000"/>
    <w:charset w:val="88"/>
    <w:family w:val="auto"/>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AF6FD9">
    <w:pPr>
      <w:pStyle w:val="15"/>
      <w:framePr w:wrap="around" w:vAnchor="text" w:hAnchor="margin" w:xAlign="center" w:y="1"/>
      <w:rPr>
        <w:rStyle w:val="25"/>
      </w:rPr>
    </w:pPr>
    <w:r>
      <w:fldChar w:fldCharType="begin"/>
    </w:r>
    <w:r>
      <w:rPr>
        <w:rStyle w:val="25"/>
      </w:rPr>
      <w:instrText xml:space="preserve">PAGE  </w:instrText>
    </w:r>
    <w:r>
      <w:fldChar w:fldCharType="separate"/>
    </w:r>
    <w:r>
      <w:rPr>
        <w:rStyle w:val="25"/>
      </w:rPr>
      <w:t>1</w:t>
    </w:r>
    <w:r>
      <w:fldChar w:fldCharType="end"/>
    </w:r>
  </w:p>
  <w:p w14:paraId="3FA33C27">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1DFBFD">
    <w:pPr>
      <w:pStyle w:val="15"/>
      <w:tabs>
        <w:tab w:val="left" w:pos="1980"/>
      </w:tabs>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DF70C3">
    <w:pPr>
      <w:pStyle w:val="1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07FB8B">
    <w:pPr>
      <w:pStyle w:val="15"/>
      <w:tabs>
        <w:tab w:val="center" w:pos="4153"/>
        <w:tab w:val="right" w:pos="8306"/>
      </w:tabs>
      <w:ind w:firstLine="360" w:firstLineChars="200"/>
      <w:jc w:val="center"/>
      <w:rPr>
        <w:rFonts w:ascii="Calibri" w:hAnsi="Calibri"/>
      </w:rPr>
    </w:pPr>
    <w:r>
      <w:rPr>
        <w:rFonts w:ascii="Calibri" w:hAnsi="Calibri"/>
      </w:rPr>
      <w:fldChar w:fldCharType="begin"/>
    </w:r>
    <w:r>
      <w:rPr>
        <w:rFonts w:ascii="Calibri" w:hAnsi="Calibri"/>
      </w:rPr>
      <w:instrText xml:space="preserve"> PAGE </w:instrText>
    </w:r>
    <w:r>
      <w:rPr>
        <w:rFonts w:ascii="Calibri" w:hAnsi="Calibri"/>
      </w:rPr>
      <w:fldChar w:fldCharType="separate"/>
    </w:r>
    <w:r>
      <w:rPr>
        <w:rFonts w:ascii="Calibri" w:hAnsi="Calibri"/>
      </w:rPr>
      <w:t>47</w:t>
    </w:r>
    <w:r>
      <w:rPr>
        <w:rFonts w:ascii="Calibri" w:hAnsi="Calibri"/>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E77DDD">
    <w:pPr>
      <w:pStyle w:val="15"/>
      <w:tabs>
        <w:tab w:val="center" w:pos="4153"/>
        <w:tab w:val="right" w:pos="8306"/>
      </w:tabs>
      <w:ind w:firstLine="360" w:firstLineChars="200"/>
      <w:jc w:val="center"/>
      <w:rPr>
        <w:rFonts w:ascii="Calibri" w:hAnsi="Calibri"/>
      </w:rPr>
    </w:pPr>
    <w:r>
      <w:rPr>
        <w:rFonts w:ascii="Calibri" w:hAnsi="Calibri"/>
      </w:rPr>
      <w:fldChar w:fldCharType="begin"/>
    </w:r>
    <w:r>
      <w:rPr>
        <w:rFonts w:ascii="Calibri" w:hAnsi="Calibri"/>
      </w:rPr>
      <w:instrText xml:space="preserve"> PAGE </w:instrText>
    </w:r>
    <w:r>
      <w:rPr>
        <w:rFonts w:ascii="Calibri" w:hAnsi="Calibri"/>
      </w:rPr>
      <w:fldChar w:fldCharType="separate"/>
    </w:r>
    <w:r>
      <w:rPr>
        <w:rFonts w:ascii="Calibri" w:hAnsi="Calibri"/>
      </w:rPr>
      <w:t>72</w:t>
    </w:r>
    <w:r>
      <w:rPr>
        <w:rFonts w:ascii="Calibri" w:hAnsi="Calibri"/>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599DD3">
    <w:pPr>
      <w:pStyle w:val="17"/>
      <w:pBdr>
        <w:bottom w:val="single" w:color="auto" w:sz="4" w:space="0"/>
      </w:pBdr>
      <w:rPr>
        <w:rFonts w:ascii="宋体" w:cs="宋体"/>
        <w:b/>
        <w:bCs/>
        <w:sz w:val="21"/>
        <w:szCs w:val="21"/>
      </w:rPr>
    </w:pPr>
    <w:r>
      <w:rPr>
        <w:rFonts w:hint="eastAsia" w:ascii="宋体" w:cs="宋体"/>
        <w:b/>
        <w:bCs/>
        <w:sz w:val="21"/>
        <w:szCs w:val="21"/>
      </w:rPr>
      <w:t>海南政源招标代理有限公司                                                HNZY2013-001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27ECDE">
    <w:pPr>
      <w:pStyle w:val="1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94945D">
    <w:pPr>
      <w:pStyle w:val="17"/>
      <w:pBdr>
        <w:bottom w:val="single" w:color="auto" w:sz="4" w:space="0"/>
      </w:pBdr>
      <w:jc w:val="left"/>
      <w:rPr>
        <w:rFonts w:ascii="宋体" w:cs="宋体"/>
        <w:b/>
        <w:bCs/>
        <w:sz w:val="21"/>
        <w:szCs w:val="21"/>
      </w:rPr>
    </w:pPr>
  </w:p>
  <w:p w14:paraId="479C29B5">
    <w:pPr>
      <w:pStyle w:val="17"/>
      <w:pBdr>
        <w:bottom w:val="single" w:color="auto" w:sz="4" w:space="0"/>
      </w:pBdr>
      <w:jc w:val="left"/>
      <w:rPr>
        <w:rFonts w:ascii="宋体" w:cs="宋体"/>
        <w:b/>
        <w:bCs/>
        <w:sz w:val="21"/>
        <w:szCs w:val="21"/>
      </w:rPr>
    </w:pPr>
    <w:r>
      <w:rPr>
        <w:rFonts w:hint="eastAsia" w:ascii="宋体" w:cs="宋体"/>
        <w:b/>
        <w:bCs/>
        <w:sz w:val="21"/>
        <w:szCs w:val="21"/>
      </w:rPr>
      <w:t xml:space="preserve">海南政源招标代理有限公司                                          </w:t>
    </w:r>
    <w:r>
      <w:rPr>
        <w:rFonts w:hint="eastAsia" w:ascii="宋体" w:cs="宋体"/>
        <w:b/>
        <w:bCs/>
        <w:color w:val="FF0000"/>
        <w:sz w:val="21"/>
        <w:szCs w:val="21"/>
      </w:rPr>
      <w:t>HNZY2022-129</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DB1BB9">
    <w:pPr>
      <w:pStyle w:val="17"/>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B871E2">
    <w:pPr>
      <w:pStyle w:val="17"/>
      <w:pBdr>
        <w:bottom w:val="single" w:color="auto" w:sz="4" w:space="0"/>
      </w:pBdr>
      <w:tabs>
        <w:tab w:val="left" w:pos="6510"/>
      </w:tabs>
      <w:ind w:firstLine="211" w:firstLineChars="100"/>
      <w:jc w:val="left"/>
      <w:rPr>
        <w:rFonts w:hint="eastAsia" w:eastAsia="宋体"/>
        <w:lang w:eastAsia="zh-CN"/>
      </w:rPr>
    </w:pPr>
    <w:r>
      <w:rPr>
        <w:rFonts w:hint="eastAsia" w:ascii="宋体" w:cs="宋体"/>
        <w:b/>
        <w:bCs/>
        <w:sz w:val="21"/>
        <w:szCs w:val="21"/>
      </w:rPr>
      <w:t xml:space="preserve">海南政源招标代理有限公司  </w:t>
    </w:r>
    <w:r>
      <w:rPr>
        <w:rFonts w:hint="eastAsia" w:ascii="宋体" w:cs="宋体"/>
        <w:b/>
        <w:bCs/>
        <w:sz w:val="21"/>
        <w:szCs w:val="21"/>
        <w:lang w:val="en-US" w:eastAsia="zh-CN"/>
      </w:rPr>
      <w:t xml:space="preserve">                                      </w:t>
    </w:r>
    <w:r>
      <w:rPr>
        <w:rFonts w:hint="eastAsia" w:ascii="宋体" w:cs="宋体"/>
        <w:b/>
        <w:bCs/>
        <w:sz w:val="21"/>
        <w:szCs w:val="21"/>
        <w:lang w:eastAsia="zh-CN"/>
      </w:rPr>
      <w:t>HNZY2025-100</w:t>
    </w:r>
  </w:p>
  <w:p w14:paraId="51513B17">
    <w:pPr>
      <w:pStyle w:val="17"/>
      <w:pBdr>
        <w:bottom w:val="none" w:color="auto" w:sz="0" w:space="1"/>
      </w:pBdr>
      <w:tabs>
        <w:tab w:val="center" w:pos="4153"/>
        <w:tab w:val="left" w:pos="7153"/>
        <w:tab w:val="right" w:pos="8306"/>
      </w:tabs>
      <w:jc w:val="left"/>
    </w:pPr>
    <w:r>
      <w:rPr>
        <w:rFonts w:hint="eastAsia"/>
      </w:rPr>
      <w:tab/>
    </w:r>
    <w:r>
      <w:rPr>
        <w:rFonts w:hint="eastAsia"/>
      </w:rPr>
      <w:tab/>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385E68">
    <w:pPr>
      <w:pStyle w:val="17"/>
      <w:pBdr>
        <w:bottom w:val="single" w:color="auto" w:sz="4" w:space="0"/>
      </w:pBdr>
      <w:tabs>
        <w:tab w:val="left" w:pos="6510"/>
      </w:tabs>
      <w:ind w:left="2317" w:leftChars="200" w:hanging="1897" w:hangingChars="900"/>
      <w:jc w:val="left"/>
      <w:rPr>
        <w:rFonts w:hint="eastAsia" w:eastAsia="宋体"/>
        <w:lang w:eastAsia="zh-CN"/>
      </w:rPr>
    </w:pPr>
    <w:r>
      <w:rPr>
        <w:rFonts w:hint="eastAsia" w:ascii="宋体" w:cs="宋体"/>
        <w:b/>
        <w:bCs/>
        <w:sz w:val="21"/>
        <w:szCs w:val="21"/>
      </w:rPr>
      <w:t xml:space="preserve">海南政源招标代理有限公司  </w:t>
    </w:r>
    <w:r>
      <w:rPr>
        <w:rFonts w:hint="eastAsia" w:ascii="宋体" w:cs="宋体"/>
        <w:b/>
        <w:bCs/>
        <w:sz w:val="21"/>
        <w:szCs w:val="21"/>
        <w:lang w:val="en-US" w:eastAsia="zh-CN"/>
      </w:rPr>
      <w:t xml:space="preserve">                                      </w:t>
    </w:r>
    <w:r>
      <w:rPr>
        <w:rFonts w:hint="eastAsia" w:ascii="宋体" w:cs="宋体"/>
        <w:b/>
        <w:bCs/>
        <w:sz w:val="21"/>
        <w:szCs w:val="21"/>
        <w:lang w:eastAsia="zh-CN"/>
      </w:rPr>
      <w:t>HNZY2025-100</w:t>
    </w:r>
  </w:p>
  <w:p w14:paraId="43C87E9C">
    <w:pPr>
      <w:pStyle w:val="17"/>
      <w:pBdr>
        <w:bottom w:val="none" w:color="auto" w:sz="0" w:space="1"/>
      </w:pBdr>
      <w:tabs>
        <w:tab w:val="center" w:pos="4153"/>
        <w:tab w:val="left" w:pos="7153"/>
        <w:tab w:val="right" w:pos="8306"/>
      </w:tabs>
      <w:jc w:val="left"/>
    </w:pPr>
    <w:r>
      <w:rPr>
        <w:rFonts w:hint="eastAsia"/>
      </w:rPr>
      <w:tab/>
    </w:r>
    <w:r>
      <w:rPr>
        <w:rFonts w:hint="eastAsia"/>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BC20BB"/>
    <w:multiLevelType w:val="singleLevel"/>
    <w:tmpl w:val="BBBC20BB"/>
    <w:lvl w:ilvl="0" w:tentative="0">
      <w:start w:val="1"/>
      <w:numFmt w:val="decimal"/>
      <w:suff w:val="nothing"/>
      <w:lvlText w:val="%1、"/>
      <w:lvlJc w:val="left"/>
    </w:lvl>
  </w:abstractNum>
  <w:abstractNum w:abstractNumId="1">
    <w:nsid w:val="BF9CEAB2"/>
    <w:multiLevelType w:val="singleLevel"/>
    <w:tmpl w:val="BF9CEAB2"/>
    <w:lvl w:ilvl="0" w:tentative="0">
      <w:start w:val="3"/>
      <w:numFmt w:val="chineseCounting"/>
      <w:suff w:val="nothing"/>
      <w:lvlText w:val="%1、"/>
      <w:lvlJc w:val="left"/>
      <w:rPr>
        <w:rFonts w:hint="eastAsia"/>
      </w:rPr>
    </w:lvl>
  </w:abstractNum>
  <w:abstractNum w:abstractNumId="2">
    <w:nsid w:val="F621FD85"/>
    <w:multiLevelType w:val="singleLevel"/>
    <w:tmpl w:val="F621FD85"/>
    <w:lvl w:ilvl="0" w:tentative="0">
      <w:start w:val="1"/>
      <w:numFmt w:val="decimal"/>
      <w:suff w:val="nothing"/>
      <w:lvlText w:val="%1、"/>
      <w:lvlJc w:val="left"/>
    </w:lvl>
  </w:abstractNum>
  <w:abstractNum w:abstractNumId="3">
    <w:nsid w:val="00000001"/>
    <w:multiLevelType w:val="singleLevel"/>
    <w:tmpl w:val="00000001"/>
    <w:lvl w:ilvl="0" w:tentative="0">
      <w:start w:val="7"/>
      <w:numFmt w:val="chineseCounting"/>
      <w:suff w:val="nothing"/>
      <w:lvlText w:val="%1、"/>
      <w:lvlJc w:val="left"/>
      <w:pPr>
        <w:tabs>
          <w:tab w:val="left" w:pos="0"/>
        </w:tabs>
        <w:ind w:left="0" w:firstLine="0"/>
      </w:pPr>
      <w:rPr>
        <w:rFonts w:hint="eastAsia"/>
      </w:rPr>
    </w:lvl>
  </w:abstractNum>
  <w:abstractNum w:abstractNumId="4">
    <w:nsid w:val="10AD00DF"/>
    <w:multiLevelType w:val="multilevel"/>
    <w:tmpl w:val="10AD00DF"/>
    <w:lvl w:ilvl="0" w:tentative="0">
      <w:start w:val="1"/>
      <w:numFmt w:val="bullet"/>
      <w:lvlText w:val=""/>
      <w:lvlJc w:val="left"/>
      <w:pPr>
        <w:tabs>
          <w:tab w:val="left" w:pos="795"/>
        </w:tabs>
        <w:ind w:left="795" w:hanging="420"/>
      </w:pPr>
      <w:rPr>
        <w:rFonts w:hint="default" w:ascii="Wingdings" w:hAnsi="Wingdings"/>
        <w:sz w:val="18"/>
        <w:szCs w:val="18"/>
      </w:rPr>
    </w:lvl>
    <w:lvl w:ilvl="1" w:tentative="0">
      <w:start w:val="1"/>
      <w:numFmt w:val="bullet"/>
      <w:lvlText w:val=""/>
      <w:lvlJc w:val="left"/>
      <w:pPr>
        <w:tabs>
          <w:tab w:val="left" w:pos="1215"/>
        </w:tabs>
        <w:ind w:left="1215" w:hanging="420"/>
      </w:pPr>
      <w:rPr>
        <w:rFonts w:hint="default" w:ascii="Wingdings" w:hAnsi="Wingdings"/>
      </w:rPr>
    </w:lvl>
    <w:lvl w:ilvl="2" w:tentative="0">
      <w:start w:val="1"/>
      <w:numFmt w:val="bullet"/>
      <w:pStyle w:val="3"/>
      <w:lvlText w:val=""/>
      <w:lvlJc w:val="left"/>
      <w:pPr>
        <w:tabs>
          <w:tab w:val="left" w:pos="1635"/>
        </w:tabs>
        <w:ind w:left="1635" w:hanging="420"/>
      </w:pPr>
      <w:rPr>
        <w:rFonts w:hint="default" w:ascii="Wingdings" w:hAnsi="Wingdings"/>
      </w:rPr>
    </w:lvl>
    <w:lvl w:ilvl="3" w:tentative="0">
      <w:start w:val="1"/>
      <w:numFmt w:val="bullet"/>
      <w:lvlText w:val=""/>
      <w:lvlJc w:val="left"/>
      <w:pPr>
        <w:tabs>
          <w:tab w:val="left" w:pos="2055"/>
        </w:tabs>
        <w:ind w:left="2055" w:hanging="420"/>
      </w:pPr>
      <w:rPr>
        <w:rFonts w:hint="default" w:ascii="Wingdings" w:hAnsi="Wingdings"/>
      </w:rPr>
    </w:lvl>
    <w:lvl w:ilvl="4" w:tentative="0">
      <w:start w:val="1"/>
      <w:numFmt w:val="bullet"/>
      <w:lvlText w:val=""/>
      <w:lvlJc w:val="left"/>
      <w:pPr>
        <w:tabs>
          <w:tab w:val="left" w:pos="2475"/>
        </w:tabs>
        <w:ind w:left="2475" w:hanging="420"/>
      </w:pPr>
      <w:rPr>
        <w:rFonts w:hint="default" w:ascii="Wingdings" w:hAnsi="Wingdings"/>
      </w:rPr>
    </w:lvl>
    <w:lvl w:ilvl="5" w:tentative="0">
      <w:start w:val="1"/>
      <w:numFmt w:val="bullet"/>
      <w:lvlText w:val=""/>
      <w:lvlJc w:val="left"/>
      <w:pPr>
        <w:tabs>
          <w:tab w:val="left" w:pos="2895"/>
        </w:tabs>
        <w:ind w:left="2895" w:hanging="420"/>
      </w:pPr>
      <w:rPr>
        <w:rFonts w:hint="default" w:ascii="Wingdings" w:hAnsi="Wingdings"/>
      </w:rPr>
    </w:lvl>
    <w:lvl w:ilvl="6" w:tentative="0">
      <w:start w:val="1"/>
      <w:numFmt w:val="bullet"/>
      <w:lvlText w:val=""/>
      <w:lvlJc w:val="left"/>
      <w:pPr>
        <w:tabs>
          <w:tab w:val="left" w:pos="3315"/>
        </w:tabs>
        <w:ind w:left="3315" w:hanging="420"/>
      </w:pPr>
      <w:rPr>
        <w:rFonts w:hint="default" w:ascii="Wingdings" w:hAnsi="Wingdings"/>
      </w:rPr>
    </w:lvl>
    <w:lvl w:ilvl="7" w:tentative="0">
      <w:start w:val="1"/>
      <w:numFmt w:val="bullet"/>
      <w:lvlText w:val=""/>
      <w:lvlJc w:val="left"/>
      <w:pPr>
        <w:tabs>
          <w:tab w:val="left" w:pos="3735"/>
        </w:tabs>
        <w:ind w:left="3735" w:hanging="420"/>
      </w:pPr>
      <w:rPr>
        <w:rFonts w:hint="default" w:ascii="Wingdings" w:hAnsi="Wingdings"/>
      </w:rPr>
    </w:lvl>
    <w:lvl w:ilvl="8" w:tentative="0">
      <w:start w:val="1"/>
      <w:numFmt w:val="bullet"/>
      <w:lvlText w:val=""/>
      <w:lvlJc w:val="left"/>
      <w:pPr>
        <w:tabs>
          <w:tab w:val="left" w:pos="4155"/>
        </w:tabs>
        <w:ind w:left="4155" w:hanging="420"/>
      </w:pPr>
      <w:rPr>
        <w:rFonts w:hint="default" w:ascii="Wingdings" w:hAnsi="Wingdings"/>
      </w:rPr>
    </w:lvl>
  </w:abstractNum>
  <w:abstractNum w:abstractNumId="5">
    <w:nsid w:val="5EC32EF2"/>
    <w:multiLevelType w:val="multilevel"/>
    <w:tmpl w:val="5EC32EF2"/>
    <w:lvl w:ilvl="0" w:tentative="0">
      <w:start w:val="1"/>
      <w:numFmt w:val="ideographDigital"/>
      <w:lvlText w:val="%1、"/>
      <w:lvlJc w:val="left"/>
      <w:pPr>
        <w:ind w:left="0"/>
      </w:pPr>
      <w:rPr>
        <w:rFonts w:ascii="宋体" w:hAnsi="宋体" w:eastAsia="宋体" w:cs="宋体"/>
        <w:b w:val="0"/>
        <w:i w:val="0"/>
        <w:strike w:val="0"/>
        <w:dstrike w:val="0"/>
        <w:color w:val="000000"/>
        <w:sz w:val="24"/>
        <w:szCs w:val="24"/>
        <w:u w:val="none" w:color="000000"/>
        <w:shd w:val="clear" w:color="auto" w:fill="auto"/>
        <w:vertAlign w:val="baseline"/>
      </w:rPr>
    </w:lvl>
    <w:lvl w:ilvl="1" w:tentative="0">
      <w:start w:val="1"/>
      <w:numFmt w:val="lowerLetter"/>
      <w:lvlText w:val="%2"/>
      <w:lvlJc w:val="left"/>
      <w:pPr>
        <w:ind w:left="1562"/>
      </w:pPr>
      <w:rPr>
        <w:rFonts w:ascii="宋体" w:hAnsi="宋体" w:eastAsia="宋体" w:cs="宋体"/>
        <w:b w:val="0"/>
        <w:i w:val="0"/>
        <w:strike w:val="0"/>
        <w:dstrike w:val="0"/>
        <w:color w:val="000000"/>
        <w:sz w:val="24"/>
        <w:szCs w:val="24"/>
        <w:u w:val="none" w:color="000000"/>
        <w:shd w:val="clear" w:color="auto" w:fill="auto"/>
        <w:vertAlign w:val="baseline"/>
      </w:rPr>
    </w:lvl>
    <w:lvl w:ilvl="2" w:tentative="0">
      <w:start w:val="1"/>
      <w:numFmt w:val="lowerRoman"/>
      <w:lvlText w:val="%3"/>
      <w:lvlJc w:val="left"/>
      <w:pPr>
        <w:ind w:left="2282"/>
      </w:pPr>
      <w:rPr>
        <w:rFonts w:ascii="宋体" w:hAnsi="宋体" w:eastAsia="宋体" w:cs="宋体"/>
        <w:b w:val="0"/>
        <w:i w:val="0"/>
        <w:strike w:val="0"/>
        <w:dstrike w:val="0"/>
        <w:color w:val="000000"/>
        <w:sz w:val="24"/>
        <w:szCs w:val="24"/>
        <w:u w:val="none" w:color="000000"/>
        <w:shd w:val="clear" w:color="auto" w:fill="auto"/>
        <w:vertAlign w:val="baseline"/>
      </w:rPr>
    </w:lvl>
    <w:lvl w:ilvl="3" w:tentative="0">
      <w:start w:val="1"/>
      <w:numFmt w:val="decimal"/>
      <w:lvlText w:val="%4"/>
      <w:lvlJc w:val="left"/>
      <w:pPr>
        <w:ind w:left="3002"/>
      </w:pPr>
      <w:rPr>
        <w:rFonts w:ascii="宋体" w:hAnsi="宋体" w:eastAsia="宋体" w:cs="宋体"/>
        <w:b w:val="0"/>
        <w:i w:val="0"/>
        <w:strike w:val="0"/>
        <w:dstrike w:val="0"/>
        <w:color w:val="000000"/>
        <w:sz w:val="24"/>
        <w:szCs w:val="24"/>
        <w:u w:val="none" w:color="000000"/>
        <w:shd w:val="clear" w:color="auto" w:fill="auto"/>
        <w:vertAlign w:val="baseline"/>
      </w:rPr>
    </w:lvl>
    <w:lvl w:ilvl="4" w:tentative="0">
      <w:start w:val="1"/>
      <w:numFmt w:val="lowerLetter"/>
      <w:lvlText w:val="%5"/>
      <w:lvlJc w:val="left"/>
      <w:pPr>
        <w:ind w:left="3722"/>
      </w:pPr>
      <w:rPr>
        <w:rFonts w:ascii="宋体" w:hAnsi="宋体" w:eastAsia="宋体" w:cs="宋体"/>
        <w:b w:val="0"/>
        <w:i w:val="0"/>
        <w:strike w:val="0"/>
        <w:dstrike w:val="0"/>
        <w:color w:val="000000"/>
        <w:sz w:val="24"/>
        <w:szCs w:val="24"/>
        <w:u w:val="none" w:color="000000"/>
        <w:shd w:val="clear" w:color="auto" w:fill="auto"/>
        <w:vertAlign w:val="baseline"/>
      </w:rPr>
    </w:lvl>
    <w:lvl w:ilvl="5" w:tentative="0">
      <w:start w:val="1"/>
      <w:numFmt w:val="lowerRoman"/>
      <w:lvlText w:val="%6"/>
      <w:lvlJc w:val="left"/>
      <w:pPr>
        <w:ind w:left="4442"/>
      </w:pPr>
      <w:rPr>
        <w:rFonts w:ascii="宋体" w:hAnsi="宋体" w:eastAsia="宋体" w:cs="宋体"/>
        <w:b w:val="0"/>
        <w:i w:val="0"/>
        <w:strike w:val="0"/>
        <w:dstrike w:val="0"/>
        <w:color w:val="000000"/>
        <w:sz w:val="24"/>
        <w:szCs w:val="24"/>
        <w:u w:val="none" w:color="000000"/>
        <w:shd w:val="clear" w:color="auto" w:fill="auto"/>
        <w:vertAlign w:val="baseline"/>
      </w:rPr>
    </w:lvl>
    <w:lvl w:ilvl="6" w:tentative="0">
      <w:start w:val="1"/>
      <w:numFmt w:val="decimal"/>
      <w:lvlText w:val="%7"/>
      <w:lvlJc w:val="left"/>
      <w:pPr>
        <w:ind w:left="5162"/>
      </w:pPr>
      <w:rPr>
        <w:rFonts w:ascii="宋体" w:hAnsi="宋体" w:eastAsia="宋体" w:cs="宋体"/>
        <w:b w:val="0"/>
        <w:i w:val="0"/>
        <w:strike w:val="0"/>
        <w:dstrike w:val="0"/>
        <w:color w:val="000000"/>
        <w:sz w:val="24"/>
        <w:szCs w:val="24"/>
        <w:u w:val="none" w:color="000000"/>
        <w:shd w:val="clear" w:color="auto" w:fill="auto"/>
        <w:vertAlign w:val="baseline"/>
      </w:rPr>
    </w:lvl>
    <w:lvl w:ilvl="7" w:tentative="0">
      <w:start w:val="1"/>
      <w:numFmt w:val="lowerLetter"/>
      <w:lvlText w:val="%8"/>
      <w:lvlJc w:val="left"/>
      <w:pPr>
        <w:ind w:left="5882"/>
      </w:pPr>
      <w:rPr>
        <w:rFonts w:ascii="宋体" w:hAnsi="宋体" w:eastAsia="宋体" w:cs="宋体"/>
        <w:b w:val="0"/>
        <w:i w:val="0"/>
        <w:strike w:val="0"/>
        <w:dstrike w:val="0"/>
        <w:color w:val="000000"/>
        <w:sz w:val="24"/>
        <w:szCs w:val="24"/>
        <w:u w:val="none" w:color="000000"/>
        <w:shd w:val="clear" w:color="auto" w:fill="auto"/>
        <w:vertAlign w:val="baseline"/>
      </w:rPr>
    </w:lvl>
    <w:lvl w:ilvl="8" w:tentative="0">
      <w:start w:val="1"/>
      <w:numFmt w:val="lowerRoman"/>
      <w:lvlText w:val="%9"/>
      <w:lvlJc w:val="left"/>
      <w:pPr>
        <w:ind w:left="6602"/>
      </w:pPr>
      <w:rPr>
        <w:rFonts w:ascii="宋体" w:hAnsi="宋体" w:eastAsia="宋体" w:cs="宋体"/>
        <w:b w:val="0"/>
        <w:i w:val="0"/>
        <w:strike w:val="0"/>
        <w:dstrike w:val="0"/>
        <w:color w:val="000000"/>
        <w:sz w:val="24"/>
        <w:szCs w:val="24"/>
        <w:u w:val="none" w:color="000000"/>
        <w:shd w:val="clear" w:color="auto" w:fill="auto"/>
        <w:vertAlign w:val="baseline"/>
      </w:rPr>
    </w:lvl>
  </w:abstractNum>
  <w:abstractNum w:abstractNumId="6">
    <w:nsid w:val="64F6D5BB"/>
    <w:multiLevelType w:val="singleLevel"/>
    <w:tmpl w:val="64F6D5BB"/>
    <w:lvl w:ilvl="0" w:tentative="0">
      <w:start w:val="1"/>
      <w:numFmt w:val="decimal"/>
      <w:suff w:val="nothing"/>
      <w:lvlText w:val="%1．"/>
      <w:lvlJc w:val="left"/>
      <w:pPr>
        <w:ind w:left="0" w:firstLine="400"/>
      </w:pPr>
      <w:rPr>
        <w:rFonts w:hint="default"/>
      </w:rPr>
    </w:lvl>
  </w:abstractNum>
  <w:abstractNum w:abstractNumId="7">
    <w:nsid w:val="7BEF9BD6"/>
    <w:multiLevelType w:val="multilevel"/>
    <w:tmpl w:val="7BEF9BD6"/>
    <w:lvl w:ilvl="0" w:tentative="0">
      <w:start w:val="1"/>
      <w:numFmt w:val="decimal"/>
      <w:suff w:val="nothing"/>
      <w:lvlText w:val="%1．"/>
      <w:lvlJc w:val="left"/>
      <w:pPr>
        <w:tabs>
          <w:tab w:val="left" w:pos="0"/>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4"/>
  </w:num>
  <w:num w:numId="2">
    <w:abstractNumId w:val="6"/>
  </w:num>
  <w:num w:numId="3">
    <w:abstractNumId w:val="3"/>
  </w:num>
  <w:num w:numId="4">
    <w:abstractNumId w:val="0"/>
  </w:num>
  <w:num w:numId="5">
    <w:abstractNumId w:val="2"/>
  </w:num>
  <w:num w:numId="6">
    <w:abstractNumId w:val="7"/>
  </w:num>
  <w:num w:numId="7">
    <w:abstractNumId w:val="5"/>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hkYzFiY2EyNjY0ODcxNTc2YWMxMzBjMzI4OTY0MGEifQ=="/>
  </w:docVars>
  <w:rsids>
    <w:rsidRoot w:val="00172A27"/>
    <w:rsid w:val="00040D79"/>
    <w:rsid w:val="000701E4"/>
    <w:rsid w:val="00172A27"/>
    <w:rsid w:val="00213ECC"/>
    <w:rsid w:val="00251E77"/>
    <w:rsid w:val="003E4134"/>
    <w:rsid w:val="00430231"/>
    <w:rsid w:val="004F59BF"/>
    <w:rsid w:val="00501EE6"/>
    <w:rsid w:val="005103B3"/>
    <w:rsid w:val="005230DF"/>
    <w:rsid w:val="005A4424"/>
    <w:rsid w:val="00617599"/>
    <w:rsid w:val="006961B7"/>
    <w:rsid w:val="00741A63"/>
    <w:rsid w:val="0074460F"/>
    <w:rsid w:val="007C2CDB"/>
    <w:rsid w:val="007E5314"/>
    <w:rsid w:val="00854A11"/>
    <w:rsid w:val="008D129D"/>
    <w:rsid w:val="008E7617"/>
    <w:rsid w:val="008F51F2"/>
    <w:rsid w:val="009210DA"/>
    <w:rsid w:val="00A1742B"/>
    <w:rsid w:val="00B34DD1"/>
    <w:rsid w:val="00B9252C"/>
    <w:rsid w:val="00BC22F2"/>
    <w:rsid w:val="00C461C1"/>
    <w:rsid w:val="00C71D2B"/>
    <w:rsid w:val="00CE06DF"/>
    <w:rsid w:val="00D51D92"/>
    <w:rsid w:val="00DA7314"/>
    <w:rsid w:val="00DB73AE"/>
    <w:rsid w:val="00DC43AA"/>
    <w:rsid w:val="00DF6812"/>
    <w:rsid w:val="00E24DE0"/>
    <w:rsid w:val="00E41C9A"/>
    <w:rsid w:val="00E46B3B"/>
    <w:rsid w:val="00E938C6"/>
    <w:rsid w:val="00EF6EEF"/>
    <w:rsid w:val="00FC6FCC"/>
    <w:rsid w:val="015974C0"/>
    <w:rsid w:val="01D575A0"/>
    <w:rsid w:val="01EF572E"/>
    <w:rsid w:val="021358C1"/>
    <w:rsid w:val="022226F1"/>
    <w:rsid w:val="02301916"/>
    <w:rsid w:val="027762B5"/>
    <w:rsid w:val="02897931"/>
    <w:rsid w:val="029D6123"/>
    <w:rsid w:val="02A255CF"/>
    <w:rsid w:val="02E64D83"/>
    <w:rsid w:val="030B2A3C"/>
    <w:rsid w:val="034B2E38"/>
    <w:rsid w:val="036267EA"/>
    <w:rsid w:val="039106AD"/>
    <w:rsid w:val="03A40029"/>
    <w:rsid w:val="03E5328D"/>
    <w:rsid w:val="04696E01"/>
    <w:rsid w:val="04B2316F"/>
    <w:rsid w:val="04DC6F71"/>
    <w:rsid w:val="05224E91"/>
    <w:rsid w:val="05834B0B"/>
    <w:rsid w:val="05C92961"/>
    <w:rsid w:val="05E80E12"/>
    <w:rsid w:val="05FA15B0"/>
    <w:rsid w:val="06262C6B"/>
    <w:rsid w:val="06F061D0"/>
    <w:rsid w:val="07375BAD"/>
    <w:rsid w:val="073A23B4"/>
    <w:rsid w:val="07E30A42"/>
    <w:rsid w:val="08365E65"/>
    <w:rsid w:val="083B347B"/>
    <w:rsid w:val="085E7779"/>
    <w:rsid w:val="09FE29B2"/>
    <w:rsid w:val="0A7E1D45"/>
    <w:rsid w:val="0A876E4C"/>
    <w:rsid w:val="0A900037"/>
    <w:rsid w:val="0AA95014"/>
    <w:rsid w:val="0AC0410C"/>
    <w:rsid w:val="0ACA6D38"/>
    <w:rsid w:val="0ADF4592"/>
    <w:rsid w:val="0AE321AB"/>
    <w:rsid w:val="0B1F7084"/>
    <w:rsid w:val="0B2252AD"/>
    <w:rsid w:val="0B612A40"/>
    <w:rsid w:val="0B7A42BB"/>
    <w:rsid w:val="0BA536F2"/>
    <w:rsid w:val="0BAE21B6"/>
    <w:rsid w:val="0BC363AA"/>
    <w:rsid w:val="0BD40DA4"/>
    <w:rsid w:val="0C2D3A23"/>
    <w:rsid w:val="0C523489"/>
    <w:rsid w:val="0C6805B7"/>
    <w:rsid w:val="0C6A2581"/>
    <w:rsid w:val="0CC31C91"/>
    <w:rsid w:val="0CD8573D"/>
    <w:rsid w:val="0D013FCF"/>
    <w:rsid w:val="0D3F756A"/>
    <w:rsid w:val="0D8E2B66"/>
    <w:rsid w:val="0DDC74AE"/>
    <w:rsid w:val="0E5B6625"/>
    <w:rsid w:val="0E786D61"/>
    <w:rsid w:val="0EA33B28"/>
    <w:rsid w:val="0F0D5446"/>
    <w:rsid w:val="0F4E7F38"/>
    <w:rsid w:val="0F784FB5"/>
    <w:rsid w:val="104650B3"/>
    <w:rsid w:val="10C1473A"/>
    <w:rsid w:val="10D66437"/>
    <w:rsid w:val="10EC5C5A"/>
    <w:rsid w:val="11052878"/>
    <w:rsid w:val="113849FC"/>
    <w:rsid w:val="118440E5"/>
    <w:rsid w:val="11DB182B"/>
    <w:rsid w:val="12096398"/>
    <w:rsid w:val="122C4B87"/>
    <w:rsid w:val="123F1DBA"/>
    <w:rsid w:val="128F5E0F"/>
    <w:rsid w:val="12D14ACC"/>
    <w:rsid w:val="12E60488"/>
    <w:rsid w:val="130D1EB8"/>
    <w:rsid w:val="13122981"/>
    <w:rsid w:val="13257202"/>
    <w:rsid w:val="13737F6D"/>
    <w:rsid w:val="139E0D62"/>
    <w:rsid w:val="13A520F1"/>
    <w:rsid w:val="14005579"/>
    <w:rsid w:val="14006D85"/>
    <w:rsid w:val="14151024"/>
    <w:rsid w:val="145B5831"/>
    <w:rsid w:val="14717CCD"/>
    <w:rsid w:val="14B902AD"/>
    <w:rsid w:val="1519588B"/>
    <w:rsid w:val="155159DF"/>
    <w:rsid w:val="159348F7"/>
    <w:rsid w:val="15A76063"/>
    <w:rsid w:val="15C319EE"/>
    <w:rsid w:val="166444E5"/>
    <w:rsid w:val="16985343"/>
    <w:rsid w:val="169C77DB"/>
    <w:rsid w:val="16BA5EB3"/>
    <w:rsid w:val="16EF0253"/>
    <w:rsid w:val="17181911"/>
    <w:rsid w:val="171C4DC0"/>
    <w:rsid w:val="172E7CE3"/>
    <w:rsid w:val="17D47717"/>
    <w:rsid w:val="18155A97"/>
    <w:rsid w:val="18477C1A"/>
    <w:rsid w:val="18583BD5"/>
    <w:rsid w:val="186101C7"/>
    <w:rsid w:val="18D92F68"/>
    <w:rsid w:val="18DC0363"/>
    <w:rsid w:val="18E45469"/>
    <w:rsid w:val="18F5625F"/>
    <w:rsid w:val="198A7DBF"/>
    <w:rsid w:val="19E716B5"/>
    <w:rsid w:val="19F655CC"/>
    <w:rsid w:val="1A1D0C33"/>
    <w:rsid w:val="1AC047DA"/>
    <w:rsid w:val="1B726EB7"/>
    <w:rsid w:val="1BBB16C7"/>
    <w:rsid w:val="1BC03F6C"/>
    <w:rsid w:val="1C085913"/>
    <w:rsid w:val="1C444846"/>
    <w:rsid w:val="1C626DD1"/>
    <w:rsid w:val="1C980A44"/>
    <w:rsid w:val="1CB83180"/>
    <w:rsid w:val="1CEE4B08"/>
    <w:rsid w:val="1CFD149A"/>
    <w:rsid w:val="1CFF1F43"/>
    <w:rsid w:val="1D547061"/>
    <w:rsid w:val="1DB80A2C"/>
    <w:rsid w:val="1DF648C1"/>
    <w:rsid w:val="1DFA3974"/>
    <w:rsid w:val="1E4569AA"/>
    <w:rsid w:val="1ED8781E"/>
    <w:rsid w:val="1F10520A"/>
    <w:rsid w:val="1F5D75F6"/>
    <w:rsid w:val="1F7D0CD8"/>
    <w:rsid w:val="1F7F7C9A"/>
    <w:rsid w:val="1F882FF2"/>
    <w:rsid w:val="1FBD1721"/>
    <w:rsid w:val="1FD224BF"/>
    <w:rsid w:val="1FE20A76"/>
    <w:rsid w:val="201B3BD0"/>
    <w:rsid w:val="20BD4F1E"/>
    <w:rsid w:val="20BF0C96"/>
    <w:rsid w:val="20EE157B"/>
    <w:rsid w:val="20F550EC"/>
    <w:rsid w:val="211C7E96"/>
    <w:rsid w:val="214D44F3"/>
    <w:rsid w:val="215C5396"/>
    <w:rsid w:val="21780E44"/>
    <w:rsid w:val="21815F4B"/>
    <w:rsid w:val="218F462C"/>
    <w:rsid w:val="220F6948"/>
    <w:rsid w:val="22266AF2"/>
    <w:rsid w:val="22780641"/>
    <w:rsid w:val="227B299A"/>
    <w:rsid w:val="228D6B72"/>
    <w:rsid w:val="22E42C35"/>
    <w:rsid w:val="22EB7084"/>
    <w:rsid w:val="22F866E1"/>
    <w:rsid w:val="235B72E4"/>
    <w:rsid w:val="238B47C5"/>
    <w:rsid w:val="23A3664D"/>
    <w:rsid w:val="23B00D6A"/>
    <w:rsid w:val="24945605"/>
    <w:rsid w:val="24DD7960"/>
    <w:rsid w:val="24DF7844"/>
    <w:rsid w:val="24E8008F"/>
    <w:rsid w:val="25145328"/>
    <w:rsid w:val="2516506F"/>
    <w:rsid w:val="258E2A38"/>
    <w:rsid w:val="25BB6BD9"/>
    <w:rsid w:val="25EC0D13"/>
    <w:rsid w:val="26962499"/>
    <w:rsid w:val="270A56FC"/>
    <w:rsid w:val="277E4EE1"/>
    <w:rsid w:val="27B5694E"/>
    <w:rsid w:val="27D05536"/>
    <w:rsid w:val="283D06F2"/>
    <w:rsid w:val="286E6AFD"/>
    <w:rsid w:val="289A128B"/>
    <w:rsid w:val="2A506E02"/>
    <w:rsid w:val="2AAB4039"/>
    <w:rsid w:val="2ACB0237"/>
    <w:rsid w:val="2AED48C6"/>
    <w:rsid w:val="2B12230A"/>
    <w:rsid w:val="2B6A3EF4"/>
    <w:rsid w:val="2BB46F1D"/>
    <w:rsid w:val="2BC453B2"/>
    <w:rsid w:val="2BFA7026"/>
    <w:rsid w:val="2C0E3581"/>
    <w:rsid w:val="2C301DA4"/>
    <w:rsid w:val="2C9D3BA6"/>
    <w:rsid w:val="2CB5169A"/>
    <w:rsid w:val="2CF021D7"/>
    <w:rsid w:val="2D05030E"/>
    <w:rsid w:val="2D173C07"/>
    <w:rsid w:val="2D310B09"/>
    <w:rsid w:val="2DDC20E6"/>
    <w:rsid w:val="2DE201CC"/>
    <w:rsid w:val="2DFC6A52"/>
    <w:rsid w:val="2E082415"/>
    <w:rsid w:val="2E332D3A"/>
    <w:rsid w:val="2E4658F3"/>
    <w:rsid w:val="2E903C71"/>
    <w:rsid w:val="2EA00F99"/>
    <w:rsid w:val="2F57478F"/>
    <w:rsid w:val="2FF722FC"/>
    <w:rsid w:val="30020510"/>
    <w:rsid w:val="30137B42"/>
    <w:rsid w:val="3025488D"/>
    <w:rsid w:val="30E402A4"/>
    <w:rsid w:val="3122276D"/>
    <w:rsid w:val="313C7A9B"/>
    <w:rsid w:val="31653193"/>
    <w:rsid w:val="31954C2A"/>
    <w:rsid w:val="319C292D"/>
    <w:rsid w:val="31AC0227"/>
    <w:rsid w:val="31AC0F25"/>
    <w:rsid w:val="31E22A36"/>
    <w:rsid w:val="323448E6"/>
    <w:rsid w:val="32452FC5"/>
    <w:rsid w:val="327D450D"/>
    <w:rsid w:val="3290230B"/>
    <w:rsid w:val="32951856"/>
    <w:rsid w:val="32955444"/>
    <w:rsid w:val="329A6E6D"/>
    <w:rsid w:val="32BF0681"/>
    <w:rsid w:val="33026AB6"/>
    <w:rsid w:val="33265020"/>
    <w:rsid w:val="33294694"/>
    <w:rsid w:val="33884F17"/>
    <w:rsid w:val="33B91574"/>
    <w:rsid w:val="33D4015C"/>
    <w:rsid w:val="34677222"/>
    <w:rsid w:val="348002E4"/>
    <w:rsid w:val="34880F47"/>
    <w:rsid w:val="34967B08"/>
    <w:rsid w:val="34B166F0"/>
    <w:rsid w:val="35446BCF"/>
    <w:rsid w:val="35480131"/>
    <w:rsid w:val="3608063F"/>
    <w:rsid w:val="360D204B"/>
    <w:rsid w:val="36127662"/>
    <w:rsid w:val="36392E40"/>
    <w:rsid w:val="368719D8"/>
    <w:rsid w:val="369D6F2B"/>
    <w:rsid w:val="37046FAB"/>
    <w:rsid w:val="379A74B9"/>
    <w:rsid w:val="380E7728"/>
    <w:rsid w:val="392720F1"/>
    <w:rsid w:val="393D49F6"/>
    <w:rsid w:val="39673821"/>
    <w:rsid w:val="39810D86"/>
    <w:rsid w:val="3AEF7F72"/>
    <w:rsid w:val="3B455DE4"/>
    <w:rsid w:val="3BB16FD5"/>
    <w:rsid w:val="3C017F5D"/>
    <w:rsid w:val="3C335C3C"/>
    <w:rsid w:val="3C3519B4"/>
    <w:rsid w:val="3C4D4F50"/>
    <w:rsid w:val="3C9376B8"/>
    <w:rsid w:val="3CAC25CB"/>
    <w:rsid w:val="3CC72DC1"/>
    <w:rsid w:val="3CD967E3"/>
    <w:rsid w:val="3D0B563B"/>
    <w:rsid w:val="3D163594"/>
    <w:rsid w:val="3D4F4ED5"/>
    <w:rsid w:val="3D583BAC"/>
    <w:rsid w:val="3D803103"/>
    <w:rsid w:val="3DA46DF1"/>
    <w:rsid w:val="3DB85C51"/>
    <w:rsid w:val="3E636CAD"/>
    <w:rsid w:val="3EB171CD"/>
    <w:rsid w:val="3F104BA9"/>
    <w:rsid w:val="3F612320"/>
    <w:rsid w:val="3F874C1D"/>
    <w:rsid w:val="3F981CA0"/>
    <w:rsid w:val="3FB5617C"/>
    <w:rsid w:val="4033445D"/>
    <w:rsid w:val="405659BF"/>
    <w:rsid w:val="405F5DE0"/>
    <w:rsid w:val="407A02DD"/>
    <w:rsid w:val="40C241FA"/>
    <w:rsid w:val="40C96B6F"/>
    <w:rsid w:val="40EA548F"/>
    <w:rsid w:val="416A48BE"/>
    <w:rsid w:val="417116E0"/>
    <w:rsid w:val="41863A79"/>
    <w:rsid w:val="41870F04"/>
    <w:rsid w:val="42186000"/>
    <w:rsid w:val="422A3C2E"/>
    <w:rsid w:val="42BB308C"/>
    <w:rsid w:val="42C87167"/>
    <w:rsid w:val="42DD6902"/>
    <w:rsid w:val="430976F7"/>
    <w:rsid w:val="43B835F7"/>
    <w:rsid w:val="43E10A94"/>
    <w:rsid w:val="44613C8E"/>
    <w:rsid w:val="44FF5255"/>
    <w:rsid w:val="452D591E"/>
    <w:rsid w:val="456B28EB"/>
    <w:rsid w:val="45725A27"/>
    <w:rsid w:val="45B222C8"/>
    <w:rsid w:val="45EF52CA"/>
    <w:rsid w:val="467557CF"/>
    <w:rsid w:val="46916381"/>
    <w:rsid w:val="46CD560B"/>
    <w:rsid w:val="4703102D"/>
    <w:rsid w:val="47066ACD"/>
    <w:rsid w:val="47841A42"/>
    <w:rsid w:val="47A10846"/>
    <w:rsid w:val="47A53E92"/>
    <w:rsid w:val="47B16CDB"/>
    <w:rsid w:val="47BA5F7B"/>
    <w:rsid w:val="47F21667"/>
    <w:rsid w:val="48180B08"/>
    <w:rsid w:val="48403BBB"/>
    <w:rsid w:val="48484E0B"/>
    <w:rsid w:val="488F1019"/>
    <w:rsid w:val="490A09B2"/>
    <w:rsid w:val="49553696"/>
    <w:rsid w:val="49A87C69"/>
    <w:rsid w:val="49AB59AC"/>
    <w:rsid w:val="49C401FF"/>
    <w:rsid w:val="49DF5750"/>
    <w:rsid w:val="49EE0710"/>
    <w:rsid w:val="4B38326F"/>
    <w:rsid w:val="4B4E65EF"/>
    <w:rsid w:val="4B9C1A50"/>
    <w:rsid w:val="4BB74194"/>
    <w:rsid w:val="4BD05255"/>
    <w:rsid w:val="4BDA60D4"/>
    <w:rsid w:val="4BDB6229"/>
    <w:rsid w:val="4C243B3C"/>
    <w:rsid w:val="4C520360"/>
    <w:rsid w:val="4C63256E"/>
    <w:rsid w:val="4C91428E"/>
    <w:rsid w:val="4C96024D"/>
    <w:rsid w:val="4CDA2830"/>
    <w:rsid w:val="4D3B2BA3"/>
    <w:rsid w:val="4D883B5D"/>
    <w:rsid w:val="4DBF37D4"/>
    <w:rsid w:val="4DE62604"/>
    <w:rsid w:val="4DE7156B"/>
    <w:rsid w:val="4E257ADB"/>
    <w:rsid w:val="4E8D742E"/>
    <w:rsid w:val="4EDD2163"/>
    <w:rsid w:val="4EF70D4B"/>
    <w:rsid w:val="4F312CC3"/>
    <w:rsid w:val="4F343A65"/>
    <w:rsid w:val="4F530677"/>
    <w:rsid w:val="4F6A50DD"/>
    <w:rsid w:val="4F7B372A"/>
    <w:rsid w:val="4FE17A31"/>
    <w:rsid w:val="50483F54"/>
    <w:rsid w:val="50532240"/>
    <w:rsid w:val="5087157C"/>
    <w:rsid w:val="510A53E1"/>
    <w:rsid w:val="5124051D"/>
    <w:rsid w:val="514F30C0"/>
    <w:rsid w:val="516D3D99"/>
    <w:rsid w:val="51BB6878"/>
    <w:rsid w:val="51ED4DB3"/>
    <w:rsid w:val="52741030"/>
    <w:rsid w:val="528D20F2"/>
    <w:rsid w:val="52A31916"/>
    <w:rsid w:val="53220A8C"/>
    <w:rsid w:val="533F631B"/>
    <w:rsid w:val="53590226"/>
    <w:rsid w:val="53672943"/>
    <w:rsid w:val="536A3507"/>
    <w:rsid w:val="536D1F1D"/>
    <w:rsid w:val="53B611D5"/>
    <w:rsid w:val="53FA4295"/>
    <w:rsid w:val="54131E75"/>
    <w:rsid w:val="542A3CA1"/>
    <w:rsid w:val="544E236A"/>
    <w:rsid w:val="54706F0F"/>
    <w:rsid w:val="54CB5645"/>
    <w:rsid w:val="54F91935"/>
    <w:rsid w:val="55480552"/>
    <w:rsid w:val="55DE22AC"/>
    <w:rsid w:val="55EC7130"/>
    <w:rsid w:val="55F52488"/>
    <w:rsid w:val="5687166A"/>
    <w:rsid w:val="56E12A0D"/>
    <w:rsid w:val="579F2BA9"/>
    <w:rsid w:val="57D7316D"/>
    <w:rsid w:val="57E83927"/>
    <w:rsid w:val="5818420C"/>
    <w:rsid w:val="58242BB1"/>
    <w:rsid w:val="5856692C"/>
    <w:rsid w:val="5A355549"/>
    <w:rsid w:val="5A5A0BF2"/>
    <w:rsid w:val="5A61633E"/>
    <w:rsid w:val="5AF33A92"/>
    <w:rsid w:val="5B264E92"/>
    <w:rsid w:val="5B2B24A8"/>
    <w:rsid w:val="5B414137"/>
    <w:rsid w:val="5B4D0671"/>
    <w:rsid w:val="5B4F263B"/>
    <w:rsid w:val="5B81031A"/>
    <w:rsid w:val="5C043425"/>
    <w:rsid w:val="5C904CB9"/>
    <w:rsid w:val="5D1D22C5"/>
    <w:rsid w:val="5D3C6BEF"/>
    <w:rsid w:val="5D6A1E31"/>
    <w:rsid w:val="5DA402F0"/>
    <w:rsid w:val="5DDD66E6"/>
    <w:rsid w:val="5DE6776A"/>
    <w:rsid w:val="5E0314BA"/>
    <w:rsid w:val="5E0F1C0D"/>
    <w:rsid w:val="5EB36A3D"/>
    <w:rsid w:val="5EE57563"/>
    <w:rsid w:val="5EF60C69"/>
    <w:rsid w:val="6017749F"/>
    <w:rsid w:val="6035216A"/>
    <w:rsid w:val="605D2E1B"/>
    <w:rsid w:val="60695F4D"/>
    <w:rsid w:val="606E43AE"/>
    <w:rsid w:val="60A37191"/>
    <w:rsid w:val="60F53CD0"/>
    <w:rsid w:val="6223212B"/>
    <w:rsid w:val="622B6237"/>
    <w:rsid w:val="62562501"/>
    <w:rsid w:val="625E13B5"/>
    <w:rsid w:val="6280757E"/>
    <w:rsid w:val="628726BA"/>
    <w:rsid w:val="62B72874"/>
    <w:rsid w:val="62BC20F4"/>
    <w:rsid w:val="62BF00A6"/>
    <w:rsid w:val="62F615EE"/>
    <w:rsid w:val="63506F50"/>
    <w:rsid w:val="6370314E"/>
    <w:rsid w:val="63CC234F"/>
    <w:rsid w:val="6429154F"/>
    <w:rsid w:val="646507D9"/>
    <w:rsid w:val="64921199"/>
    <w:rsid w:val="64A75F46"/>
    <w:rsid w:val="64EF2635"/>
    <w:rsid w:val="6578453C"/>
    <w:rsid w:val="65A04C05"/>
    <w:rsid w:val="661938D9"/>
    <w:rsid w:val="661A55F3"/>
    <w:rsid w:val="66BE3509"/>
    <w:rsid w:val="66D9725C"/>
    <w:rsid w:val="66FB7A23"/>
    <w:rsid w:val="671C5D01"/>
    <w:rsid w:val="67637A51"/>
    <w:rsid w:val="6796339F"/>
    <w:rsid w:val="67DF4D46"/>
    <w:rsid w:val="68212C69"/>
    <w:rsid w:val="682C2372"/>
    <w:rsid w:val="68524923"/>
    <w:rsid w:val="68C63810"/>
    <w:rsid w:val="693753E4"/>
    <w:rsid w:val="696A6892"/>
    <w:rsid w:val="69B61AD7"/>
    <w:rsid w:val="69DF2DDC"/>
    <w:rsid w:val="69E0713C"/>
    <w:rsid w:val="6A39530C"/>
    <w:rsid w:val="6A724213"/>
    <w:rsid w:val="6A941E18"/>
    <w:rsid w:val="6AC60AEB"/>
    <w:rsid w:val="6AF6662F"/>
    <w:rsid w:val="6B0A127C"/>
    <w:rsid w:val="6B4E646B"/>
    <w:rsid w:val="6B6B5B79"/>
    <w:rsid w:val="6BD10E4A"/>
    <w:rsid w:val="6BE24E05"/>
    <w:rsid w:val="6C2F38B9"/>
    <w:rsid w:val="6C9854C4"/>
    <w:rsid w:val="6CE3535A"/>
    <w:rsid w:val="6D382D48"/>
    <w:rsid w:val="6D3E250F"/>
    <w:rsid w:val="6D464F20"/>
    <w:rsid w:val="6D5A3D43"/>
    <w:rsid w:val="6D885ECE"/>
    <w:rsid w:val="6E276C24"/>
    <w:rsid w:val="6E510020"/>
    <w:rsid w:val="6E8201DA"/>
    <w:rsid w:val="6EF30D36"/>
    <w:rsid w:val="6EF74724"/>
    <w:rsid w:val="6F2A1B9F"/>
    <w:rsid w:val="6FAB550E"/>
    <w:rsid w:val="6FB439AB"/>
    <w:rsid w:val="6FCF744E"/>
    <w:rsid w:val="706C7393"/>
    <w:rsid w:val="708D1A7B"/>
    <w:rsid w:val="710540F1"/>
    <w:rsid w:val="71161F56"/>
    <w:rsid w:val="71245578"/>
    <w:rsid w:val="716562BC"/>
    <w:rsid w:val="71B52674"/>
    <w:rsid w:val="72121874"/>
    <w:rsid w:val="722374B5"/>
    <w:rsid w:val="724C122A"/>
    <w:rsid w:val="727879B6"/>
    <w:rsid w:val="72933146"/>
    <w:rsid w:val="72D134DE"/>
    <w:rsid w:val="7352461E"/>
    <w:rsid w:val="73773587"/>
    <w:rsid w:val="73816CB2"/>
    <w:rsid w:val="739A7D73"/>
    <w:rsid w:val="73BB0416"/>
    <w:rsid w:val="74281823"/>
    <w:rsid w:val="74AD40A3"/>
    <w:rsid w:val="74D02F66"/>
    <w:rsid w:val="74DD4A9B"/>
    <w:rsid w:val="751F6782"/>
    <w:rsid w:val="755C3532"/>
    <w:rsid w:val="75B4025A"/>
    <w:rsid w:val="75D03F20"/>
    <w:rsid w:val="76004806"/>
    <w:rsid w:val="763149BF"/>
    <w:rsid w:val="768371E5"/>
    <w:rsid w:val="775C1F10"/>
    <w:rsid w:val="775D45CC"/>
    <w:rsid w:val="77701517"/>
    <w:rsid w:val="78534766"/>
    <w:rsid w:val="786A0485"/>
    <w:rsid w:val="78872FBC"/>
    <w:rsid w:val="7A807CC3"/>
    <w:rsid w:val="7AAA37DB"/>
    <w:rsid w:val="7AB16063"/>
    <w:rsid w:val="7AC51B7A"/>
    <w:rsid w:val="7ADB139D"/>
    <w:rsid w:val="7AED2E7F"/>
    <w:rsid w:val="7B845591"/>
    <w:rsid w:val="7C6D071B"/>
    <w:rsid w:val="7C7A6026"/>
    <w:rsid w:val="7C7B5CFE"/>
    <w:rsid w:val="7D184638"/>
    <w:rsid w:val="7D40373A"/>
    <w:rsid w:val="7DCF7B3B"/>
    <w:rsid w:val="7DD81BC4"/>
    <w:rsid w:val="7DDE3FD8"/>
    <w:rsid w:val="7DE17CDD"/>
    <w:rsid w:val="7DF31168"/>
    <w:rsid w:val="7E0155BF"/>
    <w:rsid w:val="7E2D0162"/>
    <w:rsid w:val="7EB0669D"/>
    <w:rsid w:val="7EBB6AD5"/>
    <w:rsid w:val="7F1D01D6"/>
    <w:rsid w:val="7F4C5C36"/>
    <w:rsid w:val="7F93250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nhideWhenUsed="0" w:uiPriority="99" w:semiHidden="0"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99"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3"/>
    <w:next w:val="1"/>
    <w:link w:val="46"/>
    <w:autoRedefine/>
    <w:qFormat/>
    <w:uiPriority w:val="99"/>
    <w:pPr>
      <w:keepNext/>
      <w:keepLines/>
      <w:tabs>
        <w:tab w:val="left" w:pos="795"/>
        <w:tab w:val="left" w:pos="1635"/>
      </w:tabs>
      <w:spacing w:line="576" w:lineRule="auto"/>
      <w:outlineLvl w:val="0"/>
    </w:pPr>
    <w:rPr>
      <w:rFonts w:ascii="Times New Roman" w:hAnsi="Times New Roman" w:eastAsia="宋体"/>
      <w:b/>
      <w:bCs/>
      <w:kern w:val="44"/>
      <w:sz w:val="44"/>
      <w:szCs w:val="44"/>
    </w:rPr>
  </w:style>
  <w:style w:type="paragraph" w:styleId="5">
    <w:name w:val="heading 2"/>
    <w:basedOn w:val="1"/>
    <w:next w:val="1"/>
    <w:autoRedefine/>
    <w:qFormat/>
    <w:uiPriority w:val="0"/>
    <w:pPr>
      <w:keepNext/>
      <w:keepLines/>
      <w:spacing w:before="260" w:after="260" w:line="413" w:lineRule="auto"/>
      <w:outlineLvl w:val="1"/>
    </w:pPr>
    <w:rPr>
      <w:rFonts w:ascii="Arial" w:hAnsi="Arial" w:eastAsia="黑体"/>
      <w:b/>
      <w:bCs/>
      <w:sz w:val="32"/>
      <w:szCs w:val="32"/>
    </w:rPr>
  </w:style>
  <w:style w:type="paragraph" w:styleId="6">
    <w:name w:val="heading 3"/>
    <w:basedOn w:val="1"/>
    <w:next w:val="1"/>
    <w:autoRedefine/>
    <w:qFormat/>
    <w:uiPriority w:val="0"/>
    <w:pPr>
      <w:keepNext/>
      <w:keepLines/>
      <w:spacing w:before="260" w:after="260" w:line="413" w:lineRule="auto"/>
      <w:outlineLvl w:val="2"/>
    </w:pPr>
    <w:rPr>
      <w:b/>
      <w:sz w:val="32"/>
    </w:rPr>
  </w:style>
  <w:style w:type="paragraph" w:styleId="7">
    <w:name w:val="heading 9"/>
    <w:basedOn w:val="1"/>
    <w:next w:val="1"/>
    <w:autoRedefine/>
    <w:unhideWhenUsed/>
    <w:qFormat/>
    <w:uiPriority w:val="0"/>
    <w:pPr>
      <w:ind w:left="120"/>
      <w:outlineLvl w:val="8"/>
    </w:pPr>
    <w:rPr>
      <w:rFonts w:ascii="PMingLiU" w:hAnsi="PMingLiU" w:eastAsia="PMingLiU" w:cs="PMingLiU"/>
      <w:sz w:val="28"/>
      <w:szCs w:val="28"/>
    </w:rPr>
  </w:style>
  <w:style w:type="character" w:default="1" w:styleId="24">
    <w:name w:val="Default Paragraph Font"/>
    <w:autoRedefine/>
    <w:semiHidden/>
    <w:unhideWhenUsed/>
    <w:qFormat/>
    <w:uiPriority w:val="1"/>
  </w:style>
  <w:style w:type="table" w:default="1" w:styleId="23">
    <w:name w:val="Normal Table"/>
    <w:autoRedefine/>
    <w:semiHidden/>
    <w:unhideWhenUsed/>
    <w:qFormat/>
    <w:uiPriority w:val="99"/>
    <w:tblPr>
      <w:tblCellMar>
        <w:top w:w="0" w:type="dxa"/>
        <w:left w:w="108" w:type="dxa"/>
        <w:bottom w:w="0" w:type="dxa"/>
        <w:right w:w="108" w:type="dxa"/>
      </w:tblCellMar>
    </w:tblPr>
  </w:style>
  <w:style w:type="paragraph" w:customStyle="1" w:styleId="3">
    <w:name w:val="一级条标题"/>
    <w:next w:val="4"/>
    <w:autoRedefine/>
    <w:qFormat/>
    <w:uiPriority w:val="0"/>
    <w:pPr>
      <w:numPr>
        <w:ilvl w:val="2"/>
        <w:numId w:val="1"/>
      </w:numPr>
      <w:tabs>
        <w:tab w:val="left" w:pos="795"/>
      </w:tabs>
      <w:outlineLvl w:val="2"/>
    </w:pPr>
    <w:rPr>
      <w:rFonts w:ascii="Calibri" w:hAnsi="Calibri" w:eastAsia="黑体" w:cs="Times New Roman"/>
      <w:sz w:val="21"/>
      <w:szCs w:val="22"/>
      <w:lang w:val="en-US" w:eastAsia="zh-CN" w:bidi="ar-SA"/>
    </w:rPr>
  </w:style>
  <w:style w:type="paragraph" w:customStyle="1" w:styleId="4">
    <w:name w:val="段"/>
    <w:autoRedefine/>
    <w:qFormat/>
    <w:uiPriority w:val="0"/>
    <w:pPr>
      <w:autoSpaceDE w:val="0"/>
      <w:autoSpaceDN w:val="0"/>
      <w:ind w:firstLine="420" w:firstLineChars="200"/>
      <w:jc w:val="both"/>
    </w:pPr>
    <w:rPr>
      <w:rFonts w:ascii="宋体" w:hAnsi="Tahoma" w:eastAsia="黑体" w:cs="Times New Roman"/>
      <w:bCs/>
      <w:kern w:val="2"/>
      <w:sz w:val="21"/>
      <w:lang w:val="en-US" w:eastAsia="zh-CN" w:bidi="ar-SA"/>
    </w:rPr>
  </w:style>
  <w:style w:type="paragraph" w:styleId="8">
    <w:name w:val="Normal Indent"/>
    <w:basedOn w:val="1"/>
    <w:next w:val="1"/>
    <w:autoRedefine/>
    <w:unhideWhenUsed/>
    <w:qFormat/>
    <w:uiPriority w:val="99"/>
    <w:pPr>
      <w:spacing w:after="100" w:afterAutospacing="1"/>
      <w:ind w:firstLine="200" w:firstLineChars="200"/>
    </w:pPr>
    <w:rPr>
      <w:szCs w:val="21"/>
    </w:rPr>
  </w:style>
  <w:style w:type="paragraph" w:styleId="9">
    <w:name w:val="caption"/>
    <w:basedOn w:val="1"/>
    <w:next w:val="1"/>
    <w:autoRedefine/>
    <w:qFormat/>
    <w:uiPriority w:val="99"/>
    <w:rPr>
      <w:rFonts w:ascii="Arial" w:hAnsi="Arial" w:eastAsia="黑体"/>
      <w:sz w:val="20"/>
      <w:szCs w:val="20"/>
    </w:rPr>
  </w:style>
  <w:style w:type="paragraph" w:styleId="10">
    <w:name w:val="annotation text"/>
    <w:basedOn w:val="1"/>
    <w:link w:val="41"/>
    <w:autoRedefine/>
    <w:unhideWhenUsed/>
    <w:qFormat/>
    <w:uiPriority w:val="99"/>
    <w:pPr>
      <w:jc w:val="left"/>
    </w:pPr>
    <w:rPr>
      <w:szCs w:val="21"/>
    </w:rPr>
  </w:style>
  <w:style w:type="paragraph" w:styleId="11">
    <w:name w:val="Body Text"/>
    <w:basedOn w:val="1"/>
    <w:next w:val="1"/>
    <w:autoRedefine/>
    <w:qFormat/>
    <w:uiPriority w:val="0"/>
    <w:pPr>
      <w:spacing w:after="120"/>
    </w:pPr>
  </w:style>
  <w:style w:type="paragraph" w:styleId="12">
    <w:name w:val="Body Text Indent"/>
    <w:basedOn w:val="1"/>
    <w:next w:val="11"/>
    <w:link w:val="42"/>
    <w:autoRedefine/>
    <w:unhideWhenUsed/>
    <w:qFormat/>
    <w:uiPriority w:val="99"/>
    <w:pPr>
      <w:adjustRightInd w:val="0"/>
      <w:snapToGrid w:val="0"/>
      <w:spacing w:line="360" w:lineRule="auto"/>
      <w:ind w:firstLine="200" w:firstLineChars="200"/>
    </w:pPr>
    <w:rPr>
      <w:rFonts w:ascii="宋体"/>
      <w:sz w:val="28"/>
      <w:szCs w:val="28"/>
    </w:rPr>
  </w:style>
  <w:style w:type="paragraph" w:styleId="13">
    <w:name w:val="Plain Text"/>
    <w:basedOn w:val="1"/>
    <w:link w:val="43"/>
    <w:autoRedefine/>
    <w:unhideWhenUsed/>
    <w:qFormat/>
    <w:uiPriority w:val="99"/>
    <w:rPr>
      <w:rFonts w:ascii="宋体"/>
      <w:szCs w:val="21"/>
    </w:rPr>
  </w:style>
  <w:style w:type="paragraph" w:styleId="14">
    <w:name w:val="Date"/>
    <w:basedOn w:val="1"/>
    <w:next w:val="1"/>
    <w:autoRedefine/>
    <w:qFormat/>
    <w:uiPriority w:val="0"/>
    <w:pPr>
      <w:ind w:left="2500" w:leftChars="2500"/>
    </w:pPr>
  </w:style>
  <w:style w:type="paragraph" w:styleId="15">
    <w:name w:val="footer"/>
    <w:basedOn w:val="1"/>
    <w:link w:val="44"/>
    <w:autoRedefine/>
    <w:unhideWhenUsed/>
    <w:qFormat/>
    <w:uiPriority w:val="99"/>
    <w:pPr>
      <w:snapToGrid w:val="0"/>
      <w:jc w:val="left"/>
    </w:pPr>
    <w:rPr>
      <w:sz w:val="18"/>
      <w:szCs w:val="18"/>
    </w:rPr>
  </w:style>
  <w:style w:type="paragraph" w:styleId="16">
    <w:name w:val="envelope return"/>
    <w:basedOn w:val="1"/>
    <w:autoRedefine/>
    <w:qFormat/>
    <w:uiPriority w:val="0"/>
    <w:pPr>
      <w:widowControl/>
      <w:adjustRightInd w:val="0"/>
      <w:snapToGrid w:val="0"/>
      <w:spacing w:after="200"/>
      <w:jc w:val="left"/>
    </w:pPr>
    <w:rPr>
      <w:rFonts w:ascii="Arial" w:hAnsi="Arial" w:eastAsia="微软雅黑"/>
      <w:kern w:val="0"/>
      <w:sz w:val="22"/>
    </w:rPr>
  </w:style>
  <w:style w:type="paragraph" w:styleId="17">
    <w:name w:val="header"/>
    <w:basedOn w:val="1"/>
    <w:next w:val="1"/>
    <w:link w:val="45"/>
    <w:autoRedefine/>
    <w:unhideWhenUsed/>
    <w:qFormat/>
    <w:uiPriority w:val="99"/>
    <w:pPr>
      <w:snapToGrid w:val="0"/>
    </w:pPr>
    <w:rPr>
      <w:sz w:val="18"/>
      <w:szCs w:val="18"/>
    </w:rPr>
  </w:style>
  <w:style w:type="paragraph" w:styleId="18">
    <w:name w:val="toc 1"/>
    <w:basedOn w:val="1"/>
    <w:next w:val="1"/>
    <w:autoRedefine/>
    <w:qFormat/>
    <w:uiPriority w:val="0"/>
  </w:style>
  <w:style w:type="paragraph" w:styleId="19">
    <w:name w:val="Normal (Web)"/>
    <w:basedOn w:val="1"/>
    <w:autoRedefine/>
    <w:unhideWhenUsed/>
    <w:qFormat/>
    <w:uiPriority w:val="99"/>
    <w:pPr>
      <w:widowControl/>
      <w:jc w:val="left"/>
    </w:pPr>
    <w:rPr>
      <w:rFonts w:ascii="宋体" w:cs="宋体"/>
      <w:color w:val="000000"/>
      <w:kern w:val="0"/>
      <w:sz w:val="24"/>
      <w:szCs w:val="24"/>
    </w:rPr>
  </w:style>
  <w:style w:type="paragraph" w:styleId="20">
    <w:name w:val="Title"/>
    <w:basedOn w:val="1"/>
    <w:next w:val="1"/>
    <w:autoRedefine/>
    <w:qFormat/>
    <w:uiPriority w:val="10"/>
    <w:pPr>
      <w:spacing w:before="240" w:after="60"/>
      <w:jc w:val="center"/>
      <w:outlineLvl w:val="0"/>
    </w:pPr>
    <w:rPr>
      <w:rFonts w:ascii="Cambria" w:hAnsi="Cambria"/>
      <w:b/>
      <w:bCs/>
      <w:kern w:val="0"/>
      <w:sz w:val="32"/>
      <w:szCs w:val="32"/>
    </w:rPr>
  </w:style>
  <w:style w:type="paragraph" w:styleId="21">
    <w:name w:val="Body Text First Indent"/>
    <w:basedOn w:val="11"/>
    <w:autoRedefine/>
    <w:qFormat/>
    <w:uiPriority w:val="0"/>
    <w:pPr>
      <w:spacing w:after="120" w:line="240" w:lineRule="auto"/>
      <w:ind w:firstLine="420" w:firstLineChars="100"/>
    </w:pPr>
    <w:rPr>
      <w:sz w:val="28"/>
    </w:rPr>
  </w:style>
  <w:style w:type="paragraph" w:styleId="22">
    <w:name w:val="Body Text First Indent 2"/>
    <w:basedOn w:val="12"/>
    <w:autoRedefine/>
    <w:qFormat/>
    <w:uiPriority w:val="0"/>
    <w:pPr>
      <w:spacing w:line="240" w:lineRule="auto"/>
    </w:pPr>
    <w:rPr>
      <w:rFonts w:ascii="Times New Roman"/>
      <w:szCs w:val="24"/>
    </w:rPr>
  </w:style>
  <w:style w:type="character" w:styleId="25">
    <w:name w:val="page number"/>
    <w:basedOn w:val="24"/>
    <w:autoRedefine/>
    <w:qFormat/>
    <w:uiPriority w:val="0"/>
    <w:rPr>
      <w:rFonts w:ascii="仿宋_GB2312" w:hAnsi="Times New Roman" w:eastAsia="仿宋_GB2312" w:cs="Times New Roman"/>
      <w:kern w:val="2"/>
      <w:sz w:val="28"/>
      <w:szCs w:val="28"/>
      <w:lang w:val="en-US" w:eastAsia="zh-CN" w:bidi="ar-SA"/>
    </w:rPr>
  </w:style>
  <w:style w:type="character" w:styleId="26">
    <w:name w:val="FollowedHyperlink"/>
    <w:autoRedefine/>
    <w:unhideWhenUsed/>
    <w:qFormat/>
    <w:uiPriority w:val="99"/>
    <w:rPr>
      <w:color w:val="800080"/>
      <w:u w:val="single"/>
    </w:rPr>
  </w:style>
  <w:style w:type="character" w:styleId="27">
    <w:name w:val="Hyperlink"/>
    <w:autoRedefine/>
    <w:unhideWhenUsed/>
    <w:qFormat/>
    <w:uiPriority w:val="99"/>
    <w:rPr>
      <w:color w:val="0000FF"/>
      <w:u w:val="single"/>
    </w:rPr>
  </w:style>
  <w:style w:type="paragraph" w:customStyle="1" w:styleId="28">
    <w:name w:val="正文缩进1"/>
    <w:basedOn w:val="1"/>
    <w:autoRedefine/>
    <w:qFormat/>
    <w:uiPriority w:val="0"/>
    <w:pPr>
      <w:ind w:firstLine="420" w:firstLineChars="200"/>
    </w:pPr>
  </w:style>
  <w:style w:type="paragraph" w:customStyle="1" w:styleId="29">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0">
    <w:name w:val="目录 11"/>
    <w:basedOn w:val="1"/>
    <w:next w:val="1"/>
    <w:autoRedefine/>
    <w:qFormat/>
    <w:uiPriority w:val="0"/>
    <w:rPr>
      <w:szCs w:val="21"/>
    </w:rPr>
  </w:style>
  <w:style w:type="paragraph" w:customStyle="1" w:styleId="31">
    <w:name w:val="正文首行缩进 21"/>
    <w:basedOn w:val="12"/>
    <w:autoRedefine/>
    <w:qFormat/>
    <w:uiPriority w:val="0"/>
    <w:pPr>
      <w:spacing w:line="240" w:lineRule="auto"/>
    </w:pPr>
    <w:rPr>
      <w:rFonts w:ascii="Times New Roman"/>
    </w:rPr>
  </w:style>
  <w:style w:type="paragraph" w:customStyle="1" w:styleId="32">
    <w:name w:val="表格文字"/>
    <w:basedOn w:val="1"/>
    <w:autoRedefine/>
    <w:qFormat/>
    <w:uiPriority w:val="0"/>
    <w:pPr>
      <w:jc w:val="left"/>
    </w:pPr>
    <w:rPr>
      <w:bCs/>
      <w:spacing w:val="10"/>
      <w:kern w:val="0"/>
      <w:sz w:val="24"/>
      <w:szCs w:val="24"/>
    </w:rPr>
  </w:style>
  <w:style w:type="paragraph" w:customStyle="1" w:styleId="33">
    <w:name w:val="列出段落2"/>
    <w:basedOn w:val="1"/>
    <w:autoRedefine/>
    <w:qFormat/>
    <w:uiPriority w:val="0"/>
    <w:pPr>
      <w:ind w:firstLine="420" w:firstLineChars="200"/>
    </w:pPr>
    <w:rPr>
      <w:szCs w:val="21"/>
    </w:rPr>
  </w:style>
  <w:style w:type="paragraph" w:customStyle="1" w:styleId="34">
    <w:name w:val="正文 New New New New New New New New New New New New New New New"/>
    <w:basedOn w:val="1"/>
    <w:autoRedefine/>
    <w:qFormat/>
    <w:uiPriority w:val="0"/>
    <w:pPr>
      <w:spacing w:line="360" w:lineRule="auto"/>
    </w:pPr>
    <w:rPr>
      <w:rFonts w:ascii="宋体" w:hAnsi="宋体" w:cs="宋体"/>
      <w:sz w:val="24"/>
      <w:szCs w:val="24"/>
    </w:rPr>
  </w:style>
  <w:style w:type="paragraph" w:customStyle="1" w:styleId="35">
    <w:name w:val="列出段落1"/>
    <w:basedOn w:val="1"/>
    <w:autoRedefine/>
    <w:qFormat/>
    <w:uiPriority w:val="0"/>
    <w:pPr>
      <w:ind w:firstLine="420" w:firstLineChars="200"/>
    </w:pPr>
    <w:rPr>
      <w:szCs w:val="21"/>
    </w:rPr>
  </w:style>
  <w:style w:type="paragraph" w:customStyle="1" w:styleId="36">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37">
    <w:name w:val="列出段落3"/>
    <w:basedOn w:val="1"/>
    <w:autoRedefine/>
    <w:qFormat/>
    <w:uiPriority w:val="34"/>
    <w:pPr>
      <w:ind w:firstLine="420" w:firstLineChars="200"/>
    </w:pPr>
  </w:style>
  <w:style w:type="paragraph" w:customStyle="1" w:styleId="38">
    <w:name w:val="彩色列表 - 强调文字颜色 11"/>
    <w:basedOn w:val="1"/>
    <w:autoRedefine/>
    <w:qFormat/>
    <w:uiPriority w:val="0"/>
    <w:pPr>
      <w:ind w:firstLine="420" w:firstLineChars="200"/>
    </w:pPr>
  </w:style>
  <w:style w:type="character" w:customStyle="1" w:styleId="39">
    <w:name w:val="标题 1 Char"/>
    <w:autoRedefine/>
    <w:qFormat/>
    <w:uiPriority w:val="0"/>
    <w:rPr>
      <w:rFonts w:ascii="Arial" w:hAnsi="Arial" w:eastAsia="宋体" w:cs="Arial"/>
      <w:bCs/>
      <w:kern w:val="32"/>
      <w:sz w:val="32"/>
      <w:szCs w:val="32"/>
      <w:lang w:val="en-US" w:eastAsia="zh-CN" w:bidi="ar-SA"/>
    </w:rPr>
  </w:style>
  <w:style w:type="character" w:customStyle="1" w:styleId="40">
    <w:name w:val="标题 1 Char Char Char"/>
    <w:autoRedefine/>
    <w:qFormat/>
    <w:uiPriority w:val="0"/>
    <w:rPr>
      <w:rFonts w:ascii="Times New Roman" w:hAnsi="Times New Roman" w:eastAsia="宋体" w:cs="Times New Roman"/>
      <w:b/>
      <w:bCs/>
      <w:kern w:val="44"/>
      <w:sz w:val="44"/>
      <w:szCs w:val="44"/>
    </w:rPr>
  </w:style>
  <w:style w:type="character" w:customStyle="1" w:styleId="41">
    <w:name w:val="批注文字 Char"/>
    <w:link w:val="10"/>
    <w:autoRedefine/>
    <w:qFormat/>
    <w:uiPriority w:val="99"/>
    <w:rPr>
      <w:rFonts w:ascii="Times New Roman" w:hAnsi="Times New Roman" w:eastAsia="宋体"/>
      <w:kern w:val="2"/>
      <w:sz w:val="21"/>
      <w:szCs w:val="21"/>
    </w:rPr>
  </w:style>
  <w:style w:type="character" w:customStyle="1" w:styleId="42">
    <w:name w:val="正文文本缩进 Char"/>
    <w:link w:val="12"/>
    <w:autoRedefine/>
    <w:qFormat/>
    <w:uiPriority w:val="99"/>
    <w:rPr>
      <w:rFonts w:ascii="宋体" w:hAnsi="Times New Roman" w:eastAsia="宋体"/>
      <w:kern w:val="2"/>
      <w:sz w:val="28"/>
      <w:szCs w:val="28"/>
    </w:rPr>
  </w:style>
  <w:style w:type="character" w:customStyle="1" w:styleId="43">
    <w:name w:val="纯文本 Char"/>
    <w:link w:val="13"/>
    <w:autoRedefine/>
    <w:qFormat/>
    <w:uiPriority w:val="99"/>
    <w:rPr>
      <w:rFonts w:ascii="宋体" w:hAnsi="Times New Roman" w:eastAsia="宋体"/>
      <w:kern w:val="2"/>
      <w:sz w:val="21"/>
      <w:szCs w:val="21"/>
    </w:rPr>
  </w:style>
  <w:style w:type="character" w:customStyle="1" w:styleId="44">
    <w:name w:val="页脚 Char"/>
    <w:link w:val="15"/>
    <w:autoRedefine/>
    <w:qFormat/>
    <w:uiPriority w:val="99"/>
    <w:rPr>
      <w:rFonts w:ascii="Times New Roman" w:hAnsi="Times New Roman" w:eastAsia="宋体"/>
      <w:kern w:val="2"/>
      <w:sz w:val="18"/>
      <w:szCs w:val="18"/>
    </w:rPr>
  </w:style>
  <w:style w:type="character" w:customStyle="1" w:styleId="45">
    <w:name w:val="页眉 Char"/>
    <w:link w:val="17"/>
    <w:autoRedefine/>
    <w:qFormat/>
    <w:uiPriority w:val="99"/>
    <w:rPr>
      <w:rFonts w:ascii="Times New Roman" w:hAnsi="Times New Roman" w:eastAsia="宋体"/>
      <w:kern w:val="2"/>
      <w:sz w:val="18"/>
      <w:szCs w:val="18"/>
    </w:rPr>
  </w:style>
  <w:style w:type="character" w:customStyle="1" w:styleId="46">
    <w:name w:val="标题 1 Char1"/>
    <w:link w:val="2"/>
    <w:autoRedefine/>
    <w:qFormat/>
    <w:uiPriority w:val="99"/>
    <w:rPr>
      <w:rFonts w:ascii="Times New Roman" w:hAnsi="Times New Roman" w:eastAsia="宋体"/>
      <w:b/>
      <w:bCs/>
      <w:kern w:val="44"/>
      <w:sz w:val="44"/>
      <w:szCs w:val="44"/>
    </w:rPr>
  </w:style>
  <w:style w:type="character" w:customStyle="1" w:styleId="47">
    <w:name w:val="15"/>
    <w:autoRedefine/>
    <w:qFormat/>
    <w:uiPriority w:val="0"/>
    <w:rPr>
      <w:rFonts w:hint="default" w:ascii="Times New Roman" w:hAnsi="Times New Roman" w:eastAsia="宋体" w:cs="Times New Roman"/>
      <w:b/>
      <w:bCs/>
      <w:kern w:val="44"/>
      <w:sz w:val="44"/>
      <w:szCs w:val="44"/>
    </w:rPr>
  </w:style>
  <w:style w:type="character" w:customStyle="1" w:styleId="48">
    <w:name w:val="16"/>
    <w:autoRedefine/>
    <w:qFormat/>
    <w:uiPriority w:val="0"/>
    <w:rPr>
      <w:rFonts w:hint="default" w:ascii="Arial" w:hAnsi="Arial" w:eastAsia="宋体" w:cs="Arial"/>
      <w:bCs/>
      <w:kern w:val="32"/>
      <w:sz w:val="32"/>
      <w:szCs w:val="32"/>
    </w:rPr>
  </w:style>
  <w:style w:type="character" w:customStyle="1" w:styleId="49">
    <w:name w:val="17"/>
    <w:autoRedefine/>
    <w:qFormat/>
    <w:uiPriority w:val="0"/>
    <w:rPr>
      <w:rFonts w:hint="eastAsia" w:ascii="仿宋_GB2312" w:hAnsi="Times New Roman" w:eastAsia="仿宋_GB2312" w:cs="Times New Roman"/>
      <w:kern w:val="2"/>
      <w:sz w:val="28"/>
      <w:szCs w:val="28"/>
    </w:rPr>
  </w:style>
  <w:style w:type="character" w:customStyle="1" w:styleId="50">
    <w:name w:val="font11"/>
    <w:basedOn w:val="24"/>
    <w:autoRedefine/>
    <w:qFormat/>
    <w:uiPriority w:val="0"/>
    <w:rPr>
      <w:rFonts w:hint="eastAsia" w:ascii="宋体" w:hAnsi="宋体" w:eastAsia="宋体" w:cs="宋体"/>
      <w:color w:val="0000FF"/>
      <w:sz w:val="21"/>
      <w:szCs w:val="21"/>
      <w:u w:val="none"/>
    </w:rPr>
  </w:style>
  <w:style w:type="character" w:customStyle="1" w:styleId="51">
    <w:name w:val="font21"/>
    <w:basedOn w:val="24"/>
    <w:autoRedefine/>
    <w:qFormat/>
    <w:uiPriority w:val="0"/>
    <w:rPr>
      <w:rFonts w:hint="eastAsia" w:ascii="仿宋_GB2312" w:eastAsia="仿宋_GB2312" w:cs="仿宋_GB2312"/>
      <w:color w:val="0000FF"/>
      <w:sz w:val="21"/>
      <w:szCs w:val="21"/>
      <w:u w:val="none"/>
    </w:rPr>
  </w:style>
  <w:style w:type="character" w:customStyle="1" w:styleId="52">
    <w:name w:val="apple-converted-space"/>
    <w:autoRedefine/>
    <w:qFormat/>
    <w:uiPriority w:val="0"/>
  </w:style>
  <w:style w:type="paragraph" w:customStyle="1" w:styleId="53">
    <w:name w:val="reader-word-layer reader-word-s6-7"/>
    <w:basedOn w:val="1"/>
    <w:autoRedefine/>
    <w:qFormat/>
    <w:uiPriority w:val="0"/>
    <w:pPr>
      <w:widowControl/>
      <w:spacing w:before="100" w:beforeLines="0" w:beforeAutospacing="1" w:after="100" w:afterLines="0" w:afterAutospacing="1"/>
      <w:jc w:val="left"/>
    </w:pPr>
    <w:rPr>
      <w:rFonts w:ascii="宋体" w:hAnsi="宋体" w:cs="宋体"/>
      <w:kern w:val="0"/>
      <w:sz w:val="24"/>
    </w:rPr>
  </w:style>
  <w:style w:type="table" w:customStyle="1" w:styleId="54">
    <w:name w:val="TableGrid"/>
    <w:autoRedefine/>
    <w:qFormat/>
    <w:uiPriority w:val="0"/>
    <w:tblPr>
      <w:tblCellMar>
        <w:top w:w="0" w:type="dxa"/>
        <w:left w:w="0" w:type="dxa"/>
        <w:bottom w:w="0" w:type="dxa"/>
        <w:right w:w="0" w:type="dxa"/>
      </w:tblCellMar>
    </w:tblPr>
  </w:style>
  <w:style w:type="paragraph" w:styleId="55">
    <w:name w:val="List Paragraph"/>
    <w:basedOn w:val="1"/>
    <w:autoRedefine/>
    <w:qFormat/>
    <w:uiPriority w:val="1"/>
    <w:pPr>
      <w:spacing w:before="96"/>
      <w:ind w:left="100" w:firstLine="576"/>
    </w:pPr>
    <w:rPr>
      <w:rFonts w:ascii="宋体" w:hAnsi="宋体" w:eastAsia="宋体" w:cs="宋体"/>
      <w:lang w:val="zh-CN" w:eastAsia="zh-CN" w:bidi="zh-CN"/>
    </w:rPr>
  </w:style>
  <w:style w:type="character" w:customStyle="1" w:styleId="56">
    <w:name w:val="font81"/>
    <w:basedOn w:val="24"/>
    <w:autoRedefine/>
    <w:qFormat/>
    <w:uiPriority w:val="0"/>
    <w:rPr>
      <w:rFonts w:ascii="Calibri" w:hAnsi="Calibri" w:cs="Calibri"/>
      <w:color w:val="000000"/>
      <w:sz w:val="18"/>
      <w:szCs w:val="18"/>
      <w:u w:val="none"/>
    </w:rPr>
  </w:style>
  <w:style w:type="paragraph" w:customStyle="1" w:styleId="57">
    <w:name w:val="null3"/>
    <w:hidden/>
    <w:qFormat/>
    <w:uiPriority w:val="0"/>
    <w:rPr>
      <w:rFonts w:hint="eastAsia" w:asciiTheme="minorHAnsi" w:hAnsiTheme="minorHAnsi" w:eastAsiaTheme="minorEastAsia" w:cstheme="minorBidi"/>
      <w:lang w:val="en-US" w:eastAsia="zh-Hans"/>
    </w:rPr>
  </w:style>
  <w:style w:type="character" w:customStyle="1" w:styleId="58">
    <w:name w:val="font91"/>
    <w:basedOn w:val="24"/>
    <w:qFormat/>
    <w:uiPriority w:val="0"/>
    <w:rPr>
      <w:rFonts w:hint="eastAsia" w:ascii="宋体" w:hAnsi="宋体" w:eastAsia="宋体" w:cs="宋体"/>
      <w:color w:val="000000"/>
      <w:sz w:val="24"/>
      <w:szCs w:val="24"/>
      <w:u w:val="none"/>
    </w:rPr>
  </w:style>
  <w:style w:type="character" w:customStyle="1" w:styleId="59">
    <w:name w:val="font141"/>
    <w:basedOn w:val="24"/>
    <w:qFormat/>
    <w:uiPriority w:val="0"/>
    <w:rPr>
      <w:rFonts w:hint="eastAsia" w:ascii="宋体" w:hAnsi="宋体" w:eastAsia="宋体" w:cs="宋体"/>
      <w:color w:val="FF0000"/>
      <w:sz w:val="24"/>
      <w:szCs w:val="24"/>
      <w:u w:val="none"/>
    </w:rPr>
  </w:style>
  <w:style w:type="character" w:customStyle="1" w:styleId="60">
    <w:name w:val="font131"/>
    <w:basedOn w:val="24"/>
    <w:qFormat/>
    <w:uiPriority w:val="0"/>
    <w:rPr>
      <w:rFonts w:hint="default" w:ascii="Times New Roman" w:hAnsi="Times New Roman" w:cs="Times New Roman"/>
      <w:color w:val="000000"/>
      <w:sz w:val="20"/>
      <w:szCs w:val="20"/>
      <w:u w:val="none"/>
    </w:rPr>
  </w:style>
  <w:style w:type="character" w:customStyle="1" w:styleId="61">
    <w:name w:val="font41"/>
    <w:basedOn w:val="24"/>
    <w:qFormat/>
    <w:uiPriority w:val="0"/>
    <w:rPr>
      <w:rFonts w:hint="eastAsia" w:ascii="宋体" w:hAnsi="宋体" w:eastAsia="宋体" w:cs="宋体"/>
      <w:color w:val="000000"/>
      <w:sz w:val="20"/>
      <w:szCs w:val="20"/>
      <w:u w:val="none"/>
    </w:rPr>
  </w:style>
  <w:style w:type="character" w:customStyle="1" w:styleId="62">
    <w:name w:val="font71"/>
    <w:basedOn w:val="24"/>
    <w:qFormat/>
    <w:uiPriority w:val="0"/>
    <w:rPr>
      <w:rFonts w:hint="eastAsia" w:ascii="宋体" w:hAnsi="宋体" w:eastAsia="宋体" w:cs="宋体"/>
      <w:color w:val="000000"/>
      <w:sz w:val="20"/>
      <w:szCs w:val="20"/>
      <w:u w:val="none"/>
    </w:rPr>
  </w:style>
  <w:style w:type="character" w:customStyle="1" w:styleId="63">
    <w:name w:val="font151"/>
    <w:basedOn w:val="24"/>
    <w:uiPriority w:val="0"/>
    <w:rPr>
      <w:rFonts w:hint="default" w:ascii="Times New Roman" w:hAnsi="Times New Roman" w:cs="Times New Roman"/>
      <w:color w:val="000000"/>
      <w:sz w:val="20"/>
      <w:szCs w:val="20"/>
      <w:u w:val="none"/>
    </w:rPr>
  </w:style>
  <w:style w:type="character" w:customStyle="1" w:styleId="64">
    <w:name w:val="font161"/>
    <w:basedOn w:val="24"/>
    <w:qFormat/>
    <w:uiPriority w:val="0"/>
    <w:rPr>
      <w:rFonts w:ascii="Calibri" w:hAnsi="Calibri" w:cs="Calibri"/>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9" Type="http://schemas.openxmlformats.org/officeDocument/2006/relationships/fontTable" Target="fontTable.xml"/><Relationship Id="rId88" Type="http://schemas.openxmlformats.org/officeDocument/2006/relationships/numbering" Target="numbering.xml"/><Relationship Id="rId87" Type="http://schemas.openxmlformats.org/officeDocument/2006/relationships/customXml" Target="../customXml/item1.xml"/><Relationship Id="rId86" Type="http://schemas.openxmlformats.org/officeDocument/2006/relationships/image" Target="media/image72.png"/><Relationship Id="rId85" Type="http://schemas.openxmlformats.org/officeDocument/2006/relationships/image" Target="media/image71.png"/><Relationship Id="rId84" Type="http://schemas.openxmlformats.org/officeDocument/2006/relationships/image" Target="media/image70.png"/><Relationship Id="rId83" Type="http://schemas.openxmlformats.org/officeDocument/2006/relationships/image" Target="media/image69.png"/><Relationship Id="rId82" Type="http://schemas.openxmlformats.org/officeDocument/2006/relationships/image" Target="media/image68.png"/><Relationship Id="rId81" Type="http://schemas.openxmlformats.org/officeDocument/2006/relationships/image" Target="media/image67.png"/><Relationship Id="rId80" Type="http://schemas.openxmlformats.org/officeDocument/2006/relationships/image" Target="media/image66.png"/><Relationship Id="rId8" Type="http://schemas.openxmlformats.org/officeDocument/2006/relationships/footer" Target="footer2.xml"/><Relationship Id="rId79" Type="http://schemas.openxmlformats.org/officeDocument/2006/relationships/image" Target="media/image65.png"/><Relationship Id="rId78" Type="http://schemas.openxmlformats.org/officeDocument/2006/relationships/image" Target="media/image64.png"/><Relationship Id="rId77" Type="http://schemas.openxmlformats.org/officeDocument/2006/relationships/image" Target="media/image63.png"/><Relationship Id="rId76" Type="http://schemas.openxmlformats.org/officeDocument/2006/relationships/image" Target="media/image62.png"/><Relationship Id="rId75" Type="http://schemas.openxmlformats.org/officeDocument/2006/relationships/image" Target="media/image61.png"/><Relationship Id="rId74" Type="http://schemas.openxmlformats.org/officeDocument/2006/relationships/image" Target="media/image60.png"/><Relationship Id="rId73" Type="http://schemas.openxmlformats.org/officeDocument/2006/relationships/image" Target="media/image59.png"/><Relationship Id="rId72" Type="http://schemas.openxmlformats.org/officeDocument/2006/relationships/image" Target="media/image58.png"/><Relationship Id="rId71" Type="http://schemas.openxmlformats.org/officeDocument/2006/relationships/image" Target="media/image57.png"/><Relationship Id="rId70" Type="http://schemas.openxmlformats.org/officeDocument/2006/relationships/image" Target="media/image56.png"/><Relationship Id="rId7" Type="http://schemas.openxmlformats.org/officeDocument/2006/relationships/header" Target="header4.xml"/><Relationship Id="rId69" Type="http://schemas.openxmlformats.org/officeDocument/2006/relationships/image" Target="media/image55.png"/><Relationship Id="rId68" Type="http://schemas.openxmlformats.org/officeDocument/2006/relationships/image" Target="media/image54.png"/><Relationship Id="rId67" Type="http://schemas.openxmlformats.org/officeDocument/2006/relationships/image" Target="media/image53.png"/><Relationship Id="rId66" Type="http://schemas.openxmlformats.org/officeDocument/2006/relationships/image" Target="media/image52.png"/><Relationship Id="rId65" Type="http://schemas.openxmlformats.org/officeDocument/2006/relationships/image" Target="media/image51.png"/><Relationship Id="rId64" Type="http://schemas.openxmlformats.org/officeDocument/2006/relationships/image" Target="media/image50.png"/><Relationship Id="rId63" Type="http://schemas.openxmlformats.org/officeDocument/2006/relationships/image" Target="media/image49.png"/><Relationship Id="rId62" Type="http://schemas.openxmlformats.org/officeDocument/2006/relationships/image" Target="media/image48.png"/><Relationship Id="rId61" Type="http://schemas.openxmlformats.org/officeDocument/2006/relationships/image" Target="media/image47.png"/><Relationship Id="rId60" Type="http://schemas.openxmlformats.org/officeDocument/2006/relationships/image" Target="media/image46.png"/><Relationship Id="rId6" Type="http://schemas.openxmlformats.org/officeDocument/2006/relationships/header" Target="header3.xml"/><Relationship Id="rId59" Type="http://schemas.openxmlformats.org/officeDocument/2006/relationships/image" Target="media/image45.png"/><Relationship Id="rId58" Type="http://schemas.openxmlformats.org/officeDocument/2006/relationships/image" Target="media/image44.png"/><Relationship Id="rId57" Type="http://schemas.openxmlformats.org/officeDocument/2006/relationships/image" Target="media/image43.png"/><Relationship Id="rId56" Type="http://schemas.openxmlformats.org/officeDocument/2006/relationships/image" Target="media/image42.png"/><Relationship Id="rId55" Type="http://schemas.openxmlformats.org/officeDocument/2006/relationships/image" Target="media/image41.png"/><Relationship Id="rId54" Type="http://schemas.openxmlformats.org/officeDocument/2006/relationships/image" Target="media/image40.png"/><Relationship Id="rId53" Type="http://schemas.openxmlformats.org/officeDocument/2006/relationships/image" Target="media/image39.png"/><Relationship Id="rId52" Type="http://schemas.openxmlformats.org/officeDocument/2006/relationships/image" Target="media/image38.png"/><Relationship Id="rId51" Type="http://schemas.openxmlformats.org/officeDocument/2006/relationships/image" Target="media/image37.png"/><Relationship Id="rId50" Type="http://schemas.openxmlformats.org/officeDocument/2006/relationships/image" Target="media/image36.png"/><Relationship Id="rId5" Type="http://schemas.openxmlformats.org/officeDocument/2006/relationships/footer" Target="footer1.xml"/><Relationship Id="rId49" Type="http://schemas.openxmlformats.org/officeDocument/2006/relationships/image" Target="media/image35.png"/><Relationship Id="rId48" Type="http://schemas.openxmlformats.org/officeDocument/2006/relationships/image" Target="media/image34.png"/><Relationship Id="rId47" Type="http://schemas.openxmlformats.org/officeDocument/2006/relationships/image" Target="media/image33.png"/><Relationship Id="rId46" Type="http://schemas.openxmlformats.org/officeDocument/2006/relationships/image" Target="media/image32.png"/><Relationship Id="rId45" Type="http://schemas.openxmlformats.org/officeDocument/2006/relationships/image" Target="media/image31.png"/><Relationship Id="rId44" Type="http://schemas.openxmlformats.org/officeDocument/2006/relationships/image" Target="media/image30.png"/><Relationship Id="rId43" Type="http://schemas.openxmlformats.org/officeDocument/2006/relationships/image" Target="media/image29.png"/><Relationship Id="rId42" Type="http://schemas.openxmlformats.org/officeDocument/2006/relationships/image" Target="media/image28.png"/><Relationship Id="rId41" Type="http://schemas.openxmlformats.org/officeDocument/2006/relationships/image" Target="media/image27.png"/><Relationship Id="rId40" Type="http://schemas.openxmlformats.org/officeDocument/2006/relationships/image" Target="media/image26.png"/><Relationship Id="rId4" Type="http://schemas.openxmlformats.org/officeDocument/2006/relationships/header" Target="header2.xml"/><Relationship Id="rId39" Type="http://schemas.openxmlformats.org/officeDocument/2006/relationships/image" Target="media/image25.png"/><Relationship Id="rId38" Type="http://schemas.openxmlformats.org/officeDocument/2006/relationships/image" Target="media/image24.png"/><Relationship Id="rId37" Type="http://schemas.openxmlformats.org/officeDocument/2006/relationships/image" Target="media/image23.png"/><Relationship Id="rId36" Type="http://schemas.openxmlformats.org/officeDocument/2006/relationships/image" Target="media/image22.png"/><Relationship Id="rId35" Type="http://schemas.openxmlformats.org/officeDocument/2006/relationships/image" Target="media/image21.png"/><Relationship Id="rId34" Type="http://schemas.openxmlformats.org/officeDocument/2006/relationships/image" Target="media/image20.png"/><Relationship Id="rId33" Type="http://schemas.openxmlformats.org/officeDocument/2006/relationships/image" Target="media/image19.png"/><Relationship Id="rId32" Type="http://schemas.openxmlformats.org/officeDocument/2006/relationships/image" Target="media/image18.png"/><Relationship Id="rId31" Type="http://schemas.openxmlformats.org/officeDocument/2006/relationships/image" Target="media/image17.png"/><Relationship Id="rId30" Type="http://schemas.openxmlformats.org/officeDocument/2006/relationships/image" Target="media/image16.png"/><Relationship Id="rId3" Type="http://schemas.openxmlformats.org/officeDocument/2006/relationships/header" Target="header1.xml"/><Relationship Id="rId29" Type="http://schemas.openxmlformats.org/officeDocument/2006/relationships/image" Target="media/image15.png"/><Relationship Id="rId28" Type="http://schemas.openxmlformats.org/officeDocument/2006/relationships/image" Target="media/image14.png"/><Relationship Id="rId27" Type="http://schemas.openxmlformats.org/officeDocument/2006/relationships/image" Target="media/image13.png"/><Relationship Id="rId26" Type="http://schemas.openxmlformats.org/officeDocument/2006/relationships/image" Target="media/image12.png"/><Relationship Id="rId25" Type="http://schemas.openxmlformats.org/officeDocument/2006/relationships/image" Target="media/image11.png"/><Relationship Id="rId24" Type="http://schemas.openxmlformats.org/officeDocument/2006/relationships/image" Target="media/image10.png"/><Relationship Id="rId23" Type="http://schemas.openxmlformats.org/officeDocument/2006/relationships/image" Target="media/image9.png"/><Relationship Id="rId22" Type="http://schemas.openxmlformats.org/officeDocument/2006/relationships/image" Target="media/image8.png"/><Relationship Id="rId21" Type="http://schemas.openxmlformats.org/officeDocument/2006/relationships/image" Target="media/image7.png"/><Relationship Id="rId20" Type="http://schemas.openxmlformats.org/officeDocument/2006/relationships/image" Target="media/image6.png"/><Relationship Id="rId2" Type="http://schemas.openxmlformats.org/officeDocument/2006/relationships/settings" Target="settings.xml"/><Relationship Id="rId19" Type="http://schemas.openxmlformats.org/officeDocument/2006/relationships/image" Target="media/image5.png"/><Relationship Id="rId18" Type="http://schemas.openxmlformats.org/officeDocument/2006/relationships/image" Target="media/image4.png"/><Relationship Id="rId17" Type="http://schemas.openxmlformats.org/officeDocument/2006/relationships/image" Target="media/image3.png"/><Relationship Id="rId16" Type="http://schemas.openxmlformats.org/officeDocument/2006/relationships/image" Target="media/image2.png"/><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9"/>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138</Pages>
  <Words>13041</Words>
  <Characters>13897</Characters>
  <Lines>268</Lines>
  <Paragraphs>75</Paragraphs>
  <TotalTime>1081</TotalTime>
  <ScaleCrop>false</ScaleCrop>
  <LinksUpToDate>false</LinksUpToDate>
  <CharactersWithSpaces>14081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2023-09-11T08:26:00Z</dcterms:created>
  <dc:creator>谦谦</dc:creator>
  <cp:lastModifiedBy>故里</cp:lastModifiedBy>
  <cp:lastPrinted>2023-11-08T03:16:00Z</cp:lastPrinted>
  <dcterms:modified xsi:type="dcterms:W3CDTF">2025-09-10T03:09:32Z</dcterms:modified>
  <dc:title>竞争性磋商文件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52C3C2A5602E4D6CA4DA70902A6080B5_13</vt:lpwstr>
  </property>
  <property fmtid="{D5CDD505-2E9C-101B-9397-08002B2CF9AE}" pid="4" name="KSOTemplateDocerSaveRecord">
    <vt:lpwstr>eyJoZGlkIjoiYzBkMjNmMTBkMjcyZmNiMGQ3NThiNjg5NzI4YjdmYzciLCJ1c2VySWQiOiIyODg5OTgwNjAifQ==</vt:lpwstr>
  </property>
</Properties>
</file>