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D96DCF">
      <w:pPr>
        <w:spacing w:line="600" w:lineRule="exact"/>
        <w:rPr>
          <w:rFonts w:ascii="宋体" w:hAnsi="宋体" w:cs="宋体"/>
          <w:b/>
          <w:sz w:val="32"/>
          <w:szCs w:val="32"/>
        </w:rPr>
      </w:pPr>
    </w:p>
    <w:p w14:paraId="5613B0AB">
      <w:pPr>
        <w:spacing w:line="600" w:lineRule="exact"/>
        <w:jc w:val="center"/>
        <w:rPr>
          <w:rFonts w:ascii="宋体" w:hAnsi="宋体" w:cs="宋体"/>
          <w:b/>
          <w:sz w:val="36"/>
          <w:szCs w:val="36"/>
        </w:rPr>
      </w:pPr>
      <w:r>
        <w:rPr>
          <w:rFonts w:hint="eastAsia" w:ascii="宋体" w:hAnsi="宋体" w:cs="宋体"/>
          <w:b/>
          <w:sz w:val="36"/>
          <w:szCs w:val="36"/>
        </w:rPr>
        <w:t>项目名称：2025年美兰区新增道路绿化管养</w:t>
      </w:r>
    </w:p>
    <w:p w14:paraId="3AA0AF05">
      <w:pPr>
        <w:spacing w:line="600" w:lineRule="exact"/>
        <w:jc w:val="center"/>
        <w:rPr>
          <w:rFonts w:ascii="宋体" w:hAnsi="宋体" w:cs="宋体"/>
          <w:b/>
          <w:sz w:val="36"/>
          <w:szCs w:val="36"/>
        </w:rPr>
      </w:pPr>
      <w:r>
        <w:rPr>
          <w:rFonts w:hint="eastAsia" w:ascii="宋体" w:hAnsi="宋体" w:cs="宋体"/>
          <w:b/>
          <w:sz w:val="36"/>
          <w:szCs w:val="36"/>
        </w:rPr>
        <w:t>项目编号：YJYZC2025-C3-1028</w:t>
      </w:r>
    </w:p>
    <w:p w14:paraId="1D24EFF4">
      <w:pPr>
        <w:spacing w:line="600" w:lineRule="exact"/>
        <w:jc w:val="center"/>
        <w:rPr>
          <w:rFonts w:ascii="宋体" w:hAnsi="宋体" w:cs="宋体"/>
          <w:b/>
          <w:sz w:val="48"/>
          <w:szCs w:val="48"/>
        </w:rPr>
      </w:pPr>
    </w:p>
    <w:p w14:paraId="70555ECC">
      <w:pPr>
        <w:spacing w:line="600" w:lineRule="exact"/>
        <w:rPr>
          <w:rFonts w:ascii="宋体" w:hAnsi="宋体" w:cs="宋体"/>
          <w:b/>
          <w:sz w:val="32"/>
          <w:szCs w:val="32"/>
        </w:rPr>
      </w:pPr>
    </w:p>
    <w:p w14:paraId="3792C4EE">
      <w:pPr>
        <w:spacing w:line="800" w:lineRule="exact"/>
        <w:jc w:val="center"/>
        <w:rPr>
          <w:rFonts w:ascii="宋体" w:hAnsi="宋体" w:cs="宋体"/>
          <w:b/>
          <w:bCs/>
          <w:sz w:val="72"/>
          <w:szCs w:val="72"/>
        </w:rPr>
      </w:pPr>
      <w:r>
        <w:rPr>
          <w:rFonts w:hint="eastAsia" w:ascii="宋体" w:hAnsi="宋体" w:cs="宋体"/>
          <w:b/>
          <w:bCs/>
          <w:sz w:val="72"/>
          <w:szCs w:val="72"/>
        </w:rPr>
        <w:t>竞争性磋商文件</w:t>
      </w:r>
    </w:p>
    <w:p w14:paraId="426FCA57">
      <w:pPr>
        <w:spacing w:line="600" w:lineRule="exact"/>
        <w:ind w:firstLine="678" w:firstLineChars="211"/>
        <w:rPr>
          <w:rFonts w:ascii="宋体" w:hAnsi="宋体" w:cs="宋体"/>
          <w:b/>
          <w:sz w:val="32"/>
          <w:szCs w:val="32"/>
        </w:rPr>
      </w:pPr>
    </w:p>
    <w:p w14:paraId="216E2E57">
      <w:pPr>
        <w:spacing w:line="600" w:lineRule="exact"/>
        <w:ind w:firstLine="506" w:firstLineChars="211"/>
        <w:rPr>
          <w:rFonts w:ascii="宋体" w:hAnsi="宋体" w:cs="宋体"/>
          <w:b/>
          <w:sz w:val="32"/>
          <w:szCs w:val="32"/>
        </w:rPr>
      </w:pPr>
      <w:r>
        <w:rPr>
          <w:rFonts w:hint="eastAsia" w:ascii="宋体" w:hAnsi="宋体" w:cs="宋体"/>
        </w:rPr>
        <w:drawing>
          <wp:anchor distT="0" distB="0" distL="114300" distR="114300" simplePos="0" relativeHeight="251660288" behindDoc="0" locked="0" layoutInCell="1" allowOverlap="1">
            <wp:simplePos x="0" y="0"/>
            <wp:positionH relativeFrom="column">
              <wp:posOffset>1561465</wp:posOffset>
            </wp:positionH>
            <wp:positionV relativeFrom="paragraph">
              <wp:posOffset>349885</wp:posOffset>
            </wp:positionV>
            <wp:extent cx="2584450" cy="2262505"/>
            <wp:effectExtent l="0" t="0" r="6350" b="444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2584450" cy="2262505"/>
                    </a:xfrm>
                    <a:prstGeom prst="rect">
                      <a:avLst/>
                    </a:prstGeom>
                    <a:noFill/>
                    <a:ln>
                      <a:noFill/>
                    </a:ln>
                  </pic:spPr>
                </pic:pic>
              </a:graphicData>
            </a:graphic>
          </wp:anchor>
        </w:drawing>
      </w:r>
    </w:p>
    <w:p w14:paraId="65452126">
      <w:pPr>
        <w:spacing w:line="600" w:lineRule="exact"/>
        <w:rPr>
          <w:rFonts w:ascii="宋体" w:hAnsi="宋体" w:cs="宋体"/>
          <w:b/>
          <w:sz w:val="32"/>
          <w:szCs w:val="32"/>
        </w:rPr>
      </w:pPr>
    </w:p>
    <w:p w14:paraId="44F1B631">
      <w:pPr>
        <w:spacing w:line="600" w:lineRule="exact"/>
        <w:ind w:firstLine="678" w:firstLineChars="211"/>
        <w:rPr>
          <w:rFonts w:ascii="宋体" w:hAnsi="宋体" w:cs="宋体"/>
          <w:b/>
          <w:sz w:val="32"/>
          <w:szCs w:val="32"/>
        </w:rPr>
      </w:pPr>
    </w:p>
    <w:p w14:paraId="77FD1A3C">
      <w:pPr>
        <w:spacing w:line="600" w:lineRule="exact"/>
        <w:ind w:firstLine="678" w:firstLineChars="211"/>
        <w:rPr>
          <w:rFonts w:ascii="宋体" w:hAnsi="宋体" w:cs="宋体"/>
          <w:b/>
          <w:sz w:val="32"/>
          <w:szCs w:val="32"/>
        </w:rPr>
      </w:pPr>
    </w:p>
    <w:p w14:paraId="272FAE7F">
      <w:pPr>
        <w:spacing w:line="600" w:lineRule="exact"/>
        <w:ind w:firstLine="678" w:firstLineChars="211"/>
        <w:rPr>
          <w:rFonts w:ascii="宋体" w:hAnsi="宋体" w:cs="宋体"/>
          <w:b/>
          <w:sz w:val="32"/>
          <w:szCs w:val="32"/>
        </w:rPr>
      </w:pPr>
    </w:p>
    <w:p w14:paraId="0E9711CC">
      <w:pPr>
        <w:spacing w:line="600" w:lineRule="exact"/>
        <w:ind w:firstLine="678" w:firstLineChars="211"/>
        <w:rPr>
          <w:rFonts w:ascii="宋体" w:hAnsi="宋体" w:cs="宋体"/>
          <w:b/>
          <w:sz w:val="32"/>
          <w:szCs w:val="32"/>
        </w:rPr>
      </w:pPr>
    </w:p>
    <w:p w14:paraId="76CB97AD">
      <w:pPr>
        <w:spacing w:line="600" w:lineRule="exact"/>
        <w:ind w:firstLine="678" w:firstLineChars="211"/>
        <w:rPr>
          <w:rFonts w:ascii="宋体" w:hAnsi="宋体" w:cs="宋体"/>
          <w:b/>
          <w:sz w:val="32"/>
          <w:szCs w:val="32"/>
        </w:rPr>
      </w:pPr>
    </w:p>
    <w:p w14:paraId="14A6049C">
      <w:pPr>
        <w:spacing w:line="600" w:lineRule="exact"/>
        <w:ind w:firstLine="678" w:firstLineChars="211"/>
        <w:rPr>
          <w:rFonts w:ascii="宋体" w:hAnsi="宋体" w:cs="宋体"/>
          <w:b/>
          <w:sz w:val="32"/>
          <w:szCs w:val="32"/>
        </w:rPr>
      </w:pPr>
    </w:p>
    <w:p w14:paraId="691DBB63">
      <w:pPr>
        <w:spacing w:line="600" w:lineRule="exact"/>
        <w:rPr>
          <w:rFonts w:ascii="宋体" w:hAnsi="宋体" w:cs="宋体"/>
        </w:rPr>
      </w:pPr>
    </w:p>
    <w:p w14:paraId="1D38B7B0">
      <w:pPr>
        <w:spacing w:line="600" w:lineRule="exact"/>
        <w:rPr>
          <w:rFonts w:ascii="宋体" w:hAnsi="宋体" w:cs="宋体"/>
          <w:sz w:val="28"/>
          <w:szCs w:val="28"/>
        </w:rPr>
      </w:pPr>
    </w:p>
    <w:p w14:paraId="20500FEC">
      <w:pPr>
        <w:spacing w:line="600" w:lineRule="exact"/>
        <w:ind w:firstLine="763" w:firstLineChars="211"/>
        <w:rPr>
          <w:rFonts w:ascii="宋体" w:hAnsi="宋体" w:cs="宋体"/>
          <w:b/>
          <w:sz w:val="36"/>
          <w:szCs w:val="36"/>
        </w:rPr>
      </w:pPr>
      <w:r>
        <w:rPr>
          <w:rFonts w:hint="eastAsia" w:ascii="宋体" w:hAnsi="宋体" w:cs="宋体"/>
          <w:b/>
          <w:sz w:val="36"/>
          <w:szCs w:val="36"/>
        </w:rPr>
        <w:t xml:space="preserve">采 购 人：海口市美兰区园林管理局 </w:t>
      </w:r>
    </w:p>
    <w:p w14:paraId="27CE952D">
      <w:pPr>
        <w:spacing w:line="600" w:lineRule="exact"/>
        <w:ind w:firstLine="763" w:firstLineChars="211"/>
        <w:rPr>
          <w:rFonts w:ascii="宋体" w:hAnsi="宋体" w:cs="宋体"/>
          <w:b/>
          <w:sz w:val="36"/>
          <w:szCs w:val="36"/>
        </w:rPr>
      </w:pPr>
      <w:r>
        <w:rPr>
          <w:rFonts w:hint="eastAsia" w:ascii="宋体" w:hAnsi="宋体" w:cs="宋体"/>
          <w:b/>
          <w:sz w:val="36"/>
          <w:szCs w:val="36"/>
        </w:rPr>
        <w:t>代理机构：海南亿佳源招标代理有限公司</w:t>
      </w:r>
    </w:p>
    <w:p w14:paraId="2868768F">
      <w:pPr>
        <w:pStyle w:val="40"/>
        <w:spacing w:line="600" w:lineRule="exact"/>
      </w:pPr>
    </w:p>
    <w:p w14:paraId="562B7696">
      <w:pPr>
        <w:pStyle w:val="15"/>
        <w:spacing w:line="600" w:lineRule="exact"/>
        <w:jc w:val="center"/>
        <w:outlineLvl w:val="0"/>
        <w:rPr>
          <w:rFonts w:hAnsi="宋体" w:cs="宋体"/>
          <w:b/>
          <w:sz w:val="36"/>
          <w:szCs w:val="36"/>
        </w:rPr>
        <w:sectPr>
          <w:pgSz w:w="11906" w:h="16838"/>
          <w:pgMar w:top="1418" w:right="1474" w:bottom="1418" w:left="1474" w:header="851" w:footer="992" w:gutter="0"/>
          <w:cols w:space="720" w:num="1"/>
          <w:docGrid w:linePitch="579" w:charSpace="-1429"/>
        </w:sectPr>
      </w:pPr>
      <w:bookmarkStart w:id="0" w:name="_Toc245888261"/>
      <w:bookmarkStart w:id="1" w:name="_Toc246826095"/>
      <w:bookmarkStart w:id="2" w:name="_Toc246825790"/>
      <w:r>
        <w:rPr>
          <w:rFonts w:hint="eastAsia" w:hAnsi="宋体" w:cs="宋体"/>
          <w:b/>
          <w:sz w:val="36"/>
          <w:szCs w:val="36"/>
        </w:rPr>
        <w:t>二〇二五年十一月</w:t>
      </w:r>
    </w:p>
    <w:p w14:paraId="2457B77A">
      <w:pPr>
        <w:pStyle w:val="15"/>
        <w:snapToGrid w:val="0"/>
        <w:spacing w:line="600" w:lineRule="exact"/>
        <w:jc w:val="center"/>
        <w:outlineLvl w:val="0"/>
        <w:rPr>
          <w:rFonts w:hAnsi="宋体" w:cs="宋体"/>
          <w:b/>
          <w:sz w:val="36"/>
          <w:szCs w:val="36"/>
        </w:rPr>
      </w:pPr>
      <w:bookmarkStart w:id="3" w:name="_Toc47973699"/>
      <w:bookmarkStart w:id="4" w:name="_Toc35856354"/>
      <w:bookmarkStart w:id="5" w:name="_Toc16601898"/>
      <w:bookmarkStart w:id="6" w:name="_Toc25697301"/>
      <w:bookmarkStart w:id="7" w:name="_Toc48044733"/>
      <w:bookmarkStart w:id="8" w:name="_Toc16203085"/>
      <w:bookmarkStart w:id="9" w:name="_Toc16600890"/>
      <w:bookmarkStart w:id="10" w:name="_Toc35856322"/>
      <w:bookmarkStart w:id="11" w:name="_Toc35856193"/>
      <w:bookmarkStart w:id="12" w:name="_Toc35863780"/>
      <w:bookmarkStart w:id="13" w:name="_Toc36562776"/>
      <w:r>
        <w:rPr>
          <w:rFonts w:hint="eastAsia" w:hAnsi="宋体" w:cs="宋体"/>
          <w:b/>
          <w:sz w:val="36"/>
          <w:szCs w:val="36"/>
        </w:rPr>
        <w:t>目  录</w:t>
      </w:r>
      <w:bookmarkEnd w:id="0"/>
      <w:bookmarkEnd w:id="1"/>
      <w:bookmarkEnd w:id="2"/>
      <w:bookmarkEnd w:id="3"/>
      <w:bookmarkEnd w:id="4"/>
      <w:bookmarkEnd w:id="5"/>
      <w:bookmarkEnd w:id="6"/>
      <w:bookmarkEnd w:id="7"/>
      <w:bookmarkEnd w:id="8"/>
      <w:bookmarkEnd w:id="9"/>
      <w:bookmarkEnd w:id="10"/>
      <w:bookmarkEnd w:id="11"/>
      <w:bookmarkEnd w:id="12"/>
      <w:bookmarkEnd w:id="13"/>
    </w:p>
    <w:p w14:paraId="55BB86D4">
      <w:pPr>
        <w:pStyle w:val="20"/>
        <w:tabs>
          <w:tab w:val="right" w:leader="dot" w:pos="8647"/>
          <w:tab w:val="clear" w:pos="8393"/>
        </w:tabs>
        <w:snapToGrid w:val="0"/>
        <w:spacing w:line="600" w:lineRule="exact"/>
        <w:rPr>
          <w:rStyle w:val="35"/>
          <w:rFonts w:cs="宋体"/>
          <w:b w:val="0"/>
          <w:color w:val="auto"/>
        </w:rPr>
      </w:pPr>
      <w:r>
        <w:rPr>
          <w:rFonts w:hint="eastAsia" w:cs="宋体"/>
          <w:b w:val="0"/>
          <w:color w:val="auto"/>
        </w:rPr>
        <w:fldChar w:fldCharType="begin"/>
      </w:r>
      <w:r>
        <w:rPr>
          <w:rFonts w:hint="eastAsia" w:cs="宋体"/>
          <w:b w:val="0"/>
          <w:color w:val="auto"/>
        </w:rPr>
        <w:instrText xml:space="preserve"> TOC \o "1-3" \h \z \u </w:instrText>
      </w:r>
      <w:r>
        <w:rPr>
          <w:rFonts w:hint="eastAsia" w:cs="宋体"/>
          <w:b w:val="0"/>
          <w:color w:val="auto"/>
        </w:rPr>
        <w:fldChar w:fldCharType="separate"/>
      </w:r>
      <w:r>
        <w:fldChar w:fldCharType="begin"/>
      </w:r>
      <w:r>
        <w:instrText xml:space="preserve"> HYPERLINK \l "_Toc48044734" </w:instrText>
      </w:r>
      <w:r>
        <w:fldChar w:fldCharType="separate"/>
      </w:r>
      <w:r>
        <w:rPr>
          <w:rStyle w:val="35"/>
          <w:rFonts w:hint="eastAsia" w:cs="宋体"/>
          <w:b w:val="0"/>
          <w:color w:val="auto"/>
        </w:rPr>
        <w:t>第一章  竞争性磋商公告</w:t>
      </w:r>
      <w:r>
        <w:rPr>
          <w:rStyle w:val="35"/>
          <w:rFonts w:hint="eastAsia" w:cs="宋体"/>
          <w:b w:val="0"/>
          <w:color w:val="auto"/>
        </w:rPr>
        <w:tab/>
      </w:r>
      <w:r>
        <w:rPr>
          <w:rStyle w:val="35"/>
          <w:rFonts w:hint="eastAsia" w:cs="宋体"/>
          <w:b w:val="0"/>
          <w:color w:val="auto"/>
        </w:rPr>
        <w:fldChar w:fldCharType="begin"/>
      </w:r>
      <w:r>
        <w:rPr>
          <w:rStyle w:val="35"/>
          <w:rFonts w:hint="eastAsia" w:cs="宋体"/>
          <w:b w:val="0"/>
          <w:color w:val="auto"/>
        </w:rPr>
        <w:instrText xml:space="preserve"> PAGEREF _Toc48044734 \h </w:instrText>
      </w:r>
      <w:r>
        <w:rPr>
          <w:rStyle w:val="35"/>
          <w:rFonts w:hint="eastAsia" w:cs="宋体"/>
          <w:b w:val="0"/>
          <w:color w:val="auto"/>
        </w:rPr>
        <w:fldChar w:fldCharType="separate"/>
      </w:r>
      <w:r>
        <w:rPr>
          <w:rStyle w:val="35"/>
          <w:rFonts w:hint="eastAsia" w:cs="宋体"/>
          <w:b w:val="0"/>
          <w:color w:val="auto"/>
        </w:rPr>
        <w:t>1</w:t>
      </w:r>
      <w:r>
        <w:rPr>
          <w:rStyle w:val="35"/>
          <w:rFonts w:hint="eastAsia" w:cs="宋体"/>
          <w:b w:val="0"/>
          <w:color w:val="auto"/>
        </w:rPr>
        <w:fldChar w:fldCharType="end"/>
      </w:r>
      <w:r>
        <w:rPr>
          <w:rStyle w:val="35"/>
          <w:rFonts w:hint="eastAsia" w:cs="宋体"/>
          <w:b w:val="0"/>
          <w:color w:val="auto"/>
        </w:rPr>
        <w:fldChar w:fldCharType="end"/>
      </w:r>
    </w:p>
    <w:p w14:paraId="3D44C601">
      <w:pPr>
        <w:pStyle w:val="20"/>
        <w:tabs>
          <w:tab w:val="right" w:leader="dot" w:pos="8647"/>
          <w:tab w:val="clear" w:pos="8393"/>
        </w:tabs>
        <w:snapToGrid w:val="0"/>
        <w:spacing w:line="600" w:lineRule="exact"/>
        <w:rPr>
          <w:rFonts w:cs="宋体"/>
          <w:b w:val="0"/>
          <w:bCs w:val="0"/>
          <w:color w:val="auto"/>
        </w:rPr>
      </w:pPr>
      <w:r>
        <w:fldChar w:fldCharType="begin"/>
      </w:r>
      <w:r>
        <w:instrText xml:space="preserve"> HYPERLINK \l "_Toc48044735" </w:instrText>
      </w:r>
      <w:r>
        <w:fldChar w:fldCharType="separate"/>
      </w:r>
      <w:r>
        <w:rPr>
          <w:rStyle w:val="35"/>
          <w:rFonts w:hint="eastAsia" w:cs="宋体"/>
          <w:b w:val="0"/>
          <w:color w:val="auto"/>
        </w:rPr>
        <w:t>第二章 供应商须知</w:t>
      </w:r>
      <w:r>
        <w:rPr>
          <w:rFonts w:hint="eastAsia" w:cs="宋体"/>
          <w:b w:val="0"/>
          <w:color w:val="auto"/>
        </w:rPr>
        <w:tab/>
      </w:r>
      <w:r>
        <w:rPr>
          <w:rFonts w:hint="eastAsia" w:cs="宋体"/>
          <w:b w:val="0"/>
          <w:color w:val="auto"/>
        </w:rPr>
        <w:fldChar w:fldCharType="begin"/>
      </w:r>
      <w:r>
        <w:rPr>
          <w:rFonts w:hint="eastAsia" w:cs="宋体"/>
          <w:b w:val="0"/>
          <w:color w:val="auto"/>
        </w:rPr>
        <w:instrText xml:space="preserve"> PAGEREF _Toc48044735 \h </w:instrText>
      </w:r>
      <w:r>
        <w:rPr>
          <w:rFonts w:hint="eastAsia" w:cs="宋体"/>
          <w:b w:val="0"/>
          <w:color w:val="auto"/>
        </w:rPr>
        <w:fldChar w:fldCharType="separate"/>
      </w:r>
      <w:r>
        <w:rPr>
          <w:rFonts w:hint="eastAsia" w:cs="宋体"/>
          <w:b w:val="0"/>
          <w:color w:val="auto"/>
        </w:rPr>
        <w:t>4</w:t>
      </w:r>
      <w:r>
        <w:rPr>
          <w:rFonts w:hint="eastAsia" w:cs="宋体"/>
          <w:b w:val="0"/>
          <w:color w:val="auto"/>
        </w:rPr>
        <w:fldChar w:fldCharType="end"/>
      </w:r>
      <w:r>
        <w:rPr>
          <w:rFonts w:hint="eastAsia" w:cs="宋体"/>
          <w:b w:val="0"/>
          <w:color w:val="auto"/>
        </w:rPr>
        <w:fldChar w:fldCharType="end"/>
      </w:r>
    </w:p>
    <w:p w14:paraId="2F4C4FB9">
      <w:pPr>
        <w:pStyle w:val="20"/>
        <w:tabs>
          <w:tab w:val="right" w:leader="dot" w:pos="8647"/>
          <w:tab w:val="clear" w:pos="8393"/>
        </w:tabs>
        <w:snapToGrid w:val="0"/>
        <w:spacing w:line="600" w:lineRule="exact"/>
        <w:rPr>
          <w:rFonts w:cs="宋体"/>
          <w:b w:val="0"/>
          <w:bCs w:val="0"/>
          <w:color w:val="auto"/>
        </w:rPr>
      </w:pPr>
      <w:r>
        <w:fldChar w:fldCharType="begin"/>
      </w:r>
      <w:r>
        <w:instrText xml:space="preserve"> HYPERLINK \l "_Toc48044736" </w:instrText>
      </w:r>
      <w:r>
        <w:fldChar w:fldCharType="separate"/>
      </w:r>
      <w:r>
        <w:rPr>
          <w:rStyle w:val="35"/>
          <w:rFonts w:hint="eastAsia" w:cs="宋体"/>
          <w:b w:val="0"/>
          <w:color w:val="auto"/>
        </w:rPr>
        <w:t>第三章 采购需求</w:t>
      </w:r>
      <w:r>
        <w:rPr>
          <w:rFonts w:hint="eastAsia" w:cs="宋体"/>
          <w:b w:val="0"/>
          <w:color w:val="auto"/>
        </w:rPr>
        <w:tab/>
      </w:r>
      <w:r>
        <w:rPr>
          <w:rFonts w:hint="eastAsia" w:cs="宋体"/>
          <w:b w:val="0"/>
          <w:color w:val="auto"/>
        </w:rPr>
        <w:fldChar w:fldCharType="begin"/>
      </w:r>
      <w:r>
        <w:rPr>
          <w:rFonts w:hint="eastAsia" w:cs="宋体"/>
          <w:b w:val="0"/>
          <w:color w:val="auto"/>
        </w:rPr>
        <w:instrText xml:space="preserve"> PAGEREF _Toc48044736 \h </w:instrText>
      </w:r>
      <w:r>
        <w:rPr>
          <w:rFonts w:hint="eastAsia" w:cs="宋体"/>
          <w:b w:val="0"/>
          <w:color w:val="auto"/>
        </w:rPr>
        <w:fldChar w:fldCharType="separate"/>
      </w:r>
      <w:r>
        <w:rPr>
          <w:rFonts w:hint="eastAsia" w:cs="宋体"/>
          <w:b w:val="0"/>
          <w:color w:val="auto"/>
        </w:rPr>
        <w:t>14</w:t>
      </w:r>
      <w:r>
        <w:rPr>
          <w:rFonts w:hint="eastAsia" w:cs="宋体"/>
          <w:b w:val="0"/>
          <w:color w:val="auto"/>
        </w:rPr>
        <w:fldChar w:fldCharType="end"/>
      </w:r>
      <w:r>
        <w:rPr>
          <w:rFonts w:hint="eastAsia" w:cs="宋体"/>
          <w:b w:val="0"/>
          <w:color w:val="auto"/>
        </w:rPr>
        <w:fldChar w:fldCharType="end"/>
      </w:r>
    </w:p>
    <w:p w14:paraId="167583DD">
      <w:pPr>
        <w:pStyle w:val="20"/>
        <w:tabs>
          <w:tab w:val="right" w:leader="dot" w:pos="8647"/>
          <w:tab w:val="clear" w:pos="8393"/>
        </w:tabs>
        <w:snapToGrid w:val="0"/>
        <w:spacing w:line="600" w:lineRule="exact"/>
        <w:rPr>
          <w:rFonts w:cs="宋体"/>
          <w:b w:val="0"/>
          <w:bCs w:val="0"/>
          <w:color w:val="auto"/>
        </w:rPr>
      </w:pPr>
      <w:r>
        <w:fldChar w:fldCharType="begin"/>
      </w:r>
      <w:r>
        <w:instrText xml:space="preserve"> HYPERLINK \l "_Toc48044737" </w:instrText>
      </w:r>
      <w:r>
        <w:fldChar w:fldCharType="separate"/>
      </w:r>
      <w:r>
        <w:rPr>
          <w:rStyle w:val="35"/>
          <w:rFonts w:hint="eastAsia" w:cs="宋体"/>
          <w:b w:val="0"/>
          <w:color w:val="auto"/>
        </w:rPr>
        <w:t>第四章  审查标准及评审标准</w:t>
      </w:r>
      <w:r>
        <w:rPr>
          <w:rFonts w:hint="eastAsia" w:cs="宋体"/>
          <w:b w:val="0"/>
          <w:color w:val="auto"/>
        </w:rPr>
        <w:tab/>
      </w:r>
      <w:r>
        <w:rPr>
          <w:rFonts w:hint="eastAsia" w:cs="宋体"/>
          <w:b w:val="0"/>
          <w:color w:val="auto"/>
        </w:rPr>
        <w:t>2</w:t>
      </w:r>
      <w:r>
        <w:rPr>
          <w:rFonts w:hint="eastAsia" w:cs="宋体"/>
          <w:b w:val="0"/>
          <w:color w:val="auto"/>
        </w:rPr>
        <w:fldChar w:fldCharType="end"/>
      </w:r>
      <w:r>
        <w:rPr>
          <w:rFonts w:hint="eastAsia" w:cs="宋体"/>
          <w:b w:val="0"/>
          <w:color w:val="auto"/>
        </w:rPr>
        <w:t>3</w:t>
      </w:r>
    </w:p>
    <w:p w14:paraId="678C582C">
      <w:pPr>
        <w:pStyle w:val="20"/>
        <w:tabs>
          <w:tab w:val="right" w:leader="dot" w:pos="8647"/>
          <w:tab w:val="clear" w:pos="8393"/>
        </w:tabs>
        <w:snapToGrid w:val="0"/>
        <w:spacing w:line="600" w:lineRule="exact"/>
        <w:rPr>
          <w:rFonts w:cs="宋体"/>
          <w:b w:val="0"/>
          <w:bCs w:val="0"/>
          <w:color w:val="auto"/>
        </w:rPr>
      </w:pPr>
      <w:r>
        <w:fldChar w:fldCharType="begin"/>
      </w:r>
      <w:r>
        <w:instrText xml:space="preserve"> HYPERLINK \l "_Toc48044738" </w:instrText>
      </w:r>
      <w:r>
        <w:fldChar w:fldCharType="separate"/>
      </w:r>
      <w:r>
        <w:rPr>
          <w:rStyle w:val="35"/>
          <w:rFonts w:hint="eastAsia" w:cs="宋体"/>
          <w:b w:val="0"/>
          <w:color w:val="auto"/>
        </w:rPr>
        <w:t>第五章  拟签订的合同文本（仅供参考）</w:t>
      </w:r>
      <w:r>
        <w:rPr>
          <w:rFonts w:hint="eastAsia" w:cs="宋体"/>
          <w:b w:val="0"/>
          <w:color w:val="auto"/>
        </w:rPr>
        <w:tab/>
      </w:r>
      <w:r>
        <w:rPr>
          <w:rFonts w:hint="eastAsia" w:cs="宋体"/>
          <w:b w:val="0"/>
          <w:color w:val="auto"/>
        </w:rPr>
        <w:t>2</w:t>
      </w:r>
      <w:r>
        <w:rPr>
          <w:rFonts w:hint="eastAsia" w:cs="宋体"/>
          <w:b w:val="0"/>
          <w:color w:val="auto"/>
        </w:rPr>
        <w:fldChar w:fldCharType="end"/>
      </w:r>
      <w:r>
        <w:rPr>
          <w:rFonts w:hint="eastAsia" w:cs="宋体"/>
          <w:b w:val="0"/>
          <w:color w:val="auto"/>
        </w:rPr>
        <w:t>8</w:t>
      </w:r>
    </w:p>
    <w:p w14:paraId="3A15F4EE">
      <w:pPr>
        <w:pStyle w:val="20"/>
        <w:tabs>
          <w:tab w:val="right" w:leader="dot" w:pos="8647"/>
          <w:tab w:val="clear" w:pos="8393"/>
        </w:tabs>
        <w:snapToGrid w:val="0"/>
        <w:spacing w:line="600" w:lineRule="exact"/>
        <w:rPr>
          <w:rFonts w:cs="宋体"/>
          <w:b w:val="0"/>
          <w:bCs w:val="0"/>
          <w:color w:val="auto"/>
        </w:rPr>
      </w:pPr>
      <w:r>
        <w:fldChar w:fldCharType="begin"/>
      </w:r>
      <w:r>
        <w:instrText xml:space="preserve"> HYPERLINK \l "_Toc48044739" </w:instrText>
      </w:r>
      <w:r>
        <w:fldChar w:fldCharType="separate"/>
      </w:r>
      <w:r>
        <w:rPr>
          <w:rStyle w:val="35"/>
          <w:rFonts w:hint="eastAsia" w:cs="宋体"/>
          <w:b w:val="0"/>
          <w:color w:val="auto"/>
        </w:rPr>
        <w:t>第六章  响应文件格式</w:t>
      </w:r>
      <w:r>
        <w:rPr>
          <w:rFonts w:hint="eastAsia" w:cs="宋体"/>
          <w:b w:val="0"/>
          <w:color w:val="auto"/>
        </w:rPr>
        <w:tab/>
      </w:r>
      <w:r>
        <w:rPr>
          <w:rFonts w:hint="eastAsia" w:cs="宋体"/>
          <w:b w:val="0"/>
          <w:color w:val="auto"/>
        </w:rPr>
        <w:t>3</w:t>
      </w:r>
      <w:r>
        <w:rPr>
          <w:rFonts w:hint="eastAsia" w:cs="宋体"/>
          <w:b w:val="0"/>
          <w:color w:val="auto"/>
        </w:rPr>
        <w:fldChar w:fldCharType="end"/>
      </w:r>
      <w:r>
        <w:rPr>
          <w:rFonts w:hint="eastAsia" w:cs="宋体"/>
          <w:b w:val="0"/>
          <w:color w:val="auto"/>
        </w:rPr>
        <w:t>1</w:t>
      </w:r>
    </w:p>
    <w:p w14:paraId="5F1199AB">
      <w:pPr>
        <w:tabs>
          <w:tab w:val="right" w:leader="dot" w:pos="8931"/>
        </w:tabs>
        <w:snapToGrid w:val="0"/>
        <w:spacing w:line="600" w:lineRule="exact"/>
        <w:rPr>
          <w:rFonts w:ascii="宋体" w:hAnsi="宋体" w:cs="宋体"/>
          <w:sz w:val="28"/>
          <w:szCs w:val="28"/>
        </w:rPr>
      </w:pPr>
      <w:r>
        <w:rPr>
          <w:rFonts w:hint="eastAsia" w:ascii="宋体" w:hAnsi="宋体" w:cs="宋体"/>
          <w:sz w:val="28"/>
          <w:szCs w:val="28"/>
        </w:rPr>
        <w:fldChar w:fldCharType="end"/>
      </w:r>
    </w:p>
    <w:p w14:paraId="67B67BA4">
      <w:pPr>
        <w:pStyle w:val="8"/>
        <w:spacing w:line="600" w:lineRule="exact"/>
        <w:rPr>
          <w:rFonts w:ascii="宋体" w:hAnsi="宋体" w:cs="宋体"/>
        </w:rPr>
        <w:sectPr>
          <w:footerReference r:id="rId4" w:type="default"/>
          <w:pgSz w:w="11906" w:h="16838"/>
          <w:pgMar w:top="1418" w:right="1474" w:bottom="1418" w:left="1474" w:header="851" w:footer="992" w:gutter="0"/>
          <w:pgNumType w:start="1"/>
          <w:cols w:space="720" w:num="1"/>
          <w:docGrid w:linePitch="579" w:charSpace="-1429"/>
        </w:sectPr>
      </w:pPr>
    </w:p>
    <w:p w14:paraId="3AD000F8">
      <w:pPr>
        <w:pStyle w:val="8"/>
        <w:snapToGrid w:val="0"/>
        <w:spacing w:line="600" w:lineRule="exact"/>
        <w:ind w:left="420" w:firstLine="0"/>
        <w:jc w:val="center"/>
        <w:outlineLvl w:val="0"/>
        <w:rPr>
          <w:rFonts w:ascii="宋体" w:hAnsi="宋体" w:cs="宋体"/>
          <w:b/>
          <w:bCs/>
          <w:sz w:val="30"/>
          <w:szCs w:val="30"/>
        </w:rPr>
      </w:pPr>
      <w:bookmarkStart w:id="14" w:name="_Toc35856194"/>
      <w:bookmarkStart w:id="15" w:name="_Toc25697302"/>
      <w:bookmarkStart w:id="16" w:name="_Toc35856323"/>
      <w:bookmarkStart w:id="17" w:name="_Toc48044734"/>
      <w:r>
        <w:rPr>
          <w:rFonts w:hint="eastAsia" w:ascii="宋体" w:hAnsi="宋体" w:cs="宋体"/>
          <w:b/>
          <w:bCs/>
          <w:sz w:val="30"/>
          <w:szCs w:val="30"/>
        </w:rPr>
        <w:t xml:space="preserve">第一章  </w:t>
      </w:r>
      <w:bookmarkEnd w:id="14"/>
      <w:bookmarkEnd w:id="15"/>
      <w:bookmarkEnd w:id="16"/>
      <w:r>
        <w:rPr>
          <w:rFonts w:hint="eastAsia" w:ascii="宋体" w:hAnsi="宋体" w:cs="宋体"/>
          <w:b/>
          <w:bCs/>
          <w:sz w:val="30"/>
          <w:szCs w:val="30"/>
        </w:rPr>
        <w:t>竞争性磋商公告</w:t>
      </w:r>
      <w:bookmarkEnd w:id="17"/>
    </w:p>
    <w:p w14:paraId="21A0BBF8">
      <w:pPr>
        <w:spacing w:line="600" w:lineRule="exact"/>
        <w:rPr>
          <w:rFonts w:ascii="宋体" w:hAnsi="宋体" w:cs="宋体"/>
        </w:rPr>
      </w:pPr>
      <w:r>
        <w:rPr>
          <w:rFonts w:hint="eastAsia" w:ascii="宋体" w:hAnsi="宋体" w:cs="宋体"/>
        </w:rPr>
        <w:t>项目概况：</w:t>
      </w:r>
    </w:p>
    <w:p w14:paraId="4286E804">
      <w:pPr>
        <w:spacing w:line="600" w:lineRule="exact"/>
        <w:ind w:firstLine="480" w:firstLineChars="200"/>
        <w:rPr>
          <w:rFonts w:ascii="宋体" w:hAnsi="宋体" w:cs="宋体"/>
        </w:rPr>
      </w:pPr>
      <w:r>
        <w:rPr>
          <w:rFonts w:hint="eastAsia" w:asciiTheme="minorEastAsia" w:hAnsiTheme="minorEastAsia" w:eastAsiaTheme="minorEastAsia" w:cstheme="minorEastAsia"/>
          <w:u w:val="single"/>
        </w:rPr>
        <w:t>2025年美兰区新增道路绿化管养</w:t>
      </w:r>
      <w:r>
        <w:rPr>
          <w:rFonts w:hint="eastAsia" w:ascii="宋体" w:hAnsi="宋体" w:cs="宋体"/>
        </w:rPr>
        <w:t>的潜在供应商应在</w:t>
      </w:r>
      <w:r>
        <w:rPr>
          <w:rFonts w:hint="eastAsia" w:ascii="宋体" w:hAnsi="宋体" w:cs="宋体"/>
          <w:u w:val="single"/>
        </w:rPr>
        <w:t>海南亿佳源招标代理有限公司（海口市美兰区蓝天街道大英山西二街26号龙兴国际大厦4层B03室）</w:t>
      </w:r>
      <w:r>
        <w:rPr>
          <w:rFonts w:hint="eastAsia" w:ascii="宋体" w:hAnsi="宋体" w:cs="宋体"/>
        </w:rPr>
        <w:t>获取采购文件，并于</w:t>
      </w:r>
      <w:r>
        <w:rPr>
          <w:rFonts w:hint="eastAsia" w:ascii="宋体" w:hAnsi="宋体" w:cs="宋体"/>
          <w:u w:val="single"/>
        </w:rPr>
        <w:t>2025年 11月 2</w:t>
      </w:r>
      <w:r>
        <w:rPr>
          <w:rFonts w:hint="eastAsia" w:ascii="宋体" w:hAnsi="宋体" w:cs="宋体"/>
          <w:u w:val="single"/>
          <w:lang w:val="en-US" w:eastAsia="zh-CN"/>
        </w:rPr>
        <w:t>4</w:t>
      </w:r>
      <w:r>
        <w:rPr>
          <w:rFonts w:hint="eastAsia" w:ascii="宋体" w:hAnsi="宋体" w:cs="宋体"/>
          <w:u w:val="single"/>
        </w:rPr>
        <w:t xml:space="preserve"> 日</w:t>
      </w:r>
      <w:r>
        <w:rPr>
          <w:rFonts w:hint="eastAsia" w:ascii="宋体" w:hAnsi="宋体" w:cs="宋体"/>
          <w:u w:val="single"/>
          <w:lang w:val="en-US" w:eastAsia="zh-CN"/>
        </w:rPr>
        <w:t>9</w:t>
      </w:r>
      <w:r>
        <w:rPr>
          <w:rFonts w:hint="eastAsia" w:ascii="宋体" w:hAnsi="宋体" w:cs="宋体"/>
          <w:u w:val="single"/>
        </w:rPr>
        <w:t>点30分（北京时间）</w:t>
      </w:r>
      <w:r>
        <w:rPr>
          <w:rFonts w:hint="eastAsia" w:ascii="宋体" w:hAnsi="宋体" w:cs="宋体"/>
          <w:bCs/>
        </w:rPr>
        <w:t>前提交响应文件。</w:t>
      </w:r>
    </w:p>
    <w:p w14:paraId="2EABB18F">
      <w:pPr>
        <w:pStyle w:val="4"/>
        <w:spacing w:before="0" w:after="0" w:line="600" w:lineRule="exact"/>
        <w:rPr>
          <w:rFonts w:ascii="宋体" w:hAnsi="宋体" w:eastAsia="宋体" w:cs="宋体"/>
          <w:sz w:val="24"/>
          <w:szCs w:val="28"/>
        </w:rPr>
      </w:pPr>
      <w:bookmarkStart w:id="18" w:name="_Toc35393629"/>
      <w:bookmarkStart w:id="19" w:name="_Toc28359089"/>
      <w:bookmarkStart w:id="20" w:name="_Toc35393798"/>
      <w:bookmarkStart w:id="21" w:name="_Toc28359012"/>
      <w:r>
        <w:rPr>
          <w:rFonts w:hint="eastAsia" w:ascii="宋体" w:hAnsi="宋体" w:eastAsia="宋体" w:cs="宋体"/>
          <w:sz w:val="24"/>
          <w:szCs w:val="28"/>
        </w:rPr>
        <w:t>一、项目基本情况</w:t>
      </w:r>
      <w:bookmarkEnd w:id="18"/>
      <w:bookmarkEnd w:id="19"/>
      <w:bookmarkEnd w:id="20"/>
      <w:bookmarkEnd w:id="21"/>
    </w:p>
    <w:p w14:paraId="256722A1">
      <w:pPr>
        <w:spacing w:line="600" w:lineRule="exact"/>
        <w:ind w:firstLine="540"/>
        <w:rPr>
          <w:rFonts w:ascii="宋体" w:hAnsi="宋体" w:cs="宋体"/>
          <w:szCs w:val="28"/>
        </w:rPr>
      </w:pPr>
      <w:bookmarkStart w:id="22" w:name="_Toc28359013"/>
      <w:bookmarkStart w:id="23" w:name="_Toc28359090"/>
      <w:bookmarkStart w:id="24" w:name="_Toc35393630"/>
      <w:bookmarkStart w:id="25" w:name="_Toc35393799"/>
      <w:r>
        <w:rPr>
          <w:rFonts w:hint="eastAsia" w:ascii="宋体" w:hAnsi="宋体" w:cs="宋体"/>
          <w:szCs w:val="28"/>
        </w:rPr>
        <w:t>项目编号：YJYZC2025-C3-1028</w:t>
      </w:r>
    </w:p>
    <w:p w14:paraId="5E4D2B33">
      <w:pPr>
        <w:spacing w:line="600" w:lineRule="exact"/>
        <w:ind w:firstLine="540"/>
        <w:rPr>
          <w:rFonts w:ascii="宋体" w:hAnsi="宋体" w:cs="宋体"/>
          <w:szCs w:val="28"/>
        </w:rPr>
      </w:pPr>
      <w:r>
        <w:rPr>
          <w:rFonts w:hint="eastAsia" w:ascii="宋体" w:hAnsi="宋体" w:cs="宋体"/>
          <w:szCs w:val="28"/>
        </w:rPr>
        <w:t>项目名称：</w:t>
      </w:r>
      <w:r>
        <w:rPr>
          <w:rFonts w:hint="eastAsia" w:asciiTheme="minorEastAsia" w:hAnsiTheme="minorEastAsia" w:eastAsiaTheme="minorEastAsia" w:cstheme="minorEastAsia"/>
        </w:rPr>
        <w:t>2025年美兰区新增道路绿化管养</w:t>
      </w:r>
    </w:p>
    <w:p w14:paraId="0F8CB293">
      <w:pPr>
        <w:spacing w:line="600" w:lineRule="exact"/>
        <w:ind w:firstLine="540"/>
        <w:rPr>
          <w:rFonts w:ascii="宋体" w:hAnsi="宋体" w:cs="宋体"/>
          <w:szCs w:val="28"/>
        </w:rPr>
      </w:pPr>
      <w:r>
        <w:rPr>
          <w:rFonts w:hint="eastAsia" w:ascii="宋体" w:hAnsi="宋体" w:cs="宋体"/>
          <w:szCs w:val="28"/>
        </w:rPr>
        <w:t>采购方式：竞争性磋商</w:t>
      </w:r>
    </w:p>
    <w:p w14:paraId="48A2CA62">
      <w:pPr>
        <w:spacing w:line="600" w:lineRule="exact"/>
        <w:ind w:firstLine="540"/>
        <w:rPr>
          <w:rFonts w:ascii="宋体" w:hAnsi="宋体" w:cs="宋体"/>
          <w:szCs w:val="28"/>
        </w:rPr>
      </w:pPr>
      <w:r>
        <w:rPr>
          <w:rFonts w:hint="eastAsia" w:ascii="宋体" w:hAnsi="宋体" w:cs="宋体"/>
          <w:szCs w:val="28"/>
        </w:rPr>
        <w:t>资金来源：财政资金</w:t>
      </w:r>
    </w:p>
    <w:p w14:paraId="5370BAB3">
      <w:pPr>
        <w:spacing w:line="600" w:lineRule="exact"/>
        <w:ind w:firstLine="540"/>
        <w:rPr>
          <w:rFonts w:ascii="宋体" w:hAnsi="宋体" w:cs="宋体"/>
          <w:szCs w:val="28"/>
        </w:rPr>
      </w:pPr>
      <w:r>
        <w:rPr>
          <w:rFonts w:hint="eastAsia" w:ascii="宋体" w:hAnsi="宋体" w:cs="宋体"/>
          <w:szCs w:val="28"/>
        </w:rPr>
        <w:t>预算金额：¥812544.98元</w:t>
      </w:r>
    </w:p>
    <w:p w14:paraId="6037C134">
      <w:pPr>
        <w:spacing w:line="600" w:lineRule="exact"/>
        <w:ind w:firstLine="540"/>
        <w:rPr>
          <w:rFonts w:ascii="宋体" w:hAnsi="宋体" w:cs="宋体"/>
          <w:szCs w:val="28"/>
        </w:rPr>
      </w:pPr>
      <w:r>
        <w:rPr>
          <w:rFonts w:hint="eastAsia" w:ascii="宋体" w:hAnsi="宋体" w:cs="宋体"/>
          <w:szCs w:val="28"/>
        </w:rPr>
        <w:t>最高限价：¥812544.98元，报价超出最高限价的视为无效报价。</w:t>
      </w:r>
    </w:p>
    <w:p w14:paraId="484A36F8">
      <w:pPr>
        <w:spacing w:line="600" w:lineRule="exact"/>
        <w:ind w:firstLine="540"/>
        <w:rPr>
          <w:rFonts w:ascii="宋体" w:hAnsi="宋体" w:cs="宋体"/>
          <w:szCs w:val="28"/>
        </w:rPr>
      </w:pPr>
      <w:r>
        <w:rPr>
          <w:rFonts w:hint="eastAsia" w:ascii="宋体" w:hAnsi="宋体" w:cs="宋体"/>
          <w:szCs w:val="28"/>
        </w:rPr>
        <w:t>采购需求：详见第三章采购需求</w:t>
      </w:r>
    </w:p>
    <w:p w14:paraId="53163C3E">
      <w:pPr>
        <w:spacing w:line="600" w:lineRule="exact"/>
        <w:ind w:firstLine="540"/>
      </w:pPr>
      <w:r>
        <w:rPr>
          <w:rFonts w:hint="eastAsia"/>
        </w:rPr>
        <w:t>合同履行期限：8个月，最终以合同签订为准。</w:t>
      </w:r>
    </w:p>
    <w:p w14:paraId="7C726FA8">
      <w:pPr>
        <w:spacing w:line="600" w:lineRule="exact"/>
        <w:ind w:firstLine="540"/>
        <w:rPr>
          <w:rFonts w:ascii="宋体" w:hAnsi="宋体" w:cs="宋体"/>
          <w:b/>
          <w:bCs/>
          <w:szCs w:val="28"/>
        </w:rPr>
      </w:pPr>
      <w:r>
        <w:rPr>
          <w:rFonts w:hint="eastAsia" w:ascii="宋体" w:hAnsi="宋体" w:cs="宋体"/>
          <w:b/>
          <w:bCs/>
          <w:szCs w:val="28"/>
        </w:rPr>
        <w:t>申请人的资格要求：</w:t>
      </w:r>
      <w:bookmarkEnd w:id="22"/>
      <w:bookmarkEnd w:id="23"/>
      <w:bookmarkEnd w:id="24"/>
      <w:bookmarkEnd w:id="25"/>
    </w:p>
    <w:p w14:paraId="1EBB55A4">
      <w:pPr>
        <w:spacing w:line="600" w:lineRule="exact"/>
        <w:ind w:left="480" w:leftChars="200"/>
        <w:rPr>
          <w:rFonts w:ascii="宋体" w:hAnsi="宋体" w:cs="宋体"/>
          <w:b/>
        </w:rPr>
      </w:pPr>
      <w:r>
        <w:rPr>
          <w:rFonts w:hint="eastAsia" w:ascii="宋体" w:hAnsi="宋体" w:cs="宋体"/>
          <w:b/>
        </w:rPr>
        <w:t>2.1满足《中华人民共和国政府采购法》第二十二条规定。</w:t>
      </w:r>
    </w:p>
    <w:p w14:paraId="49413CDE">
      <w:pPr>
        <w:spacing w:line="600" w:lineRule="exact"/>
        <w:ind w:left="480" w:leftChars="200"/>
        <w:rPr>
          <w:rFonts w:ascii="宋体" w:hAnsi="宋体" w:cs="宋体"/>
          <w:b/>
        </w:rPr>
      </w:pPr>
      <w:r>
        <w:rPr>
          <w:rFonts w:hint="eastAsia" w:ascii="宋体" w:hAnsi="宋体" w:cs="宋体"/>
          <w:b/>
        </w:rPr>
        <w:t>1.具有独立承担民事责任的能力。</w:t>
      </w:r>
    </w:p>
    <w:p w14:paraId="1306B540">
      <w:pPr>
        <w:spacing w:line="600" w:lineRule="exact"/>
        <w:ind w:firstLine="480"/>
        <w:rPr>
          <w:rFonts w:ascii="宋体" w:hAnsi="宋体" w:cs="宋体"/>
        </w:rPr>
      </w:pPr>
      <w:r>
        <w:rPr>
          <w:rFonts w:hint="eastAsia" w:ascii="宋体" w:hAnsi="宋体" w:cs="宋体"/>
        </w:rPr>
        <w:t xml:space="preserve">供应商是企业（包括合伙企业）的，提供在工商部门注册的有效的“企业法人营业执照”或“营业执照”；供应商是事业单位的，提供有效的“事业单位法人证书”；供应商是非企业专业服务机构的，如律师事务所，提供执业许可证等证明文件；供应商是个体工商户的，提供有效的“个体工商户营业执照”；供应商是自然人的，提供有效的自然人身份证明。 </w:t>
      </w:r>
    </w:p>
    <w:p w14:paraId="10139869">
      <w:pPr>
        <w:spacing w:line="600" w:lineRule="exact"/>
        <w:ind w:firstLine="480"/>
        <w:rPr>
          <w:rFonts w:ascii="宋体" w:hAnsi="宋体" w:cs="宋体"/>
        </w:rPr>
      </w:pPr>
      <w:r>
        <w:rPr>
          <w:rFonts w:hint="eastAsia" w:ascii="宋体" w:hAnsi="宋体" w:cs="宋体"/>
        </w:rPr>
        <w:t xml:space="preserve">如供应商是银行、保险、石油石化、电力、电信行业等有行业特殊情况的，分支机构可参与本项目的招标采购活动。采购文件中涉及要求提供“法定代表人”相关证明材料的，提供分支机构“负责人”的相关证明材料。 </w:t>
      </w:r>
    </w:p>
    <w:p w14:paraId="26E2E5CC">
      <w:pPr>
        <w:spacing w:line="600" w:lineRule="exact"/>
        <w:ind w:firstLine="480"/>
        <w:rPr>
          <w:rFonts w:ascii="宋体" w:hAnsi="宋体" w:cs="宋体"/>
        </w:rPr>
      </w:pPr>
      <w:r>
        <w:rPr>
          <w:rFonts w:hint="eastAsia" w:ascii="宋体" w:hAnsi="宋体" w:cs="宋体"/>
        </w:rPr>
        <w:t>只有中国公民才能以自然人的身份参加本项目的招标采购活动。</w:t>
      </w:r>
    </w:p>
    <w:p w14:paraId="6AF0CD60">
      <w:pPr>
        <w:spacing w:line="600" w:lineRule="exact"/>
        <w:ind w:firstLine="480"/>
        <w:rPr>
          <w:rFonts w:ascii="宋体" w:hAnsi="宋体" w:cs="宋体"/>
        </w:rPr>
      </w:pPr>
      <w:r>
        <w:rPr>
          <w:rFonts w:hint="eastAsia" w:ascii="宋体" w:hAnsi="宋体" w:cs="宋体"/>
        </w:rPr>
        <w:t>以上证明材料提供复印件（加盖单位公章）。</w:t>
      </w:r>
    </w:p>
    <w:p w14:paraId="24430471">
      <w:pPr>
        <w:spacing w:line="600" w:lineRule="exact"/>
        <w:ind w:firstLine="480"/>
        <w:rPr>
          <w:rFonts w:ascii="宋体" w:hAnsi="宋体" w:cs="宋体"/>
        </w:rPr>
      </w:pPr>
      <w:r>
        <w:rPr>
          <w:rFonts w:hint="eastAsia" w:ascii="宋体" w:hAnsi="宋体" w:cs="宋体"/>
        </w:rPr>
        <w:t>2.具有良好的商业信誉和健全的财务会计制度。</w:t>
      </w:r>
    </w:p>
    <w:p w14:paraId="47D4DE77">
      <w:pPr>
        <w:spacing w:line="600" w:lineRule="exact"/>
        <w:ind w:firstLine="480"/>
        <w:rPr>
          <w:rFonts w:ascii="宋体" w:hAnsi="宋体" w:cs="宋体"/>
        </w:rPr>
      </w:pPr>
      <w:r>
        <w:rPr>
          <w:rFonts w:hint="eastAsia" w:ascii="宋体" w:hAnsi="宋体" w:cs="宋体"/>
        </w:rPr>
        <w:t>提供承诺函，格式自拟（加盖单位公章）。</w:t>
      </w:r>
    </w:p>
    <w:p w14:paraId="37CB4F2C">
      <w:pPr>
        <w:spacing w:line="600" w:lineRule="exact"/>
        <w:ind w:firstLine="480"/>
        <w:rPr>
          <w:rFonts w:ascii="宋体" w:hAnsi="宋体" w:cs="宋体"/>
        </w:rPr>
      </w:pPr>
      <w:r>
        <w:rPr>
          <w:rFonts w:hint="eastAsia" w:ascii="宋体" w:hAnsi="宋体" w:cs="宋体"/>
        </w:rPr>
        <w:t>3.具有履行合同所必需的设备和专业技术能力。</w:t>
      </w:r>
    </w:p>
    <w:p w14:paraId="45CD9404">
      <w:pPr>
        <w:spacing w:line="600" w:lineRule="exact"/>
        <w:ind w:firstLine="480"/>
        <w:rPr>
          <w:rFonts w:ascii="宋体" w:hAnsi="宋体" w:cs="宋体"/>
        </w:rPr>
      </w:pPr>
      <w:r>
        <w:rPr>
          <w:rFonts w:hint="eastAsia" w:ascii="宋体" w:hAnsi="宋体" w:cs="宋体"/>
        </w:rPr>
        <w:t>提供承诺函，格式自拟（加盖单位公章）。</w:t>
      </w:r>
    </w:p>
    <w:p w14:paraId="75E80D16">
      <w:pPr>
        <w:spacing w:line="600" w:lineRule="exact"/>
        <w:ind w:firstLine="480"/>
        <w:rPr>
          <w:rFonts w:ascii="宋体" w:hAnsi="宋体" w:cs="宋体"/>
        </w:rPr>
      </w:pPr>
      <w:r>
        <w:rPr>
          <w:rFonts w:hint="eastAsia" w:ascii="宋体" w:hAnsi="宋体" w:cs="宋体"/>
        </w:rPr>
        <w:t>4.有依法缴纳税收和社会保障资金的良好记录。</w:t>
      </w:r>
    </w:p>
    <w:p w14:paraId="4BEB1A85">
      <w:pPr>
        <w:spacing w:line="600" w:lineRule="exact"/>
        <w:ind w:firstLine="480"/>
        <w:rPr>
          <w:rFonts w:ascii="宋体" w:hAnsi="宋体" w:cs="宋体"/>
        </w:rPr>
      </w:pPr>
      <w:r>
        <w:rPr>
          <w:rFonts w:hint="eastAsia" w:ascii="宋体" w:hAnsi="宋体" w:cs="宋体"/>
        </w:rPr>
        <w:t>提供承诺函，格式自拟（加盖单位公章）。</w:t>
      </w:r>
    </w:p>
    <w:p w14:paraId="3BA5580F">
      <w:pPr>
        <w:spacing w:line="600" w:lineRule="exact"/>
        <w:ind w:firstLine="480"/>
        <w:rPr>
          <w:rFonts w:ascii="宋体" w:hAnsi="宋体" w:cs="宋体"/>
        </w:rPr>
      </w:pPr>
      <w:r>
        <w:rPr>
          <w:rFonts w:hint="eastAsia" w:ascii="宋体" w:hAnsi="宋体" w:cs="宋体"/>
        </w:rPr>
        <w:t>5.提供参加本次招标采购活动前三年内，在经营活动中没有重大违法记录。</w:t>
      </w:r>
    </w:p>
    <w:p w14:paraId="081D7A8F">
      <w:pPr>
        <w:spacing w:line="600" w:lineRule="exact"/>
        <w:ind w:firstLine="480"/>
        <w:rPr>
          <w:rFonts w:ascii="宋体" w:hAnsi="宋体" w:cs="宋体"/>
        </w:rPr>
      </w:pPr>
      <w:r>
        <w:rPr>
          <w:rFonts w:hint="eastAsia" w:ascii="宋体" w:hAnsi="宋体" w:cs="宋体"/>
        </w:rPr>
        <w:t>提供声明函，格式自拟（加盖单位公章）</w:t>
      </w:r>
    </w:p>
    <w:p w14:paraId="6458E2FE">
      <w:pPr>
        <w:spacing w:line="600" w:lineRule="exact"/>
        <w:ind w:firstLine="480"/>
        <w:rPr>
          <w:rFonts w:ascii="宋体" w:hAnsi="宋体" w:cs="宋体"/>
        </w:rPr>
      </w:pPr>
      <w:r>
        <w:rPr>
          <w:rFonts w:hint="eastAsia" w:ascii="宋体" w:hAnsi="宋体" w:cs="宋体"/>
        </w:rPr>
        <w:t>6.法律、行政法规规定的其他条件。</w:t>
      </w:r>
    </w:p>
    <w:p w14:paraId="09413A10">
      <w:pPr>
        <w:spacing w:line="600" w:lineRule="exact"/>
        <w:ind w:firstLine="480"/>
        <w:rPr>
          <w:rFonts w:ascii="宋体" w:hAnsi="宋体" w:cs="宋体"/>
        </w:rPr>
      </w:pPr>
      <w:r>
        <w:rPr>
          <w:rFonts w:hint="eastAsia" w:ascii="宋体" w:hAnsi="宋体" w:cs="宋体"/>
        </w:rPr>
        <w:t>提供声明函，格式自拟（加盖单位公章）。</w:t>
      </w:r>
    </w:p>
    <w:p w14:paraId="14067E9C">
      <w:pPr>
        <w:spacing w:line="600" w:lineRule="exact"/>
        <w:ind w:firstLine="480" w:firstLineChars="200"/>
        <w:rPr>
          <w:rFonts w:ascii="宋体" w:hAnsi="宋体" w:cs="宋体"/>
        </w:rPr>
      </w:pPr>
      <w:r>
        <w:rPr>
          <w:rFonts w:hint="eastAsia" w:ascii="宋体" w:hAnsi="宋体" w:cs="宋体"/>
        </w:rPr>
        <w:t xml:space="preserve">7.必须为未被列入信用中国网站(www.creditchina.gov.cn)的“重大税收违法失信主体”、“政府采购严重违法失信名单”和中国政府采购网(www.ccgp.gov.cn) 的“政府采购严重违法失信行为记录名单”以及中国执行信息公开网（http://zxgk.court.gov.cn/shixin/）的“失信被执行人”的供应商（提供承诺函并加盖公章）。 </w:t>
      </w:r>
    </w:p>
    <w:p w14:paraId="7C74B18C">
      <w:pPr>
        <w:spacing w:line="600" w:lineRule="exact"/>
        <w:ind w:left="480" w:leftChars="200"/>
        <w:rPr>
          <w:rFonts w:ascii="宋体" w:hAnsi="宋体" w:cs="宋体"/>
          <w:b/>
        </w:rPr>
      </w:pPr>
      <w:r>
        <w:rPr>
          <w:rFonts w:hint="eastAsia" w:ascii="宋体" w:hAnsi="宋体" w:cs="宋体"/>
          <w:b/>
        </w:rPr>
        <w:t>2.2落实政府采购政策需满足的资格要求：无</w:t>
      </w:r>
    </w:p>
    <w:p w14:paraId="5D1B4A78">
      <w:pPr>
        <w:pStyle w:val="104"/>
        <w:spacing w:line="600" w:lineRule="exact"/>
        <w:ind w:left="567" w:firstLine="0" w:firstLineChars="0"/>
        <w:rPr>
          <w:rFonts w:ascii="宋体" w:hAnsi="宋体" w:cs="宋体"/>
        </w:rPr>
      </w:pPr>
      <w:r>
        <w:rPr>
          <w:rFonts w:hint="eastAsia" w:ascii="宋体" w:hAnsi="宋体" w:cs="宋体"/>
          <w:b/>
        </w:rPr>
        <w:t>2.3本项目不接受联合体。</w:t>
      </w:r>
    </w:p>
    <w:p w14:paraId="30BD76EE">
      <w:pPr>
        <w:pStyle w:val="4"/>
        <w:spacing w:before="0" w:after="0" w:line="600" w:lineRule="exact"/>
      </w:pPr>
      <w:bookmarkStart w:id="26" w:name="_Toc35393800"/>
      <w:bookmarkStart w:id="27" w:name="_Toc35393631"/>
      <w:r>
        <w:rPr>
          <w:rFonts w:hint="eastAsia"/>
        </w:rPr>
        <w:t>三、获取采购文件</w:t>
      </w:r>
      <w:bookmarkEnd w:id="26"/>
      <w:bookmarkEnd w:id="27"/>
    </w:p>
    <w:p w14:paraId="0B96C588">
      <w:pPr>
        <w:spacing w:line="600" w:lineRule="exact"/>
        <w:ind w:firstLine="540"/>
        <w:rPr>
          <w:rFonts w:ascii="宋体" w:hAnsi="宋体" w:cs="宋体"/>
          <w:szCs w:val="28"/>
        </w:rPr>
      </w:pPr>
      <w:r>
        <w:rPr>
          <w:rFonts w:hint="eastAsia" w:ascii="宋体" w:hAnsi="宋体" w:cs="宋体"/>
          <w:szCs w:val="28"/>
        </w:rPr>
        <w:t>时间：</w:t>
      </w:r>
      <w:r>
        <w:rPr>
          <w:rFonts w:hint="eastAsia" w:ascii="宋体" w:hAnsi="宋体" w:cs="宋体"/>
          <w:szCs w:val="28"/>
          <w:u w:val="single"/>
        </w:rPr>
        <w:t>2025年11月11日</w:t>
      </w:r>
      <w:r>
        <w:rPr>
          <w:rFonts w:hint="eastAsia" w:ascii="宋体" w:hAnsi="宋体" w:cs="宋体"/>
          <w:szCs w:val="28"/>
        </w:rPr>
        <w:t>至</w:t>
      </w:r>
      <w:r>
        <w:rPr>
          <w:rFonts w:hint="eastAsia" w:ascii="宋体" w:hAnsi="宋体" w:cs="宋体"/>
          <w:szCs w:val="28"/>
          <w:u w:val="single"/>
        </w:rPr>
        <w:t>2025年11月18日</w:t>
      </w:r>
      <w:r>
        <w:rPr>
          <w:rFonts w:hint="eastAsia" w:ascii="宋体" w:hAnsi="宋体" w:cs="宋体"/>
          <w:szCs w:val="28"/>
        </w:rPr>
        <w:t>，每天上午</w:t>
      </w:r>
      <w:r>
        <w:rPr>
          <w:rFonts w:hint="eastAsia" w:ascii="宋体" w:hAnsi="宋体" w:cs="宋体"/>
          <w:szCs w:val="28"/>
          <w:u w:val="single"/>
        </w:rPr>
        <w:t xml:space="preserve">09:00 </w:t>
      </w:r>
      <w:r>
        <w:rPr>
          <w:rFonts w:hint="eastAsia" w:ascii="宋体" w:hAnsi="宋体" w:cs="宋体"/>
          <w:szCs w:val="28"/>
        </w:rPr>
        <w:t>至</w:t>
      </w:r>
      <w:r>
        <w:rPr>
          <w:rFonts w:hint="eastAsia" w:ascii="宋体" w:hAnsi="宋体" w:cs="宋体"/>
          <w:szCs w:val="28"/>
          <w:u w:val="single"/>
        </w:rPr>
        <w:t>12:00</w:t>
      </w:r>
      <w:r>
        <w:rPr>
          <w:rFonts w:hint="eastAsia" w:ascii="宋体" w:hAnsi="宋体" w:cs="宋体"/>
          <w:szCs w:val="28"/>
        </w:rPr>
        <w:t>，下午</w:t>
      </w:r>
      <w:r>
        <w:rPr>
          <w:rFonts w:hint="eastAsia" w:ascii="宋体" w:hAnsi="宋体" w:cs="宋体"/>
          <w:szCs w:val="28"/>
          <w:u w:val="single"/>
        </w:rPr>
        <w:t>15:00</w:t>
      </w:r>
      <w:r>
        <w:rPr>
          <w:rFonts w:hint="eastAsia" w:ascii="宋体" w:hAnsi="宋体" w:cs="宋体"/>
          <w:szCs w:val="28"/>
        </w:rPr>
        <w:t>至</w:t>
      </w:r>
      <w:r>
        <w:rPr>
          <w:rFonts w:hint="eastAsia" w:ascii="宋体" w:hAnsi="宋体" w:cs="宋体"/>
          <w:szCs w:val="28"/>
          <w:u w:val="single"/>
        </w:rPr>
        <w:t>17:30</w:t>
      </w:r>
      <w:r>
        <w:rPr>
          <w:rFonts w:hint="eastAsia" w:ascii="宋体" w:hAnsi="宋体" w:cs="宋体"/>
          <w:szCs w:val="28"/>
        </w:rPr>
        <w:t>（北京时间，法定节假日除外 ）</w:t>
      </w:r>
    </w:p>
    <w:p w14:paraId="0E2B6921">
      <w:pPr>
        <w:spacing w:line="600" w:lineRule="exact"/>
        <w:ind w:firstLine="540"/>
        <w:rPr>
          <w:rFonts w:ascii="宋体" w:hAnsi="宋体" w:cs="宋体"/>
          <w:szCs w:val="28"/>
        </w:rPr>
      </w:pPr>
      <w:r>
        <w:rPr>
          <w:rFonts w:hint="eastAsia" w:ascii="宋体" w:hAnsi="宋体" w:cs="宋体"/>
          <w:szCs w:val="28"/>
        </w:rPr>
        <w:t>地点：</w:t>
      </w:r>
      <w:r>
        <w:rPr>
          <w:rFonts w:hint="eastAsia" w:ascii="宋体" w:hAnsi="宋体" w:cs="宋体"/>
        </w:rPr>
        <w:t>海南亿佳源招标代理有限公司（海口市美兰区蓝天街道大英山西二街26号龙兴公馆4层B03室）</w:t>
      </w:r>
    </w:p>
    <w:p w14:paraId="20CC6016">
      <w:pPr>
        <w:spacing w:line="600" w:lineRule="exact"/>
        <w:ind w:firstLine="540"/>
        <w:rPr>
          <w:rFonts w:ascii="宋体" w:hAnsi="宋体" w:cs="宋体"/>
          <w:szCs w:val="28"/>
          <w:u w:val="single"/>
        </w:rPr>
      </w:pPr>
      <w:r>
        <w:rPr>
          <w:rFonts w:hint="eastAsia" w:ascii="宋体" w:hAnsi="宋体" w:cs="宋体"/>
          <w:szCs w:val="28"/>
        </w:rPr>
        <w:t>方式：现场购买，</w:t>
      </w:r>
      <w:r>
        <w:rPr>
          <w:rFonts w:ascii="PingFangSC-Regular" w:hAnsi="PingFangSC-Regular" w:eastAsia="PingFangSC-Regular" w:cs="PingFangSC-Regular"/>
          <w:shd w:val="clear" w:color="auto" w:fill="FFFFFF"/>
        </w:rPr>
        <w:t>购买人持授权委托书（如法人到场持法人身份证明）、法人及经办人身份证和营业执照复印件加盖</w:t>
      </w:r>
      <w:r>
        <w:rPr>
          <w:rFonts w:hint="eastAsia" w:ascii="PingFangSC-Regular" w:hAnsi="PingFangSC-Regular" w:eastAsia="PingFangSC-Regular" w:cs="PingFangSC-Regular"/>
          <w:shd w:val="clear" w:color="auto" w:fill="FFFFFF"/>
        </w:rPr>
        <w:t>公</w:t>
      </w:r>
      <w:r>
        <w:rPr>
          <w:rFonts w:ascii="PingFangSC-Regular" w:hAnsi="PingFangSC-Regular" w:eastAsia="PingFangSC-Regular" w:cs="PingFangSC-Regular"/>
          <w:shd w:val="clear" w:color="auto" w:fill="FFFFFF"/>
        </w:rPr>
        <w:t>章。</w:t>
      </w:r>
    </w:p>
    <w:p w14:paraId="346CACBE">
      <w:pPr>
        <w:spacing w:line="600" w:lineRule="exact"/>
        <w:ind w:firstLine="540"/>
        <w:rPr>
          <w:rFonts w:ascii="宋体" w:hAnsi="宋体" w:cs="宋体"/>
          <w:szCs w:val="28"/>
        </w:rPr>
      </w:pPr>
      <w:r>
        <w:rPr>
          <w:rFonts w:hint="eastAsia" w:ascii="宋体" w:hAnsi="宋体" w:cs="宋体"/>
          <w:szCs w:val="28"/>
        </w:rPr>
        <w:t>售价：人民币300.00元/份</w:t>
      </w:r>
    </w:p>
    <w:p w14:paraId="2875544D">
      <w:pPr>
        <w:spacing w:line="600" w:lineRule="exact"/>
        <w:rPr>
          <w:rFonts w:ascii="宋体" w:hAnsi="宋体" w:cs="宋体"/>
          <w:b/>
        </w:rPr>
      </w:pPr>
      <w:bookmarkStart w:id="28" w:name="_Toc35393632"/>
      <w:bookmarkStart w:id="29" w:name="_Toc28359092"/>
      <w:bookmarkStart w:id="30" w:name="_Toc35393801"/>
      <w:bookmarkStart w:id="31" w:name="_Toc28359015"/>
      <w:r>
        <w:rPr>
          <w:rFonts w:hint="eastAsia" w:ascii="宋体" w:hAnsi="宋体" w:cs="宋体"/>
          <w:b/>
        </w:rPr>
        <w:t>四、响应文件提交</w:t>
      </w:r>
      <w:bookmarkEnd w:id="28"/>
      <w:bookmarkEnd w:id="29"/>
      <w:bookmarkEnd w:id="30"/>
      <w:bookmarkEnd w:id="31"/>
    </w:p>
    <w:p w14:paraId="7C97648E">
      <w:pPr>
        <w:spacing w:line="600" w:lineRule="exact"/>
        <w:ind w:firstLine="480" w:firstLineChars="200"/>
        <w:rPr>
          <w:rFonts w:ascii="宋体" w:hAnsi="宋体" w:cs="宋体"/>
          <w:bCs/>
          <w:szCs w:val="28"/>
        </w:rPr>
      </w:pPr>
      <w:r>
        <w:rPr>
          <w:rFonts w:hint="eastAsia" w:ascii="宋体" w:hAnsi="宋体" w:cs="宋体"/>
          <w:szCs w:val="28"/>
        </w:rPr>
        <w:t>截止时间：</w:t>
      </w:r>
      <w:r>
        <w:rPr>
          <w:rFonts w:hint="eastAsia" w:ascii="宋体" w:hAnsi="宋体" w:cs="宋体"/>
          <w:u w:val="single"/>
        </w:rPr>
        <w:t xml:space="preserve"> 2025年11月 2</w:t>
      </w:r>
      <w:r>
        <w:rPr>
          <w:rFonts w:hint="eastAsia" w:ascii="宋体" w:hAnsi="宋体" w:cs="宋体"/>
          <w:u w:val="single"/>
          <w:lang w:val="en-US" w:eastAsia="zh-CN"/>
        </w:rPr>
        <w:t>4</w:t>
      </w:r>
      <w:r>
        <w:rPr>
          <w:rFonts w:hint="eastAsia" w:ascii="宋体" w:hAnsi="宋体" w:cs="宋体"/>
          <w:u w:val="single"/>
        </w:rPr>
        <w:t xml:space="preserve"> 日09点30分（北京时间）</w:t>
      </w:r>
    </w:p>
    <w:p w14:paraId="1B9B9100">
      <w:pPr>
        <w:spacing w:line="600" w:lineRule="exact"/>
        <w:ind w:firstLine="480" w:firstLineChars="200"/>
        <w:rPr>
          <w:rFonts w:ascii="宋体" w:hAnsi="宋体" w:cs="宋体"/>
          <w:color w:val="FF0000"/>
          <w:szCs w:val="28"/>
          <w:highlight w:val="yellow"/>
        </w:rPr>
      </w:pPr>
      <w:r>
        <w:rPr>
          <w:rFonts w:hint="eastAsia" w:ascii="宋体" w:hAnsi="宋体" w:cs="宋体"/>
          <w:szCs w:val="28"/>
        </w:rPr>
        <w:t>地点：</w:t>
      </w:r>
      <w:bookmarkStart w:id="32" w:name="_Toc35393633"/>
      <w:bookmarkStart w:id="33" w:name="_Toc28359093"/>
      <w:bookmarkStart w:id="34" w:name="_Toc28359016"/>
      <w:bookmarkStart w:id="35" w:name="_Toc35393802"/>
      <w:r>
        <w:rPr>
          <w:rFonts w:hint="eastAsia" w:ascii="宋体" w:hAnsi="宋体" w:cs="宋体"/>
          <w:szCs w:val="28"/>
        </w:rPr>
        <w:t>海南省海口市美兰区蓝天路15号4栋中坚招投标交易中心三楼（海南省招标投标协会）开标室7</w:t>
      </w:r>
    </w:p>
    <w:p w14:paraId="4BBDC1D9">
      <w:pPr>
        <w:spacing w:line="600" w:lineRule="exact"/>
        <w:rPr>
          <w:rFonts w:ascii="宋体" w:hAnsi="宋体" w:cs="宋体"/>
          <w:b/>
        </w:rPr>
      </w:pPr>
      <w:r>
        <w:rPr>
          <w:rFonts w:hint="eastAsia" w:ascii="宋体" w:hAnsi="宋体" w:cs="宋体"/>
          <w:b/>
        </w:rPr>
        <w:t>五、开启</w:t>
      </w:r>
      <w:bookmarkEnd w:id="32"/>
      <w:bookmarkEnd w:id="33"/>
      <w:bookmarkEnd w:id="34"/>
      <w:bookmarkEnd w:id="35"/>
    </w:p>
    <w:p w14:paraId="58038BB6">
      <w:pPr>
        <w:spacing w:line="600" w:lineRule="exact"/>
        <w:ind w:firstLine="480" w:firstLineChars="200"/>
        <w:rPr>
          <w:rFonts w:ascii="宋体" w:hAnsi="宋体" w:cs="宋体"/>
          <w:bCs/>
          <w:szCs w:val="28"/>
          <w:u w:val="single"/>
        </w:rPr>
      </w:pPr>
      <w:r>
        <w:rPr>
          <w:rFonts w:hint="eastAsia" w:ascii="宋体" w:hAnsi="宋体" w:cs="宋体"/>
          <w:szCs w:val="28"/>
        </w:rPr>
        <w:t>时间：</w:t>
      </w:r>
      <w:r>
        <w:rPr>
          <w:rFonts w:hint="eastAsia" w:ascii="宋体" w:hAnsi="宋体" w:cs="宋体"/>
          <w:u w:val="single"/>
        </w:rPr>
        <w:t xml:space="preserve"> 2025年 11 月 2</w:t>
      </w:r>
      <w:r>
        <w:rPr>
          <w:rFonts w:hint="eastAsia" w:ascii="宋体" w:hAnsi="宋体" w:cs="宋体"/>
          <w:u w:val="single"/>
          <w:lang w:val="en-US" w:eastAsia="zh-CN"/>
        </w:rPr>
        <w:t>4</w:t>
      </w:r>
      <w:r>
        <w:rPr>
          <w:rFonts w:hint="eastAsia" w:ascii="宋体" w:hAnsi="宋体" w:cs="宋体"/>
          <w:u w:val="single"/>
        </w:rPr>
        <w:t>日09点30分（北京时间）</w:t>
      </w:r>
    </w:p>
    <w:p w14:paraId="55A495EC">
      <w:pPr>
        <w:spacing w:line="600" w:lineRule="exact"/>
        <w:ind w:firstLine="480" w:firstLineChars="200"/>
        <w:rPr>
          <w:rFonts w:ascii="宋体" w:hAnsi="宋体" w:cs="宋体"/>
          <w:szCs w:val="28"/>
        </w:rPr>
      </w:pPr>
      <w:r>
        <w:rPr>
          <w:rFonts w:hint="eastAsia" w:ascii="宋体" w:hAnsi="宋体" w:cs="宋体"/>
          <w:szCs w:val="28"/>
        </w:rPr>
        <w:t>地点：</w:t>
      </w:r>
      <w:bookmarkStart w:id="36" w:name="_Toc35393803"/>
      <w:bookmarkStart w:id="37" w:name="_Toc28359017"/>
      <w:bookmarkStart w:id="38" w:name="_Toc35393634"/>
      <w:bookmarkStart w:id="39" w:name="_Toc28359094"/>
      <w:r>
        <w:rPr>
          <w:rFonts w:hint="eastAsia" w:ascii="宋体" w:hAnsi="宋体" w:cs="宋体"/>
          <w:szCs w:val="28"/>
        </w:rPr>
        <w:t>海南省海口市美兰区蓝天路15号4栋中坚招投标交易中心三楼（海南省招标投标协会）开标室7</w:t>
      </w:r>
    </w:p>
    <w:p w14:paraId="6CF371E0">
      <w:pPr>
        <w:spacing w:line="600" w:lineRule="exact"/>
        <w:rPr>
          <w:rFonts w:ascii="宋体" w:hAnsi="宋体" w:cs="宋体"/>
          <w:b/>
        </w:rPr>
      </w:pPr>
      <w:r>
        <w:rPr>
          <w:rFonts w:hint="eastAsia" w:ascii="宋体" w:hAnsi="宋体" w:cs="宋体"/>
          <w:b/>
        </w:rPr>
        <w:t>六、公告期限</w:t>
      </w:r>
      <w:bookmarkEnd w:id="36"/>
      <w:bookmarkEnd w:id="37"/>
      <w:bookmarkEnd w:id="38"/>
      <w:bookmarkEnd w:id="39"/>
    </w:p>
    <w:p w14:paraId="2E36B5C7">
      <w:pPr>
        <w:spacing w:line="600" w:lineRule="exact"/>
        <w:ind w:firstLine="480" w:firstLineChars="200"/>
        <w:rPr>
          <w:rFonts w:ascii="宋体" w:hAnsi="宋体" w:cs="宋体"/>
          <w:kern w:val="0"/>
          <w:szCs w:val="28"/>
        </w:rPr>
      </w:pPr>
      <w:r>
        <w:rPr>
          <w:rFonts w:hint="eastAsia" w:ascii="宋体" w:hAnsi="宋体" w:cs="宋体"/>
          <w:kern w:val="0"/>
          <w:szCs w:val="28"/>
        </w:rPr>
        <w:t>自本公告发布之日起3个工作日。</w:t>
      </w:r>
    </w:p>
    <w:p w14:paraId="78F243AD">
      <w:pPr>
        <w:spacing w:line="600" w:lineRule="exact"/>
        <w:rPr>
          <w:rFonts w:ascii="宋体" w:hAnsi="宋体" w:cs="宋体"/>
          <w:b/>
        </w:rPr>
      </w:pPr>
      <w:bookmarkStart w:id="40" w:name="_Toc35393635"/>
      <w:bookmarkStart w:id="41" w:name="_Toc35393804"/>
      <w:r>
        <w:rPr>
          <w:rFonts w:hint="eastAsia" w:ascii="宋体" w:hAnsi="宋体" w:cs="宋体"/>
          <w:b/>
        </w:rPr>
        <w:t>七、其他补充事宜</w:t>
      </w:r>
      <w:bookmarkEnd w:id="40"/>
      <w:bookmarkEnd w:id="41"/>
    </w:p>
    <w:p w14:paraId="319B7222">
      <w:pPr>
        <w:snapToGrid w:val="0"/>
        <w:spacing w:line="600" w:lineRule="exact"/>
        <w:ind w:firstLine="480" w:firstLineChars="200"/>
        <w:jc w:val="left"/>
        <w:rPr>
          <w:rFonts w:ascii="宋体" w:hAnsi="宋体" w:cs="宋体"/>
        </w:rPr>
      </w:pPr>
      <w:r>
        <w:rPr>
          <w:rFonts w:hint="eastAsia" w:ascii="宋体" w:hAnsi="宋体" w:cs="宋体"/>
        </w:rPr>
        <w:t>1、本项目采购信息指定发布媒体为海南省政府采购行业协会网（https://www.hnzfcgxh.com/）。</w:t>
      </w:r>
    </w:p>
    <w:p w14:paraId="543BBC84">
      <w:pPr>
        <w:pStyle w:val="8"/>
        <w:snapToGrid w:val="0"/>
        <w:spacing w:line="600" w:lineRule="exact"/>
        <w:rPr>
          <w:rFonts w:ascii="宋体" w:hAnsi="宋体" w:cs="宋体"/>
          <w:szCs w:val="24"/>
        </w:rPr>
      </w:pPr>
      <w:r>
        <w:rPr>
          <w:rFonts w:hint="eastAsia" w:ascii="宋体" w:hAnsi="宋体" w:cs="宋体"/>
          <w:szCs w:val="24"/>
        </w:rPr>
        <w:t>2、有关本项目竞争性磋商文件的补遗、澄清及变更信息以上述网站公告与下载为准，采购代理机构不再另行通知，竞争性磋商文件与更正公告的内容相互矛盾时，以最后发出的更正公告内容为准。</w:t>
      </w:r>
    </w:p>
    <w:p w14:paraId="6CF1FE28">
      <w:pPr>
        <w:pStyle w:val="8"/>
        <w:snapToGrid w:val="0"/>
        <w:spacing w:line="600" w:lineRule="exact"/>
        <w:rPr>
          <w:rFonts w:ascii="宋体" w:hAnsi="宋体" w:cs="宋体"/>
          <w:u w:color="000000"/>
        </w:rPr>
      </w:pPr>
      <w:r>
        <w:rPr>
          <w:rFonts w:hint="eastAsia" w:ascii="宋体" w:hAnsi="宋体" w:cs="宋体"/>
          <w:u w:color="000000"/>
        </w:rPr>
        <w:t>3、本项目落实政府采购政策</w:t>
      </w:r>
    </w:p>
    <w:p w14:paraId="151F2DC3">
      <w:pPr>
        <w:pStyle w:val="8"/>
        <w:snapToGrid w:val="0"/>
        <w:spacing w:line="600" w:lineRule="exact"/>
        <w:rPr>
          <w:rFonts w:ascii="宋体" w:hAnsi="宋体" w:cs="宋体"/>
          <w:szCs w:val="24"/>
        </w:rPr>
      </w:pPr>
      <w:r>
        <w:rPr>
          <w:rFonts w:hint="eastAsia" w:ascii="宋体" w:hAnsi="宋体" w:cs="宋体"/>
          <w:u w:color="000000"/>
        </w:rPr>
        <w:t>《政府采购促进中小企业发展管理办法》、《关于促进残疾人就业政府采购政策的通知》、《关于政府采购支持监狱企业发展有关问题的通知书》、《财政部 发展改革委 生态环境部 市场监管总局 关于调整优化节能产品、环境标志产品政府采购执行机制的通知》。</w:t>
      </w:r>
    </w:p>
    <w:p w14:paraId="6D38282D">
      <w:pPr>
        <w:spacing w:line="600" w:lineRule="exact"/>
        <w:rPr>
          <w:rFonts w:ascii="宋体" w:hAnsi="宋体" w:cs="宋体"/>
          <w:b/>
        </w:rPr>
      </w:pPr>
      <w:bookmarkStart w:id="42" w:name="_Toc35393805"/>
      <w:bookmarkStart w:id="43" w:name="_Toc28359095"/>
      <w:bookmarkStart w:id="44" w:name="_Toc35393636"/>
      <w:bookmarkStart w:id="45" w:name="_Toc28359018"/>
      <w:r>
        <w:rPr>
          <w:rFonts w:hint="eastAsia" w:ascii="宋体" w:hAnsi="宋体" w:cs="宋体"/>
          <w:b/>
        </w:rPr>
        <w:t>八、凡对本次采购提出询问，请按以下方式联系。</w:t>
      </w:r>
      <w:bookmarkEnd w:id="42"/>
      <w:bookmarkEnd w:id="43"/>
      <w:bookmarkEnd w:id="44"/>
      <w:bookmarkEnd w:id="45"/>
    </w:p>
    <w:p w14:paraId="33CF9F62">
      <w:pPr>
        <w:spacing w:line="600" w:lineRule="exact"/>
        <w:ind w:firstLine="480" w:firstLineChars="200"/>
        <w:rPr>
          <w:rFonts w:ascii="宋体" w:hAnsi="宋体" w:cs="宋体"/>
          <w:szCs w:val="28"/>
        </w:rPr>
      </w:pPr>
      <w:bookmarkStart w:id="46" w:name="_Toc28359096"/>
      <w:bookmarkStart w:id="47" w:name="_Toc28359019"/>
      <w:bookmarkStart w:id="48" w:name="_Toc35393637"/>
      <w:bookmarkStart w:id="49" w:name="_Toc35393806"/>
      <w:r>
        <w:rPr>
          <w:rFonts w:hint="eastAsia" w:ascii="宋体" w:hAnsi="宋体" w:cs="宋体"/>
          <w:szCs w:val="28"/>
        </w:rPr>
        <w:t>1.采购人信息</w:t>
      </w:r>
      <w:bookmarkEnd w:id="46"/>
      <w:bookmarkEnd w:id="47"/>
      <w:bookmarkEnd w:id="48"/>
      <w:bookmarkEnd w:id="49"/>
    </w:p>
    <w:p w14:paraId="68C24E38">
      <w:pPr>
        <w:spacing w:line="600" w:lineRule="exact"/>
        <w:ind w:left="2" w:firstLine="708" w:firstLineChars="295"/>
        <w:jc w:val="left"/>
        <w:rPr>
          <w:rFonts w:ascii="宋体" w:hAnsi="宋体" w:cs="宋体"/>
          <w:szCs w:val="28"/>
          <w:u w:val="single"/>
        </w:rPr>
      </w:pPr>
      <w:bookmarkStart w:id="50" w:name="_Toc28359097"/>
      <w:bookmarkStart w:id="51" w:name="_Toc35393638"/>
      <w:bookmarkStart w:id="52" w:name="_Toc28359020"/>
      <w:bookmarkStart w:id="53" w:name="_Toc35393807"/>
      <w:r>
        <w:rPr>
          <w:rFonts w:hint="eastAsia" w:ascii="宋体" w:hAnsi="宋体" w:cs="宋体"/>
          <w:szCs w:val="28"/>
        </w:rPr>
        <w:t>名    称</w:t>
      </w:r>
      <w:r>
        <w:rPr>
          <w:rFonts w:hint="eastAsia" w:ascii="宋体" w:hAnsi="宋体" w:cs="宋体"/>
          <w:szCs w:val="28"/>
          <w:u w:val="single"/>
        </w:rPr>
        <w:t xml:space="preserve">：海口市美兰区园林管理局 </w:t>
      </w:r>
    </w:p>
    <w:p w14:paraId="1C921FAA">
      <w:pPr>
        <w:spacing w:line="600" w:lineRule="exact"/>
        <w:ind w:left="2" w:firstLine="708" w:firstLineChars="295"/>
        <w:jc w:val="left"/>
        <w:rPr>
          <w:rFonts w:ascii="宋体" w:hAnsi="宋体" w:cs="宋体"/>
          <w:szCs w:val="28"/>
          <w:u w:val="single"/>
        </w:rPr>
      </w:pPr>
      <w:r>
        <w:rPr>
          <w:rFonts w:hint="eastAsia" w:ascii="宋体" w:hAnsi="宋体" w:cs="宋体"/>
          <w:szCs w:val="28"/>
        </w:rPr>
        <w:t>地    址</w:t>
      </w:r>
      <w:r>
        <w:rPr>
          <w:rFonts w:hint="eastAsia" w:ascii="宋体" w:hAnsi="宋体" w:cs="宋体"/>
          <w:szCs w:val="28"/>
          <w:u w:val="single"/>
        </w:rPr>
        <w:t>：海南省海口市美兰区琼山大道江东永泰花苑办公区510室</w:t>
      </w:r>
    </w:p>
    <w:p w14:paraId="5BF8EB97">
      <w:pPr>
        <w:spacing w:line="600" w:lineRule="exact"/>
        <w:ind w:left="2" w:firstLine="708" w:firstLineChars="295"/>
        <w:jc w:val="left"/>
        <w:rPr>
          <w:rFonts w:ascii="宋体" w:hAnsi="宋体" w:cs="宋体"/>
          <w:szCs w:val="28"/>
          <w:u w:val="single"/>
        </w:rPr>
      </w:pPr>
      <w:r>
        <w:rPr>
          <w:rFonts w:hint="eastAsia" w:ascii="宋体" w:hAnsi="宋体" w:cs="宋体"/>
          <w:szCs w:val="28"/>
        </w:rPr>
        <w:t>电    话：</w:t>
      </w:r>
      <w:r>
        <w:rPr>
          <w:rFonts w:hint="eastAsia" w:ascii="宋体" w:hAnsi="宋体" w:cs="宋体"/>
          <w:szCs w:val="28"/>
          <w:u w:val="single"/>
        </w:rPr>
        <w:t>吴工 0898-65325102</w:t>
      </w:r>
    </w:p>
    <w:p w14:paraId="2660F271">
      <w:pPr>
        <w:spacing w:line="600" w:lineRule="exact"/>
        <w:ind w:firstLine="480" w:firstLineChars="200"/>
        <w:rPr>
          <w:rFonts w:ascii="宋体" w:hAnsi="宋体" w:cs="宋体"/>
          <w:szCs w:val="28"/>
        </w:rPr>
      </w:pPr>
      <w:r>
        <w:rPr>
          <w:rFonts w:hint="eastAsia" w:ascii="宋体" w:hAnsi="宋体" w:cs="宋体"/>
          <w:szCs w:val="28"/>
        </w:rPr>
        <w:t>2.采购代理机构信息</w:t>
      </w:r>
      <w:bookmarkEnd w:id="50"/>
      <w:bookmarkEnd w:id="51"/>
      <w:bookmarkEnd w:id="52"/>
      <w:bookmarkEnd w:id="53"/>
    </w:p>
    <w:p w14:paraId="32A70797">
      <w:pPr>
        <w:spacing w:line="600" w:lineRule="exact"/>
        <w:ind w:firstLine="720" w:firstLineChars="300"/>
        <w:rPr>
          <w:rFonts w:ascii="宋体" w:hAnsi="宋体" w:cs="宋体"/>
          <w:szCs w:val="28"/>
        </w:rPr>
      </w:pPr>
      <w:r>
        <w:rPr>
          <w:rFonts w:hint="eastAsia" w:ascii="宋体" w:hAnsi="宋体" w:cs="宋体"/>
          <w:szCs w:val="28"/>
        </w:rPr>
        <w:t>名    称：</w:t>
      </w:r>
      <w:r>
        <w:rPr>
          <w:rFonts w:hint="eastAsia" w:ascii="宋体" w:hAnsi="宋体" w:cs="宋体"/>
          <w:szCs w:val="28"/>
          <w:u w:val="single"/>
        </w:rPr>
        <w:t>海南亿佳源招标代理有限公司</w:t>
      </w:r>
    </w:p>
    <w:p w14:paraId="3F076FCC">
      <w:pPr>
        <w:spacing w:line="600" w:lineRule="exact"/>
        <w:ind w:firstLine="720" w:firstLineChars="300"/>
        <w:rPr>
          <w:rFonts w:ascii="宋体" w:hAnsi="宋体" w:cs="宋体"/>
          <w:szCs w:val="28"/>
        </w:rPr>
      </w:pPr>
      <w:r>
        <w:rPr>
          <w:rFonts w:hint="eastAsia" w:ascii="宋体" w:hAnsi="宋体" w:cs="宋体"/>
          <w:szCs w:val="28"/>
        </w:rPr>
        <w:t>地　　址：</w:t>
      </w:r>
      <w:r>
        <w:rPr>
          <w:rFonts w:hint="eastAsia" w:ascii="宋体" w:hAnsi="宋体" w:cs="宋体"/>
          <w:szCs w:val="28"/>
          <w:u w:val="single"/>
        </w:rPr>
        <w:t>海口市美兰区蓝天街道大英山西二街26号龙兴国际大厦4层B03室</w:t>
      </w:r>
    </w:p>
    <w:p w14:paraId="528727F2">
      <w:pPr>
        <w:spacing w:line="600" w:lineRule="exact"/>
        <w:ind w:firstLine="720" w:firstLineChars="300"/>
        <w:rPr>
          <w:rFonts w:ascii="宋体" w:hAnsi="宋体" w:cs="宋体"/>
          <w:szCs w:val="28"/>
          <w:u w:val="single"/>
        </w:rPr>
      </w:pPr>
      <w:r>
        <w:rPr>
          <w:rFonts w:hint="eastAsia" w:ascii="宋体" w:hAnsi="宋体" w:cs="宋体"/>
          <w:szCs w:val="28"/>
        </w:rPr>
        <w:t>联系方式：</w:t>
      </w:r>
      <w:r>
        <w:rPr>
          <w:rFonts w:hint="eastAsia" w:ascii="宋体" w:hAnsi="宋体" w:cs="宋体"/>
          <w:szCs w:val="28"/>
          <w:u w:val="single"/>
        </w:rPr>
        <w:t>0898-68571272</w:t>
      </w:r>
    </w:p>
    <w:p w14:paraId="62672053">
      <w:pPr>
        <w:spacing w:line="600" w:lineRule="exact"/>
        <w:ind w:firstLine="480" w:firstLineChars="200"/>
        <w:rPr>
          <w:rFonts w:ascii="宋体" w:hAnsi="宋体" w:cs="宋体"/>
          <w:szCs w:val="28"/>
        </w:rPr>
      </w:pPr>
      <w:bookmarkStart w:id="54" w:name="_Toc28359021"/>
      <w:bookmarkStart w:id="55" w:name="_Toc35393639"/>
      <w:bookmarkStart w:id="56" w:name="_Toc28359098"/>
      <w:bookmarkStart w:id="57" w:name="_Toc35393808"/>
      <w:r>
        <w:rPr>
          <w:rFonts w:hint="eastAsia" w:ascii="宋体" w:hAnsi="宋体" w:cs="宋体"/>
          <w:szCs w:val="28"/>
        </w:rPr>
        <w:t>3.项目联系方式</w:t>
      </w:r>
      <w:bookmarkEnd w:id="54"/>
      <w:bookmarkEnd w:id="55"/>
      <w:bookmarkEnd w:id="56"/>
      <w:bookmarkEnd w:id="57"/>
    </w:p>
    <w:p w14:paraId="76F1BE9C">
      <w:pPr>
        <w:pStyle w:val="15"/>
        <w:spacing w:line="600" w:lineRule="exact"/>
        <w:ind w:firstLine="708" w:firstLineChars="295"/>
        <w:rPr>
          <w:rFonts w:hAnsi="宋体" w:cs="宋体"/>
          <w:szCs w:val="28"/>
        </w:rPr>
      </w:pPr>
      <w:r>
        <w:rPr>
          <w:rFonts w:hint="eastAsia" w:hAnsi="宋体" w:cs="宋体"/>
          <w:szCs w:val="28"/>
        </w:rPr>
        <w:t>项目联系人：</w:t>
      </w:r>
      <w:r>
        <w:rPr>
          <w:rFonts w:hint="eastAsia" w:hAnsi="宋体" w:cs="宋体"/>
          <w:szCs w:val="28"/>
          <w:u w:val="single"/>
        </w:rPr>
        <w:t>林工</w:t>
      </w:r>
    </w:p>
    <w:p w14:paraId="33290AEE">
      <w:pPr>
        <w:spacing w:line="600" w:lineRule="exact"/>
        <w:ind w:firstLine="708" w:firstLineChars="295"/>
        <w:rPr>
          <w:rFonts w:ascii="宋体" w:hAnsi="宋体" w:cs="宋体"/>
          <w:szCs w:val="28"/>
          <w:u w:val="single"/>
        </w:rPr>
      </w:pPr>
      <w:r>
        <w:rPr>
          <w:rFonts w:hint="eastAsia" w:ascii="宋体" w:hAnsi="宋体" w:cs="宋体"/>
          <w:szCs w:val="28"/>
        </w:rPr>
        <w:t>电　 　 话：</w:t>
      </w:r>
      <w:bookmarkStart w:id="58" w:name="_Toc25697303"/>
      <w:bookmarkStart w:id="59" w:name="_Toc35856324"/>
      <w:bookmarkStart w:id="60" w:name="_Toc35856195"/>
      <w:r>
        <w:rPr>
          <w:rFonts w:hint="eastAsia" w:ascii="宋体" w:hAnsi="宋体" w:cs="宋体"/>
          <w:szCs w:val="28"/>
          <w:u w:val="single"/>
        </w:rPr>
        <w:t>0898-68571272</w:t>
      </w:r>
    </w:p>
    <w:p w14:paraId="4CBCCB49">
      <w:pPr>
        <w:spacing w:line="600" w:lineRule="exact"/>
        <w:ind w:firstLine="888" w:firstLineChars="295"/>
        <w:rPr>
          <w:rFonts w:ascii="宋体" w:hAnsi="宋体" w:cs="宋体"/>
          <w:b/>
          <w:bCs/>
          <w:sz w:val="30"/>
          <w:szCs w:val="30"/>
        </w:rPr>
      </w:pPr>
      <w:r>
        <w:rPr>
          <w:rFonts w:hint="eastAsia" w:ascii="宋体" w:hAnsi="宋体" w:cs="宋体"/>
          <w:b/>
          <w:bCs/>
          <w:sz w:val="30"/>
          <w:szCs w:val="30"/>
        </w:rPr>
        <w:br w:type="page"/>
      </w:r>
    </w:p>
    <w:p w14:paraId="09B84906">
      <w:pPr>
        <w:pStyle w:val="8"/>
        <w:snapToGrid w:val="0"/>
        <w:spacing w:line="600" w:lineRule="exact"/>
        <w:ind w:left="420" w:firstLine="0"/>
        <w:jc w:val="center"/>
        <w:outlineLvl w:val="0"/>
        <w:rPr>
          <w:rFonts w:ascii="宋体" w:hAnsi="宋体" w:cs="宋体"/>
          <w:b/>
          <w:bCs/>
          <w:sz w:val="30"/>
          <w:szCs w:val="30"/>
        </w:rPr>
      </w:pPr>
      <w:bookmarkStart w:id="61" w:name="_Toc48044735"/>
      <w:r>
        <w:rPr>
          <w:rFonts w:hint="eastAsia" w:ascii="宋体" w:hAnsi="宋体" w:cs="宋体"/>
          <w:b/>
          <w:bCs/>
          <w:sz w:val="30"/>
          <w:szCs w:val="30"/>
        </w:rPr>
        <w:t>第二章 供应商须知</w:t>
      </w:r>
      <w:bookmarkEnd w:id="58"/>
      <w:bookmarkEnd w:id="59"/>
      <w:bookmarkEnd w:id="60"/>
      <w:bookmarkEnd w:id="61"/>
    </w:p>
    <w:p w14:paraId="7C6EB47E">
      <w:pPr>
        <w:spacing w:line="600" w:lineRule="exact"/>
        <w:ind w:firstLine="590" w:firstLineChars="245"/>
        <w:jc w:val="center"/>
        <w:rPr>
          <w:rFonts w:ascii="宋体" w:hAnsi="宋体" w:cs="宋体"/>
          <w:b/>
        </w:rPr>
      </w:pPr>
      <w:bookmarkStart w:id="62" w:name="_Toc246826115"/>
    </w:p>
    <w:p w14:paraId="0B568C87">
      <w:pPr>
        <w:snapToGrid w:val="0"/>
        <w:spacing w:line="600" w:lineRule="exact"/>
        <w:jc w:val="center"/>
        <w:outlineLvl w:val="1"/>
        <w:rPr>
          <w:rFonts w:ascii="宋体" w:hAnsi="宋体" w:cs="宋体"/>
          <w:b/>
          <w:kern w:val="0"/>
        </w:rPr>
      </w:pPr>
      <w:r>
        <w:rPr>
          <w:rFonts w:hint="eastAsia" w:ascii="宋体" w:hAnsi="宋体" w:cs="宋体"/>
          <w:b/>
          <w:kern w:val="0"/>
        </w:rPr>
        <w:t>一、总则</w:t>
      </w:r>
    </w:p>
    <w:p w14:paraId="6573A414">
      <w:pPr>
        <w:spacing w:line="600" w:lineRule="exact"/>
        <w:rPr>
          <w:rFonts w:ascii="宋体" w:hAnsi="宋体" w:cs="宋体"/>
          <w:b/>
        </w:rPr>
      </w:pPr>
      <w:r>
        <w:rPr>
          <w:rFonts w:hint="eastAsia" w:ascii="宋体" w:hAnsi="宋体" w:cs="宋体"/>
          <w:b/>
        </w:rPr>
        <w:t>1、综合说明</w:t>
      </w:r>
    </w:p>
    <w:p w14:paraId="69D0D0C1">
      <w:pPr>
        <w:spacing w:line="600" w:lineRule="exact"/>
        <w:ind w:firstLine="480" w:firstLineChars="200"/>
        <w:rPr>
          <w:rFonts w:ascii="宋体" w:hAnsi="宋体" w:cs="宋体"/>
        </w:rPr>
      </w:pPr>
      <w:r>
        <w:rPr>
          <w:rFonts w:hint="eastAsia" w:ascii="宋体" w:hAnsi="宋体" w:cs="宋体"/>
        </w:rPr>
        <w:t>1.1采购人：</w:t>
      </w:r>
      <w:r>
        <w:rPr>
          <w:rFonts w:hint="eastAsia" w:ascii="宋体" w:hAnsi="宋体" w:cs="宋体"/>
          <w:u w:color="000000"/>
        </w:rPr>
        <w:t xml:space="preserve">海口市美兰区园林管理局 </w:t>
      </w:r>
    </w:p>
    <w:p w14:paraId="521BE250">
      <w:pPr>
        <w:spacing w:line="600" w:lineRule="exact"/>
        <w:ind w:firstLine="480" w:firstLineChars="200"/>
        <w:rPr>
          <w:rFonts w:ascii="宋体" w:hAnsi="宋体" w:cs="宋体"/>
        </w:rPr>
      </w:pPr>
      <w:r>
        <w:rPr>
          <w:rFonts w:hint="eastAsia" w:ascii="宋体" w:hAnsi="宋体" w:cs="宋体"/>
        </w:rPr>
        <w:t>1.2采购代理机构：</w:t>
      </w:r>
      <w:r>
        <w:rPr>
          <w:rFonts w:hint="eastAsia" w:ascii="宋体" w:hAnsi="宋体" w:cs="宋体"/>
          <w:szCs w:val="28"/>
        </w:rPr>
        <w:t>海南亿佳源招标代理有限公司</w:t>
      </w:r>
    </w:p>
    <w:p w14:paraId="0294E1E5">
      <w:pPr>
        <w:spacing w:line="600" w:lineRule="exact"/>
        <w:ind w:firstLine="480" w:firstLineChars="200"/>
        <w:rPr>
          <w:rFonts w:ascii="宋体" w:hAnsi="宋体" w:cs="宋体"/>
        </w:rPr>
      </w:pPr>
      <w:r>
        <w:rPr>
          <w:rFonts w:hint="eastAsia" w:ascii="宋体" w:hAnsi="宋体" w:cs="宋体"/>
        </w:rPr>
        <w:t>1.3供应商：已从采购代理机构购买磋商文件并提交响应文件的法人、其他组织或自然人。</w:t>
      </w:r>
    </w:p>
    <w:p w14:paraId="5F612302">
      <w:pPr>
        <w:spacing w:line="600" w:lineRule="exact"/>
        <w:ind w:firstLine="480" w:firstLineChars="200"/>
        <w:rPr>
          <w:rFonts w:ascii="宋体" w:hAnsi="宋体" w:cs="宋体"/>
        </w:rPr>
      </w:pPr>
      <w:r>
        <w:rPr>
          <w:rFonts w:hint="eastAsia" w:ascii="宋体" w:hAnsi="宋体" w:cs="宋体"/>
        </w:rPr>
        <w:t>1.4成交供应商：经过采购确定的提供合同货物或服务的供应商。</w:t>
      </w:r>
    </w:p>
    <w:p w14:paraId="212E8437">
      <w:pPr>
        <w:spacing w:line="600" w:lineRule="exact"/>
        <w:ind w:firstLine="480" w:firstLineChars="200"/>
        <w:rPr>
          <w:rFonts w:ascii="宋体" w:hAnsi="宋体" w:cs="宋体"/>
        </w:rPr>
      </w:pPr>
      <w:r>
        <w:rPr>
          <w:rFonts w:hint="eastAsia" w:ascii="宋体" w:hAnsi="宋体" w:cs="宋体"/>
        </w:rPr>
        <w:t>1.5本磋商文件仅适用于采购人组织的本次磋商活动。</w:t>
      </w:r>
    </w:p>
    <w:p w14:paraId="1F311095">
      <w:pPr>
        <w:spacing w:line="600" w:lineRule="exact"/>
        <w:ind w:firstLine="480" w:firstLineChars="200"/>
        <w:rPr>
          <w:rFonts w:ascii="宋体" w:hAnsi="宋体" w:cs="宋体"/>
        </w:rPr>
      </w:pPr>
      <w:r>
        <w:rPr>
          <w:rFonts w:hint="eastAsia" w:ascii="宋体" w:hAnsi="宋体" w:cs="宋体"/>
        </w:rPr>
        <w:t>1.6本磋商文件包括本文所列内容及按本须知发出的全部和补充资料。供应商应认真阅读本磋商文件中所有的事项、格式、条款、技术规范等实质性的条件和要求。供应商被视为充分熟悉本采购项目的全部内容及与履行合同有关的全部内容，熟悉磋商文件的格式、条件和范围。供应商没有按照磋商文件的要求提交相关资料，或者供应商没有对磋商文件相关内容都做出实质性响应是供应商的风险，并可能导致其响应无效。</w:t>
      </w:r>
    </w:p>
    <w:p w14:paraId="7737FC1F">
      <w:pPr>
        <w:pStyle w:val="8"/>
        <w:snapToGrid w:val="0"/>
        <w:spacing w:line="600" w:lineRule="exact"/>
        <w:ind w:firstLine="0"/>
        <w:rPr>
          <w:rFonts w:ascii="宋体" w:hAnsi="宋体" w:cs="宋体"/>
          <w:b/>
        </w:rPr>
      </w:pPr>
      <w:bookmarkStart w:id="63" w:name="_Toc267320062"/>
      <w:r>
        <w:rPr>
          <w:rFonts w:hint="eastAsia" w:ascii="宋体" w:hAnsi="宋体" w:cs="宋体"/>
          <w:b/>
        </w:rPr>
        <w:t>2、</w:t>
      </w:r>
      <w:bookmarkEnd w:id="63"/>
      <w:r>
        <w:rPr>
          <w:rFonts w:hint="eastAsia" w:ascii="宋体" w:hAnsi="宋体" w:cs="宋体"/>
          <w:b/>
        </w:rPr>
        <w:t>供应商资格要求：</w:t>
      </w:r>
      <w:r>
        <w:rPr>
          <w:rFonts w:hint="eastAsia" w:ascii="宋体" w:hAnsi="宋体" w:cs="宋体"/>
          <w:szCs w:val="24"/>
        </w:rPr>
        <w:t>详见第一章“二、申请人的资格要求：”内容。</w:t>
      </w:r>
    </w:p>
    <w:p w14:paraId="55AAFC90">
      <w:pPr>
        <w:spacing w:line="600" w:lineRule="exact"/>
        <w:rPr>
          <w:rFonts w:ascii="宋体" w:hAnsi="宋体" w:cs="宋体"/>
          <w:b/>
        </w:rPr>
      </w:pPr>
      <w:r>
        <w:rPr>
          <w:rFonts w:hint="eastAsia" w:ascii="宋体" w:hAnsi="宋体" w:cs="宋体"/>
          <w:b/>
        </w:rPr>
        <w:t>3、供应商限制</w:t>
      </w:r>
    </w:p>
    <w:p w14:paraId="4D6319F1">
      <w:pPr>
        <w:snapToGrid w:val="0"/>
        <w:spacing w:line="600" w:lineRule="exact"/>
        <w:ind w:firstLine="480" w:firstLineChars="200"/>
        <w:rPr>
          <w:rFonts w:ascii="宋体" w:hAnsi="宋体" w:cs="宋体"/>
        </w:rPr>
      </w:pPr>
      <w:r>
        <w:rPr>
          <w:rFonts w:hint="eastAsia" w:ascii="宋体" w:hAnsi="宋体" w:cs="宋体"/>
        </w:rPr>
        <w:t>3.1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14:paraId="12FAF8A5">
      <w:pPr>
        <w:spacing w:line="600" w:lineRule="exact"/>
        <w:ind w:firstLine="480" w:firstLineChars="200"/>
        <w:rPr>
          <w:rFonts w:ascii="宋体" w:hAnsi="宋体" w:cs="宋体"/>
        </w:rPr>
      </w:pPr>
      <w:r>
        <w:rPr>
          <w:rFonts w:hint="eastAsia" w:ascii="宋体" w:hAnsi="宋体" w:cs="宋体"/>
        </w:rPr>
        <w:t>3.2利害关系代理人处理，2家以上的供应商不得在同一合同项下的采购项目中，同时委托同一个自然人、同一家庭的人员、同一单位的人员作为其代理人，否则，其响应文件作为无效处理。</w:t>
      </w:r>
    </w:p>
    <w:p w14:paraId="773E0AAA">
      <w:pPr>
        <w:spacing w:line="600" w:lineRule="exact"/>
        <w:ind w:firstLine="480" w:firstLineChars="200"/>
        <w:rPr>
          <w:rFonts w:ascii="宋体" w:hAnsi="宋体" w:cs="宋体"/>
        </w:rPr>
      </w:pPr>
      <w:r>
        <w:rPr>
          <w:rFonts w:hint="eastAsia" w:ascii="宋体" w:hAnsi="宋体" w:cs="宋体"/>
        </w:rPr>
        <w:t>3.3单位负责人为同一人或者存在直接控股、管理关系的不同供应商，不得参加同一合同项下的政府采购活动；为本项目提供整体设计、规范编制或者项目管理、监理、检测等服务的供应商，不得再参加该项目的其他采购活动；</w:t>
      </w:r>
    </w:p>
    <w:p w14:paraId="201933B6">
      <w:pPr>
        <w:spacing w:line="600" w:lineRule="exact"/>
        <w:ind w:firstLine="480" w:firstLineChars="200"/>
        <w:rPr>
          <w:rFonts w:ascii="宋体" w:hAnsi="宋体" w:cs="宋体"/>
        </w:rPr>
      </w:pPr>
      <w:r>
        <w:rPr>
          <w:rFonts w:hint="eastAsia" w:ascii="宋体" w:hAnsi="宋体" w:cs="宋体"/>
        </w:rPr>
        <w:t>3.4磋商文件中未明确规定允许进口产品参加的，均视为拒绝进口产品参加。（进口产品是指通过中国海关报关验放进入中国境内且产自关境外的产品，不包括香港、澳门和台湾金马等单独关境地区）。</w:t>
      </w:r>
    </w:p>
    <w:p w14:paraId="505A1E33">
      <w:pPr>
        <w:spacing w:line="600" w:lineRule="exact"/>
        <w:rPr>
          <w:rFonts w:ascii="宋体" w:hAnsi="宋体" w:cs="宋体"/>
          <w:b/>
        </w:rPr>
      </w:pPr>
      <w:r>
        <w:rPr>
          <w:rFonts w:hint="eastAsia" w:ascii="宋体" w:hAnsi="宋体" w:cs="宋体"/>
          <w:b/>
        </w:rPr>
        <w:t>4、供应商的风险</w:t>
      </w:r>
    </w:p>
    <w:p w14:paraId="2ABADE7B">
      <w:pPr>
        <w:spacing w:line="600" w:lineRule="exact"/>
        <w:ind w:firstLine="480" w:firstLineChars="200"/>
        <w:rPr>
          <w:rFonts w:ascii="宋体" w:hAnsi="宋体" w:cs="宋体"/>
        </w:rPr>
      </w:pPr>
      <w:r>
        <w:rPr>
          <w:rFonts w:hint="eastAsia" w:ascii="宋体" w:hAnsi="宋体" w:cs="宋体"/>
        </w:rPr>
        <w:t>4.1如响应代表是法定代表人</w:t>
      </w:r>
      <w:r>
        <w:rPr>
          <w:rFonts w:hint="eastAsia" w:ascii="宋体" w:hAnsi="宋体" w:cs="宋体"/>
          <w:kern w:val="0"/>
        </w:rPr>
        <w:t>/主要</w:t>
      </w:r>
      <w:r>
        <w:rPr>
          <w:rFonts w:hint="eastAsia" w:ascii="宋体" w:hAnsi="宋体" w:cs="宋体"/>
          <w:kern w:val="0"/>
          <w:lang w:val="zh-CN"/>
        </w:rPr>
        <w:t>负责人</w:t>
      </w:r>
      <w:r>
        <w:rPr>
          <w:rFonts w:hint="eastAsia" w:ascii="宋体" w:hAnsi="宋体" w:cs="宋体"/>
        </w:rPr>
        <w:t>，在递交响应文件时须出示身份证原件，并递交身份证复印件、法定代表人</w:t>
      </w:r>
      <w:r>
        <w:rPr>
          <w:rFonts w:hint="eastAsia" w:ascii="宋体" w:hAnsi="宋体" w:cs="宋体"/>
          <w:kern w:val="0"/>
        </w:rPr>
        <w:t>/主要</w:t>
      </w:r>
      <w:r>
        <w:rPr>
          <w:rFonts w:hint="eastAsia" w:ascii="宋体" w:hAnsi="宋体" w:cs="宋体"/>
          <w:kern w:val="0"/>
          <w:lang w:val="zh-CN"/>
        </w:rPr>
        <w:t>负责人身份证明书原件</w:t>
      </w:r>
      <w:r>
        <w:rPr>
          <w:rFonts w:hint="eastAsia" w:ascii="宋体" w:hAnsi="宋体" w:cs="宋体"/>
        </w:rPr>
        <w:t>，否则采购人有权</w:t>
      </w:r>
      <w:r>
        <w:rPr>
          <w:rFonts w:hint="eastAsia" w:ascii="宋体" w:hAnsi="宋体" w:cs="宋体"/>
          <w:bCs/>
        </w:rPr>
        <w:t>拒绝</w:t>
      </w:r>
      <w:r>
        <w:rPr>
          <w:rFonts w:hint="eastAsia" w:ascii="宋体" w:hAnsi="宋体" w:cs="宋体"/>
        </w:rPr>
        <w:t>响应文件。</w:t>
      </w:r>
    </w:p>
    <w:p w14:paraId="764A4966">
      <w:pPr>
        <w:spacing w:line="600" w:lineRule="exact"/>
        <w:ind w:firstLine="480" w:firstLineChars="200"/>
        <w:rPr>
          <w:rFonts w:ascii="宋体" w:hAnsi="宋体" w:cs="宋体"/>
        </w:rPr>
      </w:pPr>
      <w:r>
        <w:rPr>
          <w:rFonts w:hint="eastAsia" w:ascii="宋体" w:hAnsi="宋体" w:cs="宋体"/>
        </w:rPr>
        <w:t>4.2如响应代表不是法定代表人</w:t>
      </w:r>
      <w:r>
        <w:rPr>
          <w:rFonts w:hint="eastAsia" w:ascii="宋体" w:hAnsi="宋体" w:cs="宋体"/>
          <w:kern w:val="0"/>
        </w:rPr>
        <w:t>/主要</w:t>
      </w:r>
      <w:r>
        <w:rPr>
          <w:rFonts w:hint="eastAsia" w:ascii="宋体" w:hAnsi="宋体" w:cs="宋体"/>
          <w:kern w:val="0"/>
          <w:lang w:val="zh-CN"/>
        </w:rPr>
        <w:t>负责人</w:t>
      </w:r>
      <w:r>
        <w:rPr>
          <w:rFonts w:hint="eastAsia" w:ascii="宋体" w:hAnsi="宋体" w:cs="宋体"/>
        </w:rPr>
        <w:t>，在递交响应文件时须出示身份证原件，并递交身份证复印件、法定代表人</w:t>
      </w:r>
      <w:r>
        <w:rPr>
          <w:rFonts w:hint="eastAsia" w:ascii="宋体" w:hAnsi="宋体" w:cs="宋体"/>
          <w:kern w:val="0"/>
        </w:rPr>
        <w:t>/主要</w:t>
      </w:r>
      <w:r>
        <w:rPr>
          <w:rFonts w:hint="eastAsia" w:ascii="宋体" w:hAnsi="宋体" w:cs="宋体"/>
          <w:kern w:val="0"/>
          <w:lang w:val="zh-CN"/>
        </w:rPr>
        <w:t>负责人身份证明书原件、</w:t>
      </w:r>
      <w:r>
        <w:rPr>
          <w:rFonts w:hint="eastAsia" w:ascii="宋体" w:hAnsi="宋体" w:cs="宋体"/>
        </w:rPr>
        <w:t>法定代表人</w:t>
      </w:r>
      <w:r>
        <w:rPr>
          <w:rFonts w:hint="eastAsia" w:ascii="宋体" w:hAnsi="宋体" w:cs="宋体"/>
          <w:kern w:val="0"/>
        </w:rPr>
        <w:t>/主要</w:t>
      </w:r>
      <w:r>
        <w:rPr>
          <w:rFonts w:hint="eastAsia" w:ascii="宋体" w:hAnsi="宋体" w:cs="宋体"/>
          <w:kern w:val="0"/>
          <w:lang w:val="zh-CN"/>
        </w:rPr>
        <w:t>负责人</w:t>
      </w:r>
      <w:r>
        <w:rPr>
          <w:rFonts w:hint="eastAsia" w:ascii="宋体" w:hAnsi="宋体" w:cs="宋体"/>
        </w:rPr>
        <w:t>授权委托书原件（按磋商文件格式填写），否则采购人有权</w:t>
      </w:r>
      <w:r>
        <w:rPr>
          <w:rFonts w:hint="eastAsia" w:ascii="宋体" w:hAnsi="宋体" w:cs="宋体"/>
          <w:bCs/>
        </w:rPr>
        <w:t>拒绝</w:t>
      </w:r>
      <w:r>
        <w:rPr>
          <w:rFonts w:hint="eastAsia" w:ascii="宋体" w:hAnsi="宋体" w:cs="宋体"/>
        </w:rPr>
        <w:t>响应文件。</w:t>
      </w:r>
    </w:p>
    <w:p w14:paraId="03886F47">
      <w:pPr>
        <w:spacing w:line="600" w:lineRule="exact"/>
        <w:ind w:firstLine="480" w:firstLineChars="200"/>
        <w:rPr>
          <w:rFonts w:ascii="宋体" w:hAnsi="宋体" w:cs="宋体"/>
        </w:rPr>
      </w:pPr>
      <w:r>
        <w:rPr>
          <w:rFonts w:hint="eastAsia" w:ascii="宋体" w:hAnsi="宋体" w:cs="宋体"/>
        </w:rPr>
        <w:t>4.3供应商没有按照竞争性磋商文件的要求编制、签署、密封、标记、递交及修正响应文件的，自行承担响应无效的风险。</w:t>
      </w:r>
    </w:p>
    <w:p w14:paraId="6ACC1298">
      <w:pPr>
        <w:spacing w:line="600" w:lineRule="exact"/>
        <w:ind w:firstLine="480" w:firstLineChars="200"/>
        <w:rPr>
          <w:rFonts w:ascii="宋体" w:hAnsi="宋体" w:cs="宋体"/>
        </w:rPr>
      </w:pPr>
      <w:r>
        <w:rPr>
          <w:rFonts w:hint="eastAsia" w:ascii="宋体" w:hAnsi="宋体" w:cs="宋体"/>
        </w:rPr>
        <w:t>4.4供应商没有对竞争性磋商文件的实质性内容作出响应的，视为不合格供应商。</w:t>
      </w:r>
    </w:p>
    <w:p w14:paraId="2431640B">
      <w:pPr>
        <w:spacing w:line="600" w:lineRule="exact"/>
        <w:ind w:firstLine="480" w:firstLineChars="200"/>
        <w:rPr>
          <w:rFonts w:ascii="宋体" w:hAnsi="宋体" w:cs="宋体"/>
        </w:rPr>
      </w:pPr>
      <w:r>
        <w:rPr>
          <w:rFonts w:hint="eastAsia" w:ascii="宋体" w:hAnsi="宋体" w:cs="宋体"/>
        </w:rPr>
        <w:t>4.5供应商提交的响应文件内容有下列情形之一的，一经发现，采购代理机构或采购人在任何时候都有权依法追究供应商的责任：</w:t>
      </w:r>
    </w:p>
    <w:p w14:paraId="0683B3EB">
      <w:pPr>
        <w:spacing w:line="600" w:lineRule="exact"/>
        <w:ind w:firstLine="480" w:firstLineChars="200"/>
        <w:rPr>
          <w:rFonts w:ascii="宋体" w:hAnsi="宋体" w:cs="宋体"/>
        </w:rPr>
      </w:pPr>
      <w:r>
        <w:rPr>
          <w:rFonts w:hint="eastAsia" w:ascii="宋体" w:hAnsi="宋体" w:cs="宋体"/>
        </w:rPr>
        <w:t>（1）提供虚假的资料。</w:t>
      </w:r>
    </w:p>
    <w:p w14:paraId="45C75B9D">
      <w:pPr>
        <w:spacing w:line="600" w:lineRule="exact"/>
        <w:ind w:firstLine="480" w:firstLineChars="200"/>
        <w:rPr>
          <w:rFonts w:ascii="宋体" w:hAnsi="宋体" w:cs="宋体"/>
        </w:rPr>
      </w:pPr>
      <w:r>
        <w:rPr>
          <w:rFonts w:hint="eastAsia" w:ascii="宋体" w:hAnsi="宋体" w:cs="宋体"/>
        </w:rPr>
        <w:t>（2）在实质性方面失实。</w:t>
      </w:r>
    </w:p>
    <w:p w14:paraId="483529BE">
      <w:pPr>
        <w:spacing w:line="600" w:lineRule="exact"/>
        <w:rPr>
          <w:rFonts w:ascii="宋体" w:hAnsi="宋体" w:cs="宋体"/>
          <w:b/>
        </w:rPr>
      </w:pPr>
      <w:r>
        <w:rPr>
          <w:rFonts w:hint="eastAsia" w:ascii="宋体" w:hAnsi="宋体" w:cs="宋体"/>
          <w:b/>
        </w:rPr>
        <w:t>5、政府采购政策</w:t>
      </w:r>
    </w:p>
    <w:p w14:paraId="2F3BEB77">
      <w:pPr>
        <w:spacing w:line="600" w:lineRule="exact"/>
        <w:ind w:firstLine="480" w:firstLineChars="200"/>
        <w:rPr>
          <w:rFonts w:ascii="宋体" w:hAnsi="宋体" w:cs="宋体"/>
        </w:rPr>
      </w:pPr>
      <w:r>
        <w:rPr>
          <w:rFonts w:hint="eastAsia" w:ascii="宋体" w:hAnsi="宋体" w:cs="宋体"/>
        </w:rPr>
        <w:t>5.1小微企业（监狱企业、残疾人福利性单位视同小微企业）价格扣除。</w:t>
      </w:r>
    </w:p>
    <w:p w14:paraId="60AC9EED">
      <w:pPr>
        <w:spacing w:line="600" w:lineRule="exact"/>
        <w:ind w:firstLine="480" w:firstLineChars="200"/>
        <w:rPr>
          <w:rFonts w:ascii="宋体" w:hAnsi="宋体" w:cs="宋体"/>
        </w:rPr>
      </w:pPr>
      <w:r>
        <w:rPr>
          <w:rFonts w:hint="eastAsia" w:ascii="宋体" w:hAnsi="宋体" w:cs="宋体"/>
        </w:rPr>
        <w:t>根据《政府采购促进中小企业发展管理办法》的规定，对符合要求的小型和微型企业供应商的报价给予10%的价格扣除，用扣除后的价格参与评审。享受政策优惠的小型、微型供应商须提供《中小企业声明函》原件，未提供的视为放弃享受小微企业价格扣除优惠政策。</w:t>
      </w:r>
    </w:p>
    <w:p w14:paraId="2518CA35">
      <w:pPr>
        <w:spacing w:line="600" w:lineRule="exact"/>
        <w:ind w:firstLine="480" w:firstLineChars="200"/>
        <w:rPr>
          <w:rFonts w:ascii="宋体" w:hAnsi="宋体" w:cs="宋体"/>
        </w:rPr>
      </w:pPr>
      <w:r>
        <w:rPr>
          <w:rFonts w:hint="eastAsia" w:ascii="宋体" w:hAnsi="宋体" w:cs="宋体"/>
        </w:rPr>
        <w:t xml:space="preserve">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4%的价格扣除。 </w:t>
      </w:r>
    </w:p>
    <w:p w14:paraId="45F600D6">
      <w:pPr>
        <w:spacing w:line="600" w:lineRule="exact"/>
        <w:ind w:firstLine="480" w:firstLineChars="200"/>
        <w:rPr>
          <w:rFonts w:ascii="宋体" w:hAnsi="宋体" w:cs="宋体"/>
        </w:rPr>
      </w:pPr>
      <w:r>
        <w:rPr>
          <w:rFonts w:hint="eastAsia" w:ascii="宋体" w:hAnsi="宋体" w:cs="宋体"/>
        </w:rPr>
        <w:t>5.2参加政府采购活动的残疾人福利性单位应当提供《残疾人福利性单位声明函》原件，未提供的视为放弃享受小微企业价格扣除优惠政策。残疾人福利性单位属于小型、微型企业的，不重复享受政策。</w:t>
      </w:r>
    </w:p>
    <w:p w14:paraId="049835E4">
      <w:pPr>
        <w:spacing w:line="600" w:lineRule="exact"/>
        <w:ind w:firstLine="480" w:firstLineChars="200"/>
        <w:rPr>
          <w:rFonts w:ascii="宋体" w:hAnsi="宋体" w:cs="宋体"/>
        </w:rPr>
      </w:pPr>
      <w:r>
        <w:rPr>
          <w:rFonts w:hint="eastAsia" w:ascii="宋体" w:hAnsi="宋体" w:cs="宋体"/>
        </w:rPr>
        <w:t>5.3根据《</w:t>
      </w:r>
      <w:r>
        <w:rPr>
          <w:rFonts w:hint="eastAsia" w:ascii="宋体" w:hAnsi="宋体" w:cs="宋体"/>
          <w:u w:color="000000"/>
        </w:rPr>
        <w:t>关于政府采购支持监狱企业发展有关问题的通知书</w:t>
      </w:r>
      <w:r>
        <w:rPr>
          <w:rFonts w:hint="eastAsia" w:ascii="宋体" w:hAnsi="宋体" w:cs="宋体"/>
        </w:rPr>
        <w:t>》的规定，在政府采购活动中，监狱企业视同小型、微型企业。（提供由省级以上监狱管理局、戒毒管理局（含新疆生产建设兵团）出具的属于监狱企业的证明文件）。</w:t>
      </w:r>
    </w:p>
    <w:p w14:paraId="110027BC">
      <w:pPr>
        <w:spacing w:line="600" w:lineRule="exact"/>
        <w:ind w:firstLine="480" w:firstLineChars="200"/>
        <w:rPr>
          <w:rFonts w:ascii="宋体" w:hAnsi="宋体" w:cs="宋体"/>
        </w:rPr>
      </w:pPr>
      <w:r>
        <w:rPr>
          <w:rFonts w:hint="eastAsia" w:ascii="宋体" w:hAnsi="宋体" w:cs="宋体"/>
        </w:rPr>
        <w:t>5.4严格执行《财政部 发展改革委 生态环境部 市场监管总局关于调整优化节能产品、环境标志产品政府采购执行机制的通知》（财库〔2019〕9号），若采购产品类别属于政府强制采购产品类别的，须按照要求提供依据国家确定的认证机构出具的、处于有效期之内的节能产品或环境标志产品认证证书，否则报价无效；属于政府优先采购产品类别的，须按照要求提供依据国家确定的认证机构出具的、处于有效期之内的节能产品或环境标志产品认证证书，否则不予认定。</w:t>
      </w:r>
    </w:p>
    <w:p w14:paraId="410FF8C2">
      <w:pPr>
        <w:snapToGrid w:val="0"/>
        <w:spacing w:line="600" w:lineRule="exact"/>
        <w:ind w:firstLine="480" w:firstLineChars="200"/>
        <w:jc w:val="left"/>
        <w:rPr>
          <w:rFonts w:ascii="宋体" w:hAnsi="宋体" w:cs="宋体"/>
        </w:rPr>
      </w:pPr>
      <w:r>
        <w:rPr>
          <w:rFonts w:hint="eastAsia" w:ascii="宋体" w:hAnsi="宋体" w:cs="宋体"/>
        </w:rPr>
        <w:t>所投产品属于政府优先采购产品类别的，其总报价给予2%的价格折扣参与评审，用扣除后的价格参与评审，如果已在评审总分值加分，将不再调整价格折扣。</w:t>
      </w:r>
    </w:p>
    <w:p w14:paraId="77DFAA55">
      <w:pPr>
        <w:spacing w:line="600" w:lineRule="exact"/>
        <w:ind w:firstLine="480" w:firstLineChars="200"/>
        <w:rPr>
          <w:rFonts w:ascii="宋体" w:hAnsi="宋体" w:cs="宋体"/>
        </w:rPr>
      </w:pPr>
      <w:r>
        <w:rPr>
          <w:rFonts w:hint="eastAsia" w:ascii="宋体" w:hAnsi="宋体" w:cs="宋体"/>
        </w:rPr>
        <w:t>5.5信息安全产品，需提供由中国信息安全认证中心按国家标准认证颁发的有效认证证书，响应应符合《关于信息安全产品实施政府采购的通知》（财库【2010】48号）要求。</w:t>
      </w:r>
    </w:p>
    <w:p w14:paraId="52FEB19C">
      <w:pPr>
        <w:spacing w:line="600" w:lineRule="exact"/>
        <w:rPr>
          <w:rFonts w:ascii="宋体" w:hAnsi="宋体" w:cs="宋体"/>
          <w:b/>
          <w:bCs/>
        </w:rPr>
      </w:pPr>
      <w:r>
        <w:rPr>
          <w:rFonts w:hint="eastAsia" w:ascii="宋体" w:hAnsi="宋体" w:cs="宋体"/>
          <w:b/>
          <w:bCs/>
        </w:rPr>
        <w:t>6、费用</w:t>
      </w:r>
    </w:p>
    <w:p w14:paraId="58FEB71F">
      <w:pPr>
        <w:spacing w:line="600" w:lineRule="exact"/>
        <w:ind w:firstLine="480" w:firstLineChars="200"/>
        <w:rPr>
          <w:rFonts w:ascii="宋体" w:hAnsi="宋体" w:cs="宋体"/>
        </w:rPr>
      </w:pPr>
      <w:r>
        <w:rPr>
          <w:rFonts w:hint="eastAsia" w:ascii="宋体" w:hAnsi="宋体" w:cs="宋体"/>
        </w:rPr>
        <w:t>6.1供应商应承担其编制响应文件与递交响应文件等磋商过程中所涉及的一切费用，不论磋商结果如何，采购人及采购代理机构将不予承担。</w:t>
      </w:r>
    </w:p>
    <w:p w14:paraId="547963D3">
      <w:pPr>
        <w:spacing w:line="600" w:lineRule="exact"/>
        <w:ind w:firstLine="480" w:firstLineChars="200"/>
        <w:rPr>
          <w:rFonts w:ascii="宋体" w:hAnsi="宋体" w:cs="宋体"/>
        </w:rPr>
      </w:pPr>
      <w:r>
        <w:rPr>
          <w:rFonts w:hint="eastAsia" w:ascii="宋体" w:hAnsi="宋体" w:cs="宋体"/>
        </w:rPr>
        <w:t>6.2供应商的报价须充分考虑采购过程中产生的费用，不论成交与否，采购人均不予以补偿。</w:t>
      </w:r>
    </w:p>
    <w:p w14:paraId="73FA34A8">
      <w:pPr>
        <w:spacing w:line="600" w:lineRule="exact"/>
        <w:ind w:firstLine="482" w:firstLineChars="200"/>
        <w:rPr>
          <w:rFonts w:ascii="宋体" w:hAnsi="宋体" w:cs="宋体"/>
          <w:b/>
          <w:bCs/>
        </w:rPr>
      </w:pPr>
      <w:r>
        <w:rPr>
          <w:rFonts w:hint="eastAsia" w:ascii="宋体" w:hAnsi="宋体" w:cs="宋体"/>
          <w:b/>
          <w:bCs/>
        </w:rPr>
        <w:t>6.3本项目的代理服务费按《海南省物价局关于降低部分招标代理服务收费标准》(琼价费管〔2011〕225号)文件规定的收费标准下浮5%计取，即人民币11578.00元（大写：壹万壹仟伍佰柒拾元整），由中标(成交)供应商支付。支付时间：在签发《成交通知书》前一次性付清。</w:t>
      </w:r>
    </w:p>
    <w:p w14:paraId="1955DFE4">
      <w:pPr>
        <w:snapToGrid w:val="0"/>
        <w:spacing w:line="600" w:lineRule="exact"/>
        <w:jc w:val="center"/>
        <w:outlineLvl w:val="1"/>
        <w:rPr>
          <w:rFonts w:ascii="宋体" w:hAnsi="宋体" w:cs="宋体"/>
          <w:b/>
          <w:kern w:val="0"/>
        </w:rPr>
      </w:pPr>
      <w:bookmarkStart w:id="64" w:name="_Toc246826107"/>
      <w:r>
        <w:rPr>
          <w:rFonts w:hint="eastAsia" w:ascii="宋体" w:hAnsi="宋体" w:cs="宋体"/>
          <w:b/>
          <w:kern w:val="0"/>
        </w:rPr>
        <w:t>二、</w:t>
      </w:r>
      <w:bookmarkEnd w:id="64"/>
      <w:r>
        <w:rPr>
          <w:rFonts w:hint="eastAsia" w:ascii="宋体" w:hAnsi="宋体" w:cs="宋体"/>
          <w:b/>
          <w:kern w:val="0"/>
        </w:rPr>
        <w:t>竞争性磋商文件</w:t>
      </w:r>
    </w:p>
    <w:p w14:paraId="7192CE04">
      <w:pPr>
        <w:snapToGrid w:val="0"/>
        <w:spacing w:line="600" w:lineRule="exact"/>
        <w:ind w:firstLine="482" w:firstLineChars="200"/>
        <w:rPr>
          <w:rFonts w:ascii="宋体" w:hAnsi="宋体" w:cs="宋体"/>
          <w:b/>
          <w:bCs/>
        </w:rPr>
      </w:pPr>
      <w:r>
        <w:rPr>
          <w:rFonts w:hint="eastAsia" w:ascii="宋体" w:hAnsi="宋体" w:cs="宋体"/>
          <w:b/>
          <w:bCs/>
        </w:rPr>
        <w:t>1、竞争性磋商文件的组成</w:t>
      </w:r>
    </w:p>
    <w:p w14:paraId="0466D21A">
      <w:pPr>
        <w:snapToGrid w:val="0"/>
        <w:spacing w:line="600" w:lineRule="exact"/>
        <w:ind w:firstLine="480" w:firstLineChars="200"/>
        <w:rPr>
          <w:rFonts w:ascii="宋体" w:hAnsi="宋体" w:cs="宋体"/>
        </w:rPr>
      </w:pPr>
      <w:r>
        <w:rPr>
          <w:rFonts w:hint="eastAsia" w:ascii="宋体" w:hAnsi="宋体" w:cs="宋体"/>
        </w:rPr>
        <w:t>竞争性磋商文件用以阐明供应商准备响应文件所必须的信息，以及响应、磋商、评审和签订合同等有关规定。请仔细检查磋商文件是否齐全，如有缺漏，请立即与采购代理机构联系解决。竞争性磋商文件由下述部分组成：</w:t>
      </w:r>
    </w:p>
    <w:p w14:paraId="60BDD952">
      <w:pPr>
        <w:spacing w:line="600" w:lineRule="exact"/>
        <w:ind w:firstLine="480" w:firstLineChars="200"/>
        <w:rPr>
          <w:rFonts w:ascii="宋体" w:hAnsi="宋体" w:cs="宋体"/>
        </w:rPr>
      </w:pPr>
      <w:r>
        <w:rPr>
          <w:rFonts w:hint="eastAsia" w:ascii="宋体" w:hAnsi="宋体" w:cs="宋体"/>
        </w:rPr>
        <w:t>（1）竞争性磋商公告</w:t>
      </w:r>
    </w:p>
    <w:p w14:paraId="16BF7BAC">
      <w:pPr>
        <w:spacing w:line="600" w:lineRule="exact"/>
        <w:ind w:firstLine="480" w:firstLineChars="200"/>
        <w:rPr>
          <w:rFonts w:ascii="宋体" w:hAnsi="宋体" w:cs="宋体"/>
        </w:rPr>
      </w:pPr>
      <w:r>
        <w:rPr>
          <w:rFonts w:hint="eastAsia" w:ascii="宋体" w:hAnsi="宋体" w:cs="宋体"/>
        </w:rPr>
        <w:t>（2）供应商须知</w:t>
      </w:r>
    </w:p>
    <w:p w14:paraId="103BD23D">
      <w:pPr>
        <w:spacing w:line="600" w:lineRule="exact"/>
        <w:ind w:firstLine="480" w:firstLineChars="200"/>
        <w:rPr>
          <w:rFonts w:ascii="宋体" w:hAnsi="宋体" w:cs="宋体"/>
        </w:rPr>
      </w:pPr>
      <w:r>
        <w:rPr>
          <w:rFonts w:hint="eastAsia" w:ascii="宋体" w:hAnsi="宋体" w:cs="宋体"/>
        </w:rPr>
        <w:t>（3）采购需求</w:t>
      </w:r>
    </w:p>
    <w:p w14:paraId="7EFC3C56">
      <w:pPr>
        <w:spacing w:line="600" w:lineRule="exact"/>
        <w:ind w:firstLine="480" w:firstLineChars="200"/>
        <w:rPr>
          <w:rFonts w:ascii="宋体" w:hAnsi="宋体" w:cs="宋体"/>
        </w:rPr>
      </w:pPr>
      <w:r>
        <w:rPr>
          <w:rFonts w:hint="eastAsia" w:ascii="宋体" w:hAnsi="宋体" w:cs="宋体"/>
        </w:rPr>
        <w:t>（4）审查标准和评审标准</w:t>
      </w:r>
    </w:p>
    <w:p w14:paraId="5DC5B006">
      <w:pPr>
        <w:spacing w:line="600" w:lineRule="exact"/>
        <w:ind w:firstLine="480" w:firstLineChars="200"/>
        <w:rPr>
          <w:rFonts w:ascii="宋体" w:hAnsi="宋体" w:cs="宋体"/>
        </w:rPr>
      </w:pPr>
      <w:r>
        <w:rPr>
          <w:rFonts w:hint="eastAsia" w:ascii="宋体" w:hAnsi="宋体" w:cs="宋体"/>
        </w:rPr>
        <w:t>（5）拟签订的合同文本（参考文本）</w:t>
      </w:r>
    </w:p>
    <w:p w14:paraId="61EE364E">
      <w:pPr>
        <w:spacing w:line="600" w:lineRule="exact"/>
        <w:ind w:firstLine="480" w:firstLineChars="200"/>
        <w:rPr>
          <w:rFonts w:ascii="宋体" w:hAnsi="宋体" w:cs="宋体"/>
        </w:rPr>
      </w:pPr>
      <w:r>
        <w:rPr>
          <w:rFonts w:hint="eastAsia" w:ascii="宋体" w:hAnsi="宋体" w:cs="宋体"/>
        </w:rPr>
        <w:t>（6）响应文件格式及附件</w:t>
      </w:r>
    </w:p>
    <w:p w14:paraId="236E6A3F">
      <w:pPr>
        <w:spacing w:line="600" w:lineRule="exact"/>
        <w:ind w:firstLine="482" w:firstLineChars="200"/>
        <w:rPr>
          <w:rFonts w:ascii="宋体" w:hAnsi="宋体" w:cs="宋体"/>
          <w:b/>
          <w:bCs/>
        </w:rPr>
      </w:pPr>
      <w:bookmarkStart w:id="65" w:name="_Toc183682348"/>
      <w:bookmarkStart w:id="66" w:name="_Toc183582211"/>
      <w:bookmarkStart w:id="67" w:name="_Toc217446040"/>
      <w:r>
        <w:rPr>
          <w:rFonts w:hint="eastAsia" w:ascii="宋体" w:hAnsi="宋体" w:cs="宋体"/>
          <w:b/>
          <w:bCs/>
        </w:rPr>
        <w:t>2、竞争性磋商文件的澄清</w:t>
      </w:r>
      <w:bookmarkEnd w:id="65"/>
      <w:bookmarkEnd w:id="66"/>
      <w:r>
        <w:rPr>
          <w:rFonts w:hint="eastAsia" w:ascii="宋体" w:hAnsi="宋体" w:cs="宋体"/>
          <w:b/>
          <w:bCs/>
        </w:rPr>
        <w:t>和修改</w:t>
      </w:r>
      <w:bookmarkEnd w:id="67"/>
    </w:p>
    <w:p w14:paraId="73CD68BF">
      <w:pPr>
        <w:spacing w:line="600" w:lineRule="exact"/>
        <w:ind w:firstLine="480" w:firstLineChars="200"/>
        <w:rPr>
          <w:rFonts w:ascii="宋体" w:hAnsi="宋体" w:cs="宋体"/>
        </w:rPr>
      </w:pPr>
      <w:bookmarkStart w:id="68" w:name="_Toc208848971"/>
      <w:bookmarkStart w:id="69" w:name="_Toc217446041"/>
      <w:r>
        <w:rPr>
          <w:rFonts w:hint="eastAsia" w:ascii="宋体" w:hAnsi="宋体" w:cs="宋体"/>
        </w:rPr>
        <w:t>2.1在提交首次响应文件截止之日前，采购人、采购代理机构可以对竞争性磋商文件进行必要的补遗、澄清或修改；补遗、澄清或修改内容可能影响响应文件编制的，采购代理机构须在首次递交响应文件截止时间至少5日前，在原公告发布媒体上发布澄清公告；</w:t>
      </w:r>
    </w:p>
    <w:p w14:paraId="74DC6315">
      <w:pPr>
        <w:spacing w:line="600" w:lineRule="exact"/>
        <w:ind w:firstLine="480" w:firstLineChars="200"/>
        <w:rPr>
          <w:rFonts w:ascii="宋体" w:hAnsi="宋体" w:cs="宋体"/>
        </w:rPr>
      </w:pPr>
      <w:r>
        <w:rPr>
          <w:rFonts w:hint="eastAsia" w:ascii="宋体" w:hAnsi="宋体" w:cs="宋体"/>
        </w:rPr>
        <w:t>2.2磋商文件与更正公告的内容相互矛盾时，以最后发出的更正公告为准。</w:t>
      </w:r>
    </w:p>
    <w:bookmarkEnd w:id="68"/>
    <w:bookmarkEnd w:id="69"/>
    <w:p w14:paraId="1B58A869">
      <w:pPr>
        <w:snapToGrid w:val="0"/>
        <w:spacing w:line="600" w:lineRule="exact"/>
        <w:jc w:val="center"/>
        <w:outlineLvl w:val="1"/>
        <w:rPr>
          <w:rFonts w:ascii="宋体" w:hAnsi="宋体" w:cs="宋体"/>
          <w:b/>
          <w:kern w:val="0"/>
        </w:rPr>
      </w:pPr>
      <w:r>
        <w:rPr>
          <w:rFonts w:hint="eastAsia" w:ascii="宋体" w:hAnsi="宋体" w:cs="宋体"/>
          <w:b/>
          <w:kern w:val="0"/>
        </w:rPr>
        <w:t>三、响应文件</w:t>
      </w:r>
    </w:p>
    <w:p w14:paraId="77704E91">
      <w:pPr>
        <w:pStyle w:val="58"/>
        <w:spacing w:line="600" w:lineRule="exact"/>
        <w:ind w:firstLine="482"/>
        <w:rPr>
          <w:rFonts w:ascii="宋体" w:hAnsi="宋体" w:cs="宋体"/>
          <w:b/>
          <w:bCs/>
          <w:szCs w:val="24"/>
        </w:rPr>
      </w:pPr>
      <w:r>
        <w:rPr>
          <w:rFonts w:hint="eastAsia" w:ascii="宋体" w:hAnsi="宋体" w:cs="宋体"/>
          <w:b/>
          <w:bCs/>
          <w:szCs w:val="24"/>
        </w:rPr>
        <w:t>1、响应文件的语言和计量单位</w:t>
      </w:r>
    </w:p>
    <w:p w14:paraId="294EFBCE">
      <w:pPr>
        <w:pStyle w:val="58"/>
        <w:spacing w:line="600" w:lineRule="exact"/>
        <w:ind w:firstLine="480"/>
        <w:rPr>
          <w:rFonts w:ascii="宋体" w:hAnsi="宋体" w:cs="宋体"/>
          <w:szCs w:val="24"/>
        </w:rPr>
      </w:pPr>
      <w:r>
        <w:rPr>
          <w:rFonts w:hint="eastAsia" w:ascii="宋体" w:hAnsi="宋体" w:cs="宋体"/>
          <w:szCs w:val="24"/>
        </w:rPr>
        <w:t>1.1 供应商提交的响应文件（包括技术文件和资料、图纸中的说明）以及供应商与采购人或采购代理机构就有关响应的所有来往函电均应使用中文简体字。原版为外文的证书类文件，以及由外国人作出的本人签名、外国公司的名称或外国印章等可以是外文，但应当提供中文翻译文件（可以是复印件）并加盖供应商公章。原版为外文的证书类、证明类文件，与供应商名称或其他实际情况不符的，供应商应当提供相关证明文件。</w:t>
      </w:r>
    </w:p>
    <w:p w14:paraId="11B19667">
      <w:pPr>
        <w:pStyle w:val="58"/>
        <w:spacing w:line="600" w:lineRule="exact"/>
        <w:ind w:firstLine="480"/>
        <w:rPr>
          <w:rFonts w:ascii="宋体" w:hAnsi="宋体" w:cs="宋体"/>
          <w:szCs w:val="24"/>
        </w:rPr>
      </w:pPr>
      <w:r>
        <w:rPr>
          <w:rFonts w:hint="eastAsia" w:ascii="宋体" w:hAnsi="宋体" w:cs="宋体"/>
          <w:szCs w:val="24"/>
        </w:rPr>
        <w:t>1.2计量单位：除技术规格及要求中另有规定外，本采购项下的响应均采用国家法定的计量单位。</w:t>
      </w:r>
    </w:p>
    <w:p w14:paraId="17942863">
      <w:pPr>
        <w:pStyle w:val="58"/>
        <w:spacing w:line="600" w:lineRule="exact"/>
        <w:ind w:firstLine="480"/>
        <w:rPr>
          <w:rFonts w:ascii="宋体" w:hAnsi="宋体" w:cs="宋体"/>
          <w:szCs w:val="24"/>
        </w:rPr>
      </w:pPr>
      <w:r>
        <w:rPr>
          <w:rFonts w:hint="eastAsia" w:ascii="宋体" w:hAnsi="宋体" w:cs="宋体"/>
          <w:szCs w:val="24"/>
        </w:rPr>
        <w:t>1.3货币单位：本次采购项目的响应均以人民币报价。</w:t>
      </w:r>
    </w:p>
    <w:p w14:paraId="52328415">
      <w:pPr>
        <w:pStyle w:val="58"/>
        <w:spacing w:line="600" w:lineRule="exact"/>
        <w:ind w:firstLine="480"/>
        <w:rPr>
          <w:rFonts w:ascii="宋体" w:hAnsi="宋体" w:cs="宋体"/>
          <w:szCs w:val="24"/>
        </w:rPr>
      </w:pPr>
      <w:r>
        <w:rPr>
          <w:rFonts w:hint="eastAsia" w:ascii="宋体" w:hAnsi="宋体" w:cs="宋体"/>
          <w:szCs w:val="24"/>
        </w:rPr>
        <w:t>1.4 本磋商文件所表述的时间均为北京时间。</w:t>
      </w:r>
    </w:p>
    <w:p w14:paraId="5AA3780F">
      <w:pPr>
        <w:pStyle w:val="58"/>
        <w:spacing w:line="600" w:lineRule="exact"/>
        <w:ind w:firstLine="482"/>
        <w:rPr>
          <w:rFonts w:ascii="宋体" w:hAnsi="宋体" w:cs="宋体"/>
          <w:b/>
          <w:bCs/>
          <w:szCs w:val="24"/>
        </w:rPr>
      </w:pPr>
      <w:r>
        <w:rPr>
          <w:rFonts w:hint="eastAsia" w:ascii="宋体" w:hAnsi="宋体" w:cs="宋体"/>
          <w:b/>
          <w:bCs/>
          <w:szCs w:val="24"/>
        </w:rPr>
        <w:t>2、响应文件编制</w:t>
      </w:r>
    </w:p>
    <w:p w14:paraId="1B134E6E">
      <w:pPr>
        <w:spacing w:line="600" w:lineRule="exact"/>
        <w:ind w:firstLine="480" w:firstLineChars="200"/>
        <w:rPr>
          <w:rFonts w:ascii="宋体" w:hAnsi="宋体" w:cs="宋体"/>
        </w:rPr>
      </w:pPr>
      <w:r>
        <w:rPr>
          <w:rFonts w:hint="eastAsia" w:ascii="宋体" w:hAnsi="宋体" w:cs="宋体"/>
        </w:rPr>
        <w:t>2.1响应文件的组成见第六章“响应文件格式”，供应商应按磋商文件第六章“响应文件格式”要求编制，胶装牢固不可拆卸。由于编排混乱导致响应文件被误读或查找不到，责任应当由供应商承担。</w:t>
      </w:r>
    </w:p>
    <w:p w14:paraId="6F3AB649">
      <w:pPr>
        <w:pStyle w:val="58"/>
        <w:spacing w:line="600" w:lineRule="exact"/>
        <w:ind w:firstLine="480"/>
        <w:rPr>
          <w:rFonts w:ascii="宋体" w:hAnsi="宋体" w:cs="宋体"/>
          <w:szCs w:val="24"/>
        </w:rPr>
      </w:pPr>
      <w:r>
        <w:rPr>
          <w:rFonts w:hint="eastAsia" w:ascii="宋体" w:hAnsi="宋体" w:cs="宋体"/>
          <w:szCs w:val="24"/>
        </w:rPr>
        <w:t>2.2供应商必须保证响应文件所提供的全部资料真实可靠，并接受采购代理机构对其中任何资料进一步审查的要求。如果响应文件填报的内容不详，或没有提供磋商文件中所要求的全部资料及数据，使磋商小组无法正常评审的，由此产生的结果由供应商承担。</w:t>
      </w:r>
    </w:p>
    <w:p w14:paraId="5826696D">
      <w:pPr>
        <w:pStyle w:val="58"/>
        <w:spacing w:line="600" w:lineRule="exact"/>
        <w:ind w:firstLine="480"/>
        <w:rPr>
          <w:rFonts w:ascii="宋体" w:hAnsi="宋体" w:cs="宋体"/>
          <w:szCs w:val="24"/>
        </w:rPr>
      </w:pPr>
      <w:r>
        <w:rPr>
          <w:rFonts w:hint="eastAsia" w:ascii="宋体" w:hAnsi="宋体" w:cs="宋体"/>
          <w:szCs w:val="24"/>
        </w:rPr>
        <w:t>2.3响应文件的纸质文件和电子文件所使用的印章必须为企业公章，且与供应商名称完全一致，不能以其它业务章或附属机构印章代替。纸质正本文件盖鲜印章，需签名之处必须由当事人按文件格式要求亲笔签署或盖私章。</w:t>
      </w:r>
    </w:p>
    <w:p w14:paraId="7F454618">
      <w:pPr>
        <w:pStyle w:val="58"/>
        <w:spacing w:line="600" w:lineRule="exact"/>
        <w:ind w:firstLine="480"/>
        <w:rPr>
          <w:rFonts w:ascii="宋体" w:hAnsi="宋体" w:cs="宋体"/>
          <w:szCs w:val="24"/>
        </w:rPr>
      </w:pPr>
      <w:r>
        <w:rPr>
          <w:rFonts w:hint="eastAsia" w:ascii="宋体" w:hAnsi="宋体" w:cs="宋体"/>
          <w:szCs w:val="24"/>
        </w:rPr>
        <w:t>2.4响应文件如有改动，必须在改动之处加盖单位公章或响应代表签字摁手印；</w:t>
      </w:r>
    </w:p>
    <w:p w14:paraId="64D47AF0">
      <w:pPr>
        <w:pStyle w:val="58"/>
        <w:spacing w:line="600" w:lineRule="exact"/>
        <w:ind w:firstLine="480"/>
        <w:rPr>
          <w:rFonts w:ascii="宋体" w:hAnsi="宋体" w:cs="宋体"/>
          <w:szCs w:val="24"/>
        </w:rPr>
      </w:pPr>
      <w:r>
        <w:rPr>
          <w:rFonts w:hint="eastAsia" w:ascii="宋体" w:hAnsi="宋体" w:cs="宋体"/>
          <w:szCs w:val="24"/>
        </w:rPr>
        <w:t>2.5响应文件数量为纸质正本一本、副本二本，电子版一份（U盘或光盘，电子版需为正本的扫描件PDF格式），纸质文件打印胶装，副本可以用正本的完整复印件，并在封面标明“正本”、“副本”字样。正本与副本如有不一致，则以正本为准。</w:t>
      </w:r>
    </w:p>
    <w:p w14:paraId="157C813F">
      <w:pPr>
        <w:pStyle w:val="58"/>
        <w:spacing w:line="600" w:lineRule="exact"/>
        <w:ind w:firstLine="480"/>
        <w:rPr>
          <w:rFonts w:ascii="宋体" w:hAnsi="宋体" w:cs="宋体"/>
          <w:szCs w:val="24"/>
        </w:rPr>
      </w:pPr>
      <w:r>
        <w:rPr>
          <w:rFonts w:hint="eastAsia" w:ascii="宋体" w:hAnsi="宋体" w:cs="宋体"/>
          <w:szCs w:val="24"/>
        </w:rPr>
        <w:t>2.6因响应文件字迹潦草或表达不清所引起的不利后果由供应商自行承担。</w:t>
      </w:r>
    </w:p>
    <w:p w14:paraId="2677A8DA">
      <w:pPr>
        <w:pStyle w:val="58"/>
        <w:spacing w:line="600" w:lineRule="exact"/>
        <w:ind w:firstLine="480"/>
        <w:rPr>
          <w:rFonts w:ascii="宋体" w:hAnsi="宋体" w:cs="宋体"/>
          <w:szCs w:val="24"/>
        </w:rPr>
      </w:pPr>
      <w:r>
        <w:rPr>
          <w:rFonts w:hint="eastAsia" w:ascii="宋体" w:hAnsi="宋体" w:cs="宋体"/>
          <w:szCs w:val="24"/>
        </w:rPr>
        <w:t>2.7供应商应按照竞争性磋商文件第六章中提供的“响应文件格式”编制响应文件，如自有格式并按其格式编制的响应文件，其内容必须包含“响应文件格式”中所有的实质性内容并受其约束。</w:t>
      </w:r>
    </w:p>
    <w:p w14:paraId="6C22AEBE">
      <w:pPr>
        <w:pStyle w:val="58"/>
        <w:spacing w:line="600" w:lineRule="exact"/>
        <w:ind w:firstLine="482"/>
        <w:rPr>
          <w:rFonts w:ascii="宋体" w:hAnsi="宋体" w:cs="宋体"/>
        </w:rPr>
      </w:pPr>
      <w:r>
        <w:rPr>
          <w:rFonts w:hint="eastAsia" w:ascii="宋体" w:hAnsi="宋体" w:cs="宋体"/>
          <w:b/>
          <w:bCs/>
          <w:szCs w:val="24"/>
        </w:rPr>
        <w:t>3、磋商保证金</w:t>
      </w:r>
    </w:p>
    <w:p w14:paraId="7855E281">
      <w:pPr>
        <w:pStyle w:val="58"/>
        <w:spacing w:line="600" w:lineRule="exact"/>
        <w:ind w:firstLine="480"/>
        <w:rPr>
          <w:rFonts w:ascii="宋体" w:hAnsi="宋体" w:cs="宋体"/>
          <w:b/>
          <w:bCs/>
          <w:szCs w:val="24"/>
        </w:rPr>
      </w:pPr>
      <w:r>
        <w:rPr>
          <w:rFonts w:hint="eastAsia" w:ascii="宋体" w:hAnsi="宋体" w:cs="宋体"/>
          <w:szCs w:val="24"/>
        </w:rPr>
        <w:t>磋商保证金：</w:t>
      </w:r>
      <w:r>
        <w:rPr>
          <w:rFonts w:hint="eastAsia" w:ascii="宋体" w:hAnsi="宋体" w:cs="宋体"/>
          <w:b/>
          <w:bCs/>
          <w:szCs w:val="24"/>
        </w:rPr>
        <w:t>本项目不做保证金要求</w:t>
      </w:r>
    </w:p>
    <w:p w14:paraId="4F4DF960">
      <w:pPr>
        <w:pStyle w:val="58"/>
        <w:spacing w:line="600" w:lineRule="exact"/>
        <w:ind w:firstLine="480"/>
        <w:rPr>
          <w:rFonts w:ascii="宋体" w:hAnsi="宋体" w:cs="宋体"/>
          <w:szCs w:val="24"/>
        </w:rPr>
      </w:pPr>
      <w:r>
        <w:rPr>
          <w:rFonts w:hint="eastAsia" w:ascii="宋体" w:hAnsi="宋体" w:cs="宋体"/>
          <w:szCs w:val="24"/>
        </w:rPr>
        <w:t>缴纳截止时间：同开标时间（北京时间）</w:t>
      </w:r>
    </w:p>
    <w:p w14:paraId="50461C24">
      <w:pPr>
        <w:pStyle w:val="58"/>
        <w:spacing w:line="600" w:lineRule="exact"/>
        <w:ind w:firstLine="480"/>
        <w:rPr>
          <w:rFonts w:ascii="宋体" w:hAnsi="宋体" w:cs="宋体"/>
          <w:szCs w:val="24"/>
        </w:rPr>
      </w:pPr>
      <w:r>
        <w:rPr>
          <w:rFonts w:hint="eastAsia" w:ascii="宋体" w:hAnsi="宋体" w:cs="宋体"/>
          <w:szCs w:val="24"/>
        </w:rPr>
        <w:t>磋商保证金缴纳方式：支票、汇票、本票、网上银行支付或者金融机构、担保机构出具的保函等非现金形式提交。</w:t>
      </w:r>
    </w:p>
    <w:p w14:paraId="39FFC738">
      <w:pPr>
        <w:pStyle w:val="58"/>
        <w:spacing w:line="600" w:lineRule="exact"/>
        <w:ind w:firstLine="480"/>
        <w:rPr>
          <w:rFonts w:ascii="宋体" w:hAnsi="宋体" w:cs="宋体"/>
          <w:szCs w:val="24"/>
        </w:rPr>
      </w:pPr>
      <w:r>
        <w:rPr>
          <w:rFonts w:hint="eastAsia" w:ascii="宋体" w:hAnsi="宋体" w:cs="宋体"/>
          <w:szCs w:val="24"/>
        </w:rPr>
        <w:t>缴纳磋商保证金银行账户：</w:t>
      </w:r>
    </w:p>
    <w:p w14:paraId="1FBAF7E8">
      <w:pPr>
        <w:pStyle w:val="58"/>
        <w:spacing w:line="600" w:lineRule="exact"/>
        <w:ind w:firstLine="480"/>
        <w:rPr>
          <w:rFonts w:ascii="宋体" w:hAnsi="宋体" w:cs="宋体"/>
          <w:szCs w:val="24"/>
        </w:rPr>
      </w:pPr>
      <w:r>
        <w:rPr>
          <w:rFonts w:hint="eastAsia" w:ascii="宋体" w:hAnsi="宋体" w:cs="宋体"/>
          <w:szCs w:val="24"/>
        </w:rPr>
        <w:t>账户：海南亿佳源招标代理有限公司</w:t>
      </w:r>
    </w:p>
    <w:p w14:paraId="7A8AE3A6">
      <w:pPr>
        <w:pStyle w:val="58"/>
        <w:spacing w:line="600" w:lineRule="exact"/>
        <w:ind w:firstLine="480"/>
        <w:rPr>
          <w:rFonts w:ascii="宋体" w:hAnsi="宋体" w:cs="宋体"/>
          <w:szCs w:val="24"/>
        </w:rPr>
      </w:pPr>
      <w:r>
        <w:rPr>
          <w:rFonts w:hint="eastAsia" w:ascii="宋体" w:hAnsi="宋体" w:cs="宋体"/>
          <w:szCs w:val="24"/>
        </w:rPr>
        <w:t>开户银行：中国建设银行股份有限公司海口国贸支行</w:t>
      </w:r>
    </w:p>
    <w:p w14:paraId="4921FCB8">
      <w:pPr>
        <w:pStyle w:val="58"/>
        <w:spacing w:line="600" w:lineRule="exact"/>
        <w:ind w:firstLine="480"/>
        <w:rPr>
          <w:rFonts w:ascii="宋体" w:hAnsi="宋体" w:cs="宋体"/>
          <w:szCs w:val="24"/>
        </w:rPr>
      </w:pPr>
      <w:r>
        <w:rPr>
          <w:rFonts w:hint="eastAsia" w:ascii="宋体" w:hAnsi="宋体" w:cs="宋体"/>
          <w:szCs w:val="24"/>
        </w:rPr>
        <w:t>银行帐号：46001003636053010792</w:t>
      </w:r>
    </w:p>
    <w:p w14:paraId="1057EDA9">
      <w:pPr>
        <w:pStyle w:val="58"/>
        <w:spacing w:line="600" w:lineRule="exact"/>
        <w:ind w:firstLine="480"/>
        <w:rPr>
          <w:rFonts w:ascii="宋体" w:hAnsi="宋体" w:cs="宋体"/>
          <w:szCs w:val="24"/>
        </w:rPr>
      </w:pPr>
      <w:r>
        <w:rPr>
          <w:rFonts w:hint="eastAsia" w:ascii="宋体" w:hAnsi="宋体" w:cs="宋体"/>
          <w:szCs w:val="24"/>
        </w:rPr>
        <w:t>注：</w:t>
      </w:r>
    </w:p>
    <w:p w14:paraId="0B3D2AC1">
      <w:pPr>
        <w:pStyle w:val="58"/>
        <w:spacing w:line="600" w:lineRule="exact"/>
        <w:ind w:firstLine="480"/>
        <w:rPr>
          <w:rFonts w:ascii="宋体" w:hAnsi="宋体" w:cs="宋体"/>
          <w:szCs w:val="24"/>
        </w:rPr>
      </w:pPr>
      <w:r>
        <w:rPr>
          <w:rFonts w:hint="eastAsia" w:ascii="宋体" w:hAnsi="宋体" w:cs="宋体"/>
          <w:szCs w:val="24"/>
        </w:rPr>
        <w:t>（1）缴纳保证金时应注明（项目名称）磋商保证金（项目名称可简写）；</w:t>
      </w:r>
    </w:p>
    <w:p w14:paraId="5A9E6CF5">
      <w:pPr>
        <w:pStyle w:val="58"/>
        <w:spacing w:line="600" w:lineRule="exact"/>
        <w:ind w:firstLine="480"/>
        <w:rPr>
          <w:rFonts w:ascii="宋体" w:hAnsi="宋体" w:cs="宋体"/>
          <w:szCs w:val="24"/>
        </w:rPr>
      </w:pPr>
      <w:r>
        <w:rPr>
          <w:rFonts w:hint="eastAsia" w:ascii="宋体" w:hAnsi="宋体" w:cs="宋体"/>
          <w:szCs w:val="24"/>
        </w:rPr>
        <w:t>（2）未按规定递交磋商保证金的响应文件按废标处理；</w:t>
      </w:r>
    </w:p>
    <w:p w14:paraId="7E76C402">
      <w:pPr>
        <w:pStyle w:val="58"/>
        <w:spacing w:line="600" w:lineRule="exact"/>
        <w:ind w:firstLine="480"/>
        <w:rPr>
          <w:rFonts w:ascii="宋体" w:hAnsi="宋体" w:cs="宋体"/>
          <w:szCs w:val="24"/>
        </w:rPr>
      </w:pPr>
      <w:r>
        <w:rPr>
          <w:rFonts w:hint="eastAsia" w:ascii="宋体" w:hAnsi="宋体" w:cs="宋体"/>
          <w:szCs w:val="24"/>
        </w:rPr>
        <w:t xml:space="preserve">（3）磋商保证金以银行保函形式提交，保函格式可不采用磋商文件中提供的格式（如有），但相关内容不得背离磋商文件约定的实质性内容，出具保函的银行和保险公司须为中国境内注册的合法有效机构。 </w:t>
      </w:r>
    </w:p>
    <w:p w14:paraId="3DD39184">
      <w:pPr>
        <w:pStyle w:val="58"/>
        <w:spacing w:line="600" w:lineRule="exact"/>
        <w:ind w:firstLine="480"/>
        <w:rPr>
          <w:rFonts w:ascii="宋体" w:hAnsi="宋体" w:cs="宋体"/>
        </w:rPr>
      </w:pPr>
      <w:r>
        <w:rPr>
          <w:rFonts w:hint="eastAsia" w:ascii="宋体" w:hAnsi="宋体" w:cs="宋体"/>
          <w:szCs w:val="24"/>
        </w:rPr>
        <w:t>（4）磋商保证金如采用银行保函形式的，请在开标现场将保函递交给工作人员。</w:t>
      </w:r>
    </w:p>
    <w:p w14:paraId="63AFFBD7">
      <w:pPr>
        <w:pStyle w:val="58"/>
        <w:spacing w:line="600" w:lineRule="exact"/>
        <w:ind w:firstLine="482"/>
        <w:rPr>
          <w:rFonts w:ascii="宋体" w:hAnsi="宋体" w:cs="宋体"/>
          <w:b/>
          <w:bCs/>
          <w:szCs w:val="24"/>
        </w:rPr>
      </w:pPr>
      <w:r>
        <w:rPr>
          <w:rFonts w:hint="eastAsia" w:ascii="宋体" w:hAnsi="宋体" w:cs="宋体"/>
          <w:b/>
          <w:bCs/>
          <w:szCs w:val="24"/>
        </w:rPr>
        <w:t>4、响应报价</w:t>
      </w:r>
    </w:p>
    <w:p w14:paraId="022E6C81">
      <w:pPr>
        <w:pStyle w:val="58"/>
        <w:spacing w:line="600" w:lineRule="exact"/>
        <w:ind w:firstLine="480"/>
        <w:rPr>
          <w:rFonts w:ascii="宋体" w:hAnsi="宋体" w:cs="宋体"/>
          <w:szCs w:val="24"/>
        </w:rPr>
      </w:pPr>
      <w:r>
        <w:rPr>
          <w:rFonts w:hint="eastAsia" w:ascii="宋体" w:hAnsi="宋体" w:cs="宋体"/>
          <w:szCs w:val="24"/>
        </w:rPr>
        <w:t>4.1供应商的报价应包括本项目全部货物、服务的价格及相关税费、运输到指定地点的装运费用、安装调试、等其他有关的所有费用，由于分项报价填报不完整、不清楚或存在其他任何失误，所导致的任何不利后果均应当由供应商自行承担。</w:t>
      </w:r>
    </w:p>
    <w:p w14:paraId="09140570">
      <w:pPr>
        <w:pStyle w:val="58"/>
        <w:spacing w:line="600" w:lineRule="exact"/>
        <w:ind w:firstLine="480"/>
        <w:rPr>
          <w:rFonts w:ascii="宋体" w:hAnsi="宋体" w:cs="宋体"/>
          <w:szCs w:val="24"/>
        </w:rPr>
      </w:pPr>
      <w:r>
        <w:rPr>
          <w:rFonts w:hint="eastAsia" w:ascii="宋体" w:hAnsi="宋体" w:cs="宋体"/>
          <w:szCs w:val="24"/>
        </w:rPr>
        <w:t>4.2供应商应按第六章分项报价明细表的内容填写内容、总价及其他事项。</w:t>
      </w:r>
    </w:p>
    <w:p w14:paraId="18CB873C">
      <w:pPr>
        <w:pStyle w:val="58"/>
        <w:spacing w:line="600" w:lineRule="exact"/>
        <w:ind w:firstLine="480"/>
        <w:rPr>
          <w:rFonts w:ascii="宋体" w:hAnsi="宋体" w:cs="宋体"/>
          <w:szCs w:val="24"/>
        </w:rPr>
      </w:pPr>
      <w:r>
        <w:rPr>
          <w:rFonts w:hint="eastAsia" w:ascii="宋体" w:hAnsi="宋体" w:cs="宋体"/>
          <w:szCs w:val="24"/>
        </w:rPr>
        <w:t>4.3除报价优惠外，任何超出磋商文件要求而额外赠送的货物、免费培训等其他形式的优惠，在评审时将不具有竞争优势。</w:t>
      </w:r>
    </w:p>
    <w:p w14:paraId="0760F166">
      <w:pPr>
        <w:pStyle w:val="58"/>
        <w:spacing w:line="600" w:lineRule="exact"/>
        <w:ind w:firstLine="480"/>
        <w:rPr>
          <w:rFonts w:ascii="宋体" w:hAnsi="宋体" w:cs="宋体"/>
          <w:szCs w:val="24"/>
        </w:rPr>
      </w:pPr>
      <w:r>
        <w:rPr>
          <w:rFonts w:hint="eastAsia" w:ascii="宋体" w:hAnsi="宋体" w:cs="宋体"/>
          <w:szCs w:val="24"/>
        </w:rPr>
        <w:t>4.4供应商不能恶意报低价，如果报价总金额低于预算金额的50%，需要提供有效的成本证明材料等相关票据证明资料，说明其报价未低于成本价，未提供有效的证明材料，响应文件无效。</w:t>
      </w:r>
    </w:p>
    <w:p w14:paraId="542E8581">
      <w:pPr>
        <w:pStyle w:val="58"/>
        <w:spacing w:line="600" w:lineRule="exact"/>
        <w:ind w:firstLine="480"/>
        <w:rPr>
          <w:rFonts w:ascii="宋体" w:hAnsi="宋体" w:cs="宋体"/>
          <w:szCs w:val="24"/>
        </w:rPr>
      </w:pPr>
      <w:r>
        <w:rPr>
          <w:rFonts w:hint="eastAsia" w:ascii="宋体" w:hAnsi="宋体" w:cs="宋体"/>
          <w:szCs w:val="24"/>
        </w:rPr>
        <w:t>4.5供应商的报价总金额磋商小组认为明显低于其他通过符合性审查供应商的报价，有可能影响项目质量或者不能诚信履约的，应当要求其在评审现场合理的时间内提供书面说明，必要时提交相关证明材料；供应商不能证明其报价合理性的，磋商小组应当将其作为无效响应处理；采购人有权要求成交供应商提供合同金额的5%作为履约保证金，同时预付款比例调整为0%。如成交供应商在实施过程中不按服务期限完成项目，则采购人有权终止合同，没收履约保证金，并报主管部门严肃处理。</w:t>
      </w:r>
    </w:p>
    <w:p w14:paraId="09CEAB7C">
      <w:pPr>
        <w:pStyle w:val="58"/>
        <w:spacing w:line="600" w:lineRule="exact"/>
        <w:ind w:firstLine="480"/>
        <w:rPr>
          <w:rFonts w:ascii="宋体" w:hAnsi="宋体" w:cs="宋体"/>
          <w:szCs w:val="24"/>
        </w:rPr>
      </w:pPr>
      <w:r>
        <w:rPr>
          <w:rFonts w:hint="eastAsia" w:ascii="宋体" w:hAnsi="宋体" w:cs="宋体"/>
          <w:szCs w:val="24"/>
        </w:rPr>
        <w:t>4.6响应文件报价出现前后不一致的，按照下列规定修正：</w:t>
      </w:r>
    </w:p>
    <w:p w14:paraId="43685530">
      <w:pPr>
        <w:pStyle w:val="58"/>
        <w:spacing w:line="600" w:lineRule="exact"/>
        <w:ind w:firstLine="480"/>
        <w:rPr>
          <w:rFonts w:ascii="宋体" w:hAnsi="宋体" w:cs="宋体"/>
          <w:szCs w:val="24"/>
        </w:rPr>
      </w:pPr>
      <w:r>
        <w:rPr>
          <w:rFonts w:hint="eastAsia" w:ascii="宋体" w:hAnsi="宋体" w:cs="宋体"/>
          <w:szCs w:val="24"/>
        </w:rPr>
        <w:t xml:space="preserve">（1）响应文件中报价一览表内容与响应文件中相应内容不一致的，以报价一览表为准； </w:t>
      </w:r>
    </w:p>
    <w:p w14:paraId="282A8D6A">
      <w:pPr>
        <w:pStyle w:val="58"/>
        <w:spacing w:line="600" w:lineRule="exact"/>
        <w:ind w:firstLine="480"/>
        <w:rPr>
          <w:rFonts w:ascii="宋体" w:hAnsi="宋体" w:cs="宋体"/>
          <w:szCs w:val="24"/>
        </w:rPr>
      </w:pPr>
      <w:r>
        <w:rPr>
          <w:rFonts w:hint="eastAsia" w:ascii="宋体" w:hAnsi="宋体" w:cs="宋体"/>
          <w:szCs w:val="24"/>
        </w:rPr>
        <w:t>（2）大写金额和小写金额不一致的，以大写金额为准；</w:t>
      </w:r>
    </w:p>
    <w:p w14:paraId="2A2AFD15">
      <w:pPr>
        <w:pStyle w:val="58"/>
        <w:spacing w:line="600" w:lineRule="exact"/>
        <w:ind w:firstLine="480"/>
        <w:rPr>
          <w:rFonts w:ascii="宋体" w:hAnsi="宋体" w:cs="宋体"/>
          <w:szCs w:val="24"/>
        </w:rPr>
      </w:pPr>
      <w:r>
        <w:rPr>
          <w:rFonts w:hint="eastAsia" w:ascii="宋体" w:hAnsi="宋体" w:cs="宋体"/>
          <w:szCs w:val="24"/>
        </w:rPr>
        <w:t>（3）单价金额小数点或者百分比有明显错位的，以报价一览表的总价为准，并修改单价；</w:t>
      </w:r>
    </w:p>
    <w:p w14:paraId="6ED13AEF">
      <w:pPr>
        <w:pStyle w:val="58"/>
        <w:spacing w:line="600" w:lineRule="exact"/>
        <w:ind w:firstLine="480"/>
        <w:rPr>
          <w:rFonts w:ascii="宋体" w:hAnsi="宋体" w:cs="宋体"/>
          <w:szCs w:val="24"/>
        </w:rPr>
      </w:pPr>
      <w:r>
        <w:rPr>
          <w:rFonts w:hint="eastAsia" w:ascii="宋体" w:hAnsi="宋体" w:cs="宋体"/>
          <w:szCs w:val="24"/>
        </w:rPr>
        <w:t>（4）总价金额与按单价汇总金额不一致的，以单价金额计算结果为准。</w:t>
      </w:r>
    </w:p>
    <w:p w14:paraId="78ACABE1">
      <w:pPr>
        <w:pStyle w:val="58"/>
        <w:spacing w:line="600" w:lineRule="exact"/>
        <w:ind w:firstLine="480"/>
        <w:rPr>
          <w:rFonts w:ascii="宋体" w:hAnsi="宋体" w:cs="宋体"/>
          <w:szCs w:val="24"/>
        </w:rPr>
      </w:pPr>
      <w:r>
        <w:rPr>
          <w:rFonts w:hint="eastAsia" w:ascii="宋体" w:hAnsi="宋体" w:cs="宋体"/>
          <w:szCs w:val="24"/>
        </w:rPr>
        <w:t>同时出现两种以上不一致的，按照前款规定的顺序修正。修正后的报价经供应商确认后产生约束力，供应商不确认的，其响应无效。</w:t>
      </w:r>
    </w:p>
    <w:p w14:paraId="374A8E2F">
      <w:pPr>
        <w:pStyle w:val="58"/>
        <w:spacing w:line="600" w:lineRule="exact"/>
        <w:ind w:firstLine="482"/>
        <w:rPr>
          <w:rFonts w:ascii="宋体" w:hAnsi="宋体" w:cs="宋体"/>
          <w:b/>
          <w:bCs/>
          <w:szCs w:val="24"/>
        </w:rPr>
      </w:pPr>
      <w:r>
        <w:rPr>
          <w:rFonts w:hint="eastAsia" w:ascii="宋体" w:hAnsi="宋体" w:cs="宋体"/>
          <w:b/>
          <w:bCs/>
          <w:szCs w:val="24"/>
        </w:rPr>
        <w:t>5、响应文件的有效期</w:t>
      </w:r>
    </w:p>
    <w:p w14:paraId="4DA117BB">
      <w:pPr>
        <w:pStyle w:val="58"/>
        <w:spacing w:line="600" w:lineRule="exact"/>
        <w:ind w:firstLine="480"/>
        <w:rPr>
          <w:rFonts w:ascii="宋体" w:hAnsi="宋体" w:cs="宋体"/>
          <w:szCs w:val="24"/>
        </w:rPr>
      </w:pPr>
      <w:r>
        <w:rPr>
          <w:rFonts w:hint="eastAsia" w:ascii="宋体" w:hAnsi="宋体" w:cs="宋体"/>
          <w:szCs w:val="24"/>
        </w:rPr>
        <w:t>5.1本项目响应文件的有效期为60日历天。有效期不足将导致其响应无效。响应截止时间后，供应商在响应有效期内不得撤销响应文件。</w:t>
      </w:r>
    </w:p>
    <w:p w14:paraId="65B8402E">
      <w:pPr>
        <w:spacing w:line="600" w:lineRule="exact"/>
        <w:ind w:firstLine="480" w:firstLineChars="200"/>
        <w:rPr>
          <w:rFonts w:ascii="宋体" w:hAnsi="宋体" w:cs="宋体"/>
        </w:rPr>
      </w:pPr>
      <w:r>
        <w:rPr>
          <w:rFonts w:hint="eastAsia" w:ascii="宋体" w:hAnsi="宋体" w:cs="宋体"/>
        </w:rPr>
        <w:t xml:space="preserve">5.2特殊情况下采购代理机构可于响应有效期满之前书面要求供应商同意延长有效期，供应商应在采购代理机构规定的期限内以书面形式予以答复，供应商答复不明确或者逾期未答复的，均视为拒绝上述要求。对于接受该要求的供应商，既不要求也不允许其修改响应文件。同意响应有效期延长的，供应商自行承担由此产生的费用；同意响应有效期延长的供应商不足三家的，予以废标。不同意延长响应有效期的，响应有效期满自动失效。 </w:t>
      </w:r>
    </w:p>
    <w:p w14:paraId="66134E64">
      <w:pPr>
        <w:spacing w:line="600" w:lineRule="exact"/>
        <w:ind w:firstLine="482" w:firstLineChars="200"/>
        <w:rPr>
          <w:rFonts w:ascii="宋体" w:hAnsi="宋体" w:cs="宋体"/>
          <w:b/>
        </w:rPr>
      </w:pPr>
      <w:r>
        <w:rPr>
          <w:rFonts w:hint="eastAsia" w:ascii="宋体" w:hAnsi="宋体" w:cs="宋体"/>
          <w:b/>
        </w:rPr>
        <w:t>6、响应文件的密封和递交</w:t>
      </w:r>
    </w:p>
    <w:p w14:paraId="1C9A889B">
      <w:pPr>
        <w:pStyle w:val="57"/>
        <w:spacing w:line="600" w:lineRule="exact"/>
        <w:ind w:firstLine="480" w:firstLineChars="200"/>
        <w:rPr>
          <w:rFonts w:hAnsi="宋体" w:cs="宋体"/>
          <w:sz w:val="24"/>
          <w:szCs w:val="24"/>
        </w:rPr>
      </w:pPr>
      <w:r>
        <w:rPr>
          <w:rFonts w:hint="eastAsia" w:hAnsi="宋体" w:cs="宋体"/>
          <w:sz w:val="24"/>
          <w:szCs w:val="24"/>
        </w:rPr>
        <w:t>6.l 供应商可将纸质响应文件正本、所有纸质响应文件副本和电子版响应文件全部密封在一个密封专用袋（箱）中，也可以密封在多个密封专用袋（箱）中，密封专用袋（箱）的封口处应粘贴牢固，并在封口加盖密封骑缝章（供应商公章）。</w:t>
      </w:r>
    </w:p>
    <w:p w14:paraId="1FC87223">
      <w:pPr>
        <w:pStyle w:val="57"/>
        <w:spacing w:line="600" w:lineRule="exact"/>
        <w:ind w:firstLine="480" w:firstLineChars="200"/>
        <w:rPr>
          <w:rFonts w:hAnsi="宋体" w:cs="宋体"/>
          <w:sz w:val="24"/>
          <w:szCs w:val="24"/>
        </w:rPr>
      </w:pPr>
      <w:r>
        <w:rPr>
          <w:rFonts w:hint="eastAsia" w:hAnsi="宋体" w:cs="宋体"/>
          <w:sz w:val="24"/>
          <w:szCs w:val="24"/>
        </w:rPr>
        <w:t>6.1.1纸质响应文件副本和电子版响应文件与正本不一致的，以纸质版正本为准。</w:t>
      </w:r>
    </w:p>
    <w:p w14:paraId="2CEDBFE8">
      <w:pPr>
        <w:pStyle w:val="57"/>
        <w:spacing w:line="600" w:lineRule="exact"/>
        <w:ind w:firstLine="480" w:firstLineChars="200"/>
        <w:rPr>
          <w:rFonts w:hAnsi="宋体" w:cs="宋体"/>
          <w:sz w:val="24"/>
          <w:szCs w:val="24"/>
        </w:rPr>
      </w:pPr>
      <w:r>
        <w:rPr>
          <w:rFonts w:hint="eastAsia" w:hAnsi="宋体" w:cs="宋体"/>
          <w:sz w:val="24"/>
          <w:szCs w:val="24"/>
        </w:rPr>
        <w:t>6.2 供应商仅需将响应文件密封即可，密封专用袋（箱）封面内容格式不做强制要求，内容格式亦可参考如下内容：</w:t>
      </w:r>
    </w:p>
    <w:p w14:paraId="0DDB029F">
      <w:pPr>
        <w:pStyle w:val="57"/>
        <w:spacing w:line="600" w:lineRule="exact"/>
        <w:ind w:firstLine="480" w:firstLineChars="200"/>
        <w:rPr>
          <w:rFonts w:hAnsi="宋体" w:cs="宋体"/>
          <w:sz w:val="24"/>
          <w:szCs w:val="24"/>
        </w:rPr>
      </w:pPr>
      <w:r>
        <w:rPr>
          <w:rFonts w:hint="eastAsia" w:hAnsi="宋体" w:cs="宋体"/>
          <w:sz w:val="24"/>
          <w:szCs w:val="24"/>
        </w:rPr>
        <w:t>（l）项目编号及项目名称；</w:t>
      </w:r>
    </w:p>
    <w:p w14:paraId="7DFF248B">
      <w:pPr>
        <w:pStyle w:val="57"/>
        <w:spacing w:line="600" w:lineRule="exact"/>
        <w:ind w:firstLine="480" w:firstLineChars="200"/>
        <w:rPr>
          <w:rFonts w:hAnsi="宋体" w:cs="宋体"/>
          <w:sz w:val="24"/>
          <w:szCs w:val="24"/>
        </w:rPr>
      </w:pPr>
      <w:r>
        <w:rPr>
          <w:rFonts w:hint="eastAsia" w:hAnsi="宋体" w:cs="宋体"/>
          <w:sz w:val="24"/>
          <w:szCs w:val="24"/>
        </w:rPr>
        <w:t>（2）分包号（如有的话）；</w:t>
      </w:r>
    </w:p>
    <w:p w14:paraId="7DF19F04">
      <w:pPr>
        <w:pStyle w:val="57"/>
        <w:spacing w:line="600" w:lineRule="exact"/>
        <w:ind w:firstLine="480" w:firstLineChars="200"/>
        <w:rPr>
          <w:rFonts w:hAnsi="宋体" w:cs="宋体"/>
          <w:sz w:val="24"/>
          <w:szCs w:val="24"/>
        </w:rPr>
      </w:pPr>
      <w:r>
        <w:rPr>
          <w:rFonts w:hint="eastAsia" w:hAnsi="宋体" w:cs="宋体"/>
          <w:sz w:val="24"/>
          <w:szCs w:val="24"/>
        </w:rPr>
        <w:t>（3）供应商名称、地址、联系人、电话。</w:t>
      </w:r>
    </w:p>
    <w:p w14:paraId="3661E847">
      <w:pPr>
        <w:pStyle w:val="58"/>
        <w:spacing w:line="600" w:lineRule="exact"/>
        <w:ind w:firstLine="482"/>
        <w:rPr>
          <w:rFonts w:ascii="宋体" w:hAnsi="宋体" w:cs="宋体"/>
          <w:b/>
          <w:bCs/>
          <w:szCs w:val="24"/>
        </w:rPr>
      </w:pPr>
      <w:r>
        <w:rPr>
          <w:rFonts w:hint="eastAsia" w:ascii="宋体" w:hAnsi="宋体" w:cs="宋体"/>
          <w:b/>
          <w:bCs/>
          <w:szCs w:val="24"/>
        </w:rPr>
        <w:t>7、响应文件补充、修改和撤回</w:t>
      </w:r>
    </w:p>
    <w:p w14:paraId="09BACC40">
      <w:pPr>
        <w:spacing w:line="600" w:lineRule="exact"/>
        <w:ind w:firstLine="480" w:firstLineChars="200"/>
        <w:rPr>
          <w:rFonts w:ascii="宋体" w:hAnsi="宋体" w:cs="宋体"/>
        </w:rPr>
      </w:pPr>
      <w:r>
        <w:rPr>
          <w:rFonts w:hint="eastAsia" w:ascii="宋体" w:hAnsi="宋体" w:cs="宋体"/>
        </w:rPr>
        <w:t>7.l 供应商在响应文件提交截止时间前，可以对所提交的响应文件进行补充、修改或者撤回，并书面通知采购人或者采购代理机构。补充、修改的内容应当按照竞争性磋商文件要求签署、盖章、密封后，作为响应文件的组成部分。</w:t>
      </w:r>
    </w:p>
    <w:p w14:paraId="37D6E634">
      <w:pPr>
        <w:spacing w:line="600" w:lineRule="exact"/>
        <w:ind w:firstLine="480" w:firstLineChars="200"/>
        <w:rPr>
          <w:rFonts w:ascii="宋体" w:hAnsi="宋体" w:cs="宋体"/>
        </w:rPr>
      </w:pPr>
      <w:r>
        <w:rPr>
          <w:rFonts w:hint="eastAsia" w:ascii="宋体" w:hAnsi="宋体" w:cs="宋体"/>
        </w:rPr>
        <w:t>7.2 响应文件的修改文件应按磋商文件的规定密封和提交，还须注明“修改响应文件”字样。修改文件须在响应截止时间前送达规定的递交地点。上述补充或修改若涉及响应报价，必须注明“最终唯一报价”字样，否则将视为有选择的报价。</w:t>
      </w:r>
    </w:p>
    <w:p w14:paraId="229730A8">
      <w:pPr>
        <w:spacing w:line="600" w:lineRule="exact"/>
        <w:ind w:firstLine="480" w:firstLineChars="200"/>
        <w:rPr>
          <w:rFonts w:ascii="宋体" w:hAnsi="宋体" w:cs="宋体"/>
        </w:rPr>
      </w:pPr>
      <w:r>
        <w:rPr>
          <w:rFonts w:hint="eastAsia" w:ascii="宋体" w:hAnsi="宋体" w:cs="宋体"/>
        </w:rPr>
        <w:t>7.3 供应商不得在响应截止时间以后修改或/和撤回响应文件。</w:t>
      </w:r>
    </w:p>
    <w:p w14:paraId="01EB3A87">
      <w:pPr>
        <w:snapToGrid w:val="0"/>
        <w:spacing w:line="600" w:lineRule="exact"/>
        <w:ind w:firstLine="482" w:firstLineChars="200"/>
        <w:jc w:val="left"/>
        <w:outlineLvl w:val="1"/>
        <w:rPr>
          <w:rFonts w:ascii="宋体" w:hAnsi="宋体" w:cs="宋体"/>
          <w:b/>
          <w:kern w:val="0"/>
        </w:rPr>
      </w:pPr>
      <w:r>
        <w:rPr>
          <w:rFonts w:hint="eastAsia" w:ascii="宋体" w:hAnsi="宋体" w:cs="宋体"/>
          <w:b/>
          <w:kern w:val="0"/>
        </w:rPr>
        <w:t>8、编制依据</w:t>
      </w:r>
    </w:p>
    <w:p w14:paraId="4839251B">
      <w:pPr>
        <w:spacing w:line="600" w:lineRule="exact"/>
        <w:ind w:firstLine="480" w:firstLineChars="200"/>
      </w:pPr>
      <w:r>
        <w:rPr>
          <w:rFonts w:hint="eastAsia"/>
        </w:rPr>
        <w:t>《政府采购货物和服务招标投标管理办法》(财政部令87号)、《政府采购法》、《政府采购竞争性磋商采购方式管理暂行办法》、《财政部关于政府采购竞争性磋商采购方式管理暂行办法有关问题的补充通知》</w:t>
      </w:r>
    </w:p>
    <w:p w14:paraId="59D33032">
      <w:pPr>
        <w:snapToGrid w:val="0"/>
        <w:spacing w:line="600" w:lineRule="exact"/>
        <w:jc w:val="center"/>
        <w:outlineLvl w:val="1"/>
        <w:rPr>
          <w:rFonts w:ascii="宋体" w:hAnsi="宋体" w:cs="宋体"/>
          <w:b/>
          <w:kern w:val="0"/>
        </w:rPr>
      </w:pPr>
      <w:r>
        <w:rPr>
          <w:rFonts w:hint="eastAsia" w:ascii="宋体" w:hAnsi="宋体" w:cs="宋体"/>
          <w:b/>
          <w:kern w:val="0"/>
        </w:rPr>
        <w:t>四、磋商会议</w:t>
      </w:r>
    </w:p>
    <w:p w14:paraId="64F3F055">
      <w:pPr>
        <w:pStyle w:val="58"/>
        <w:spacing w:line="600" w:lineRule="exact"/>
        <w:ind w:firstLine="480"/>
        <w:rPr>
          <w:rFonts w:ascii="宋体" w:hAnsi="宋体" w:cs="宋体"/>
          <w:szCs w:val="24"/>
        </w:rPr>
      </w:pPr>
      <w:r>
        <w:rPr>
          <w:rFonts w:hint="eastAsia" w:ascii="宋体" w:hAnsi="宋体" w:cs="宋体"/>
          <w:szCs w:val="24"/>
        </w:rPr>
        <w:t>1、采购代理机构按照相关规定，在磋商文件确定的时间、地点主持磋商会议，并邀请供应商代表参加。如果不参加磋商会议的，则视同该供应商承认磋商记录，且不得事后对磋商会议记录提出任何质疑，否则，其响应将作无效响应。</w:t>
      </w:r>
    </w:p>
    <w:p w14:paraId="7FE66FC3">
      <w:pPr>
        <w:pStyle w:val="58"/>
        <w:spacing w:line="600" w:lineRule="exact"/>
        <w:ind w:firstLine="480"/>
        <w:rPr>
          <w:rFonts w:ascii="宋体" w:hAnsi="宋体" w:cs="宋体"/>
          <w:szCs w:val="24"/>
        </w:rPr>
      </w:pPr>
      <w:r>
        <w:rPr>
          <w:rFonts w:hint="eastAsia" w:ascii="宋体" w:hAnsi="宋体" w:cs="宋体"/>
          <w:szCs w:val="24"/>
        </w:rPr>
        <w:t>2、供应商应委派授权代表参加磋商活动，参加磋商的代表须持本人身份证件签名报到以证明其出席。未派授权代表或不能证明其授权代表身份的，采购代理机构对响应文件的处理不承担责任。</w:t>
      </w:r>
    </w:p>
    <w:p w14:paraId="4C67ACA2">
      <w:pPr>
        <w:pStyle w:val="58"/>
        <w:spacing w:line="600" w:lineRule="exact"/>
        <w:ind w:firstLine="480"/>
        <w:rPr>
          <w:rFonts w:ascii="宋体" w:hAnsi="宋体" w:cs="宋体"/>
          <w:szCs w:val="24"/>
        </w:rPr>
      </w:pPr>
      <w:r>
        <w:rPr>
          <w:rFonts w:hint="eastAsia" w:ascii="宋体" w:hAnsi="宋体" w:cs="宋体"/>
          <w:szCs w:val="24"/>
        </w:rPr>
        <w:t>3、磋商会议时由采购代理机构、公证员（如有）或供应商代表查验响应文件密封情况。若响应文件未按要求密封，采购代理机构有权拒绝接受该供应商的响应文件。</w:t>
      </w:r>
    </w:p>
    <w:p w14:paraId="6F54D63F">
      <w:pPr>
        <w:snapToGrid w:val="0"/>
        <w:spacing w:line="600" w:lineRule="exact"/>
        <w:jc w:val="center"/>
        <w:outlineLvl w:val="1"/>
        <w:rPr>
          <w:rFonts w:ascii="宋体" w:hAnsi="宋体" w:cs="宋体"/>
          <w:b/>
          <w:kern w:val="0"/>
        </w:rPr>
      </w:pPr>
      <w:bookmarkStart w:id="70" w:name="_Toc246826113"/>
      <w:r>
        <w:rPr>
          <w:rFonts w:hint="eastAsia" w:ascii="宋体" w:hAnsi="宋体" w:cs="宋体"/>
          <w:b/>
          <w:kern w:val="0"/>
        </w:rPr>
        <w:t>五、定标、合同</w:t>
      </w:r>
      <w:bookmarkEnd w:id="70"/>
      <w:r>
        <w:rPr>
          <w:rFonts w:hint="eastAsia" w:ascii="宋体" w:hAnsi="宋体" w:cs="宋体"/>
          <w:b/>
          <w:kern w:val="0"/>
        </w:rPr>
        <w:t>与验收</w:t>
      </w:r>
    </w:p>
    <w:p w14:paraId="4F7F2634">
      <w:pPr>
        <w:spacing w:line="600" w:lineRule="exact"/>
        <w:ind w:firstLine="482" w:firstLineChars="200"/>
        <w:jc w:val="left"/>
        <w:rPr>
          <w:rFonts w:ascii="宋体" w:hAnsi="宋体" w:cs="宋体"/>
          <w:b/>
        </w:rPr>
      </w:pPr>
      <w:r>
        <w:rPr>
          <w:rFonts w:hint="eastAsia" w:ascii="宋体" w:hAnsi="宋体" w:cs="宋体"/>
          <w:b/>
        </w:rPr>
        <w:t>1、确定成交候选供应商原则</w:t>
      </w:r>
    </w:p>
    <w:p w14:paraId="09320D26">
      <w:pPr>
        <w:pStyle w:val="58"/>
        <w:spacing w:line="600" w:lineRule="exact"/>
        <w:ind w:firstLine="480"/>
        <w:rPr>
          <w:rFonts w:ascii="宋体" w:hAnsi="宋体" w:cs="宋体"/>
          <w:szCs w:val="24"/>
        </w:rPr>
      </w:pPr>
      <w:r>
        <w:rPr>
          <w:rFonts w:hint="eastAsia" w:ascii="宋体" w:hAnsi="宋体" w:cs="宋体"/>
          <w:szCs w:val="24"/>
        </w:rPr>
        <w:t>磋商小组将严格按照磋商文件的要求和条件进行评审,根据评审方法推荐出一至三人为成交候选供应商，并标明排列顺序。采购人将确定排名第一的成交候选供应商为成交供应商并向其授予合同。</w:t>
      </w:r>
    </w:p>
    <w:p w14:paraId="7509FC4C">
      <w:pPr>
        <w:spacing w:line="600" w:lineRule="exact"/>
        <w:ind w:firstLine="482" w:firstLineChars="200"/>
        <w:rPr>
          <w:rFonts w:ascii="宋体" w:hAnsi="宋体" w:cs="宋体"/>
          <w:b/>
        </w:rPr>
      </w:pPr>
      <w:r>
        <w:rPr>
          <w:rFonts w:hint="eastAsia" w:ascii="宋体" w:hAnsi="宋体" w:cs="宋体"/>
          <w:b/>
        </w:rPr>
        <w:t>2、成交通知</w:t>
      </w:r>
    </w:p>
    <w:p w14:paraId="7DA81D5F">
      <w:pPr>
        <w:pStyle w:val="58"/>
        <w:spacing w:line="600" w:lineRule="exact"/>
        <w:ind w:firstLine="480"/>
        <w:rPr>
          <w:rFonts w:ascii="宋体" w:hAnsi="宋体" w:cs="宋体"/>
          <w:szCs w:val="24"/>
        </w:rPr>
      </w:pPr>
      <w:r>
        <w:rPr>
          <w:rFonts w:hint="eastAsia" w:ascii="宋体" w:hAnsi="宋体" w:cs="宋体"/>
          <w:szCs w:val="24"/>
        </w:rPr>
        <w:t>2.1由采购代理机构在指定媒体上公布成交结果，向成交供应商发送《成交通知书》，但该成交结果的有效性不依赖于未成交的供应商是否已经收到该通知；</w:t>
      </w:r>
    </w:p>
    <w:p w14:paraId="2CE3F7A4">
      <w:pPr>
        <w:pStyle w:val="58"/>
        <w:spacing w:line="600" w:lineRule="exact"/>
        <w:ind w:firstLine="480"/>
        <w:rPr>
          <w:rFonts w:ascii="宋体" w:hAnsi="宋体" w:cs="宋体"/>
          <w:szCs w:val="24"/>
        </w:rPr>
      </w:pPr>
      <w:r>
        <w:rPr>
          <w:rFonts w:hint="eastAsia" w:ascii="宋体" w:hAnsi="宋体" w:cs="宋体"/>
          <w:szCs w:val="24"/>
        </w:rPr>
        <w:t>2.2成交通知书是采购合同的有效组成部分；</w:t>
      </w:r>
    </w:p>
    <w:p w14:paraId="57AAB884">
      <w:pPr>
        <w:pStyle w:val="58"/>
        <w:spacing w:line="600" w:lineRule="exact"/>
        <w:ind w:firstLine="480"/>
        <w:rPr>
          <w:rFonts w:ascii="宋体" w:hAnsi="宋体" w:cs="宋体"/>
          <w:szCs w:val="24"/>
        </w:rPr>
      </w:pPr>
      <w:r>
        <w:rPr>
          <w:rFonts w:hint="eastAsia" w:ascii="宋体" w:hAnsi="宋体" w:cs="宋体"/>
          <w:szCs w:val="24"/>
        </w:rPr>
        <w:t>2.3成交供应商的响应文件如属于本应作为无效响应处理或者有关法律法规规章制度规定成交无效情形的，采购人依法重新确定成交供应商或者重新开展采购活动。</w:t>
      </w:r>
    </w:p>
    <w:p w14:paraId="3F8E2E17">
      <w:pPr>
        <w:spacing w:line="600" w:lineRule="exact"/>
        <w:ind w:firstLine="482" w:firstLineChars="200"/>
        <w:rPr>
          <w:rFonts w:ascii="宋体" w:hAnsi="宋体" w:cs="宋体"/>
          <w:b/>
        </w:rPr>
      </w:pPr>
      <w:r>
        <w:rPr>
          <w:rFonts w:hint="eastAsia" w:ascii="宋体" w:hAnsi="宋体" w:cs="宋体"/>
          <w:b/>
        </w:rPr>
        <w:t>3、合同签订</w:t>
      </w:r>
    </w:p>
    <w:p w14:paraId="4C0A929B">
      <w:pPr>
        <w:pStyle w:val="58"/>
        <w:spacing w:line="600" w:lineRule="exact"/>
        <w:ind w:firstLine="480"/>
        <w:rPr>
          <w:rFonts w:ascii="宋体" w:hAnsi="宋体" w:cs="宋体"/>
          <w:szCs w:val="24"/>
        </w:rPr>
      </w:pPr>
      <w:r>
        <w:rPr>
          <w:rFonts w:hint="eastAsia" w:ascii="宋体" w:hAnsi="宋体" w:cs="宋体"/>
          <w:szCs w:val="24"/>
        </w:rPr>
        <w:t>3.1成交人在收到《成交通知书》后，应在规定的时间内与采购人签订采购合同。由于成交人的原因逾期未与采购人签订采购合同的，将视为放弃成交，取消其成交资格并将按相关规定进行处理。</w:t>
      </w:r>
    </w:p>
    <w:p w14:paraId="1ED3BA08">
      <w:pPr>
        <w:pStyle w:val="58"/>
        <w:spacing w:line="600" w:lineRule="exact"/>
        <w:ind w:firstLine="480"/>
        <w:rPr>
          <w:rFonts w:ascii="宋体" w:hAnsi="宋体" w:cs="宋体"/>
          <w:szCs w:val="24"/>
        </w:rPr>
      </w:pPr>
      <w:r>
        <w:rPr>
          <w:rFonts w:hint="eastAsia" w:ascii="宋体" w:hAnsi="宋体" w:cs="宋体"/>
          <w:szCs w:val="24"/>
        </w:rPr>
        <w:t>3.2采购人不得向成交人提出任何不合理的要求作为签订合同的条件，不得与成交人私下订立背离合同实质性内容的任何协议，所签订的合同不得对竞争性磋商文件和成交人响应文件作实质性修改。</w:t>
      </w:r>
    </w:p>
    <w:p w14:paraId="459A66A8">
      <w:pPr>
        <w:pStyle w:val="58"/>
        <w:spacing w:line="600" w:lineRule="exact"/>
        <w:ind w:firstLine="480"/>
        <w:rPr>
          <w:rFonts w:ascii="宋体" w:hAnsi="宋体" w:cs="宋体"/>
          <w:szCs w:val="24"/>
        </w:rPr>
      </w:pPr>
      <w:r>
        <w:rPr>
          <w:rFonts w:hint="eastAsia" w:ascii="宋体" w:hAnsi="宋体" w:cs="宋体"/>
          <w:szCs w:val="24"/>
        </w:rPr>
        <w:t>3.3供应商成交及签订合同后，不得擅自转包。</w:t>
      </w:r>
    </w:p>
    <w:p w14:paraId="7EED0382">
      <w:pPr>
        <w:pStyle w:val="58"/>
        <w:spacing w:line="600" w:lineRule="exact"/>
        <w:ind w:firstLine="482"/>
        <w:rPr>
          <w:rFonts w:ascii="宋体" w:hAnsi="宋体" w:cs="宋体"/>
          <w:b/>
          <w:szCs w:val="24"/>
        </w:rPr>
      </w:pPr>
      <w:bookmarkStart w:id="71" w:name="_Toc217446070"/>
      <w:r>
        <w:rPr>
          <w:rFonts w:hint="eastAsia" w:ascii="宋体" w:hAnsi="宋体" w:cs="宋体"/>
          <w:b/>
          <w:szCs w:val="24"/>
        </w:rPr>
        <w:t>4、验收</w:t>
      </w:r>
      <w:bookmarkEnd w:id="71"/>
    </w:p>
    <w:p w14:paraId="2B2BADA1">
      <w:pPr>
        <w:spacing w:line="600" w:lineRule="exact"/>
        <w:ind w:firstLine="480" w:firstLineChars="200"/>
        <w:rPr>
          <w:rFonts w:ascii="宋体" w:hAnsi="宋体" w:cs="宋体"/>
        </w:rPr>
      </w:pPr>
      <w:r>
        <w:rPr>
          <w:rFonts w:hint="eastAsia" w:ascii="宋体" w:hAnsi="宋体" w:cs="宋体"/>
        </w:rPr>
        <w:t>由采购人组织，供应商配合，根据对本项目采购需求响应情况及国家行业标准进行验收。采购人可以邀请参加本项目的其他供应商或者第三方机构参与验收，具体可见采购需求内容中要求。</w:t>
      </w:r>
    </w:p>
    <w:p w14:paraId="446EC0CC">
      <w:pPr>
        <w:snapToGrid w:val="0"/>
        <w:spacing w:line="600" w:lineRule="exact"/>
        <w:jc w:val="center"/>
        <w:outlineLvl w:val="1"/>
        <w:rPr>
          <w:rFonts w:ascii="宋体" w:hAnsi="宋体" w:cs="宋体"/>
          <w:b/>
          <w:kern w:val="0"/>
        </w:rPr>
      </w:pPr>
      <w:r>
        <w:rPr>
          <w:rFonts w:hint="eastAsia" w:ascii="宋体" w:hAnsi="宋体" w:cs="宋体"/>
          <w:b/>
          <w:kern w:val="0"/>
        </w:rPr>
        <w:t>六、质疑</w:t>
      </w:r>
    </w:p>
    <w:p w14:paraId="73E9682A">
      <w:pPr>
        <w:pStyle w:val="58"/>
        <w:spacing w:line="600" w:lineRule="exact"/>
        <w:ind w:firstLine="482"/>
        <w:rPr>
          <w:rFonts w:ascii="宋体" w:hAnsi="宋体" w:cs="宋体"/>
          <w:b/>
          <w:szCs w:val="24"/>
        </w:rPr>
      </w:pPr>
      <w:r>
        <w:rPr>
          <w:rFonts w:hint="eastAsia" w:ascii="宋体" w:hAnsi="宋体" w:cs="宋体"/>
          <w:b/>
          <w:szCs w:val="24"/>
        </w:rPr>
        <w:t>1、质疑提出</w:t>
      </w:r>
    </w:p>
    <w:p w14:paraId="4D8F553C">
      <w:pPr>
        <w:pStyle w:val="58"/>
        <w:spacing w:line="600" w:lineRule="exact"/>
        <w:ind w:firstLine="480"/>
        <w:rPr>
          <w:rFonts w:ascii="宋体" w:hAnsi="宋体" w:cs="宋体"/>
          <w:szCs w:val="24"/>
        </w:rPr>
      </w:pPr>
      <w:r>
        <w:rPr>
          <w:rFonts w:hint="eastAsia" w:ascii="宋体" w:hAnsi="宋体" w:cs="宋体"/>
          <w:szCs w:val="24"/>
        </w:rPr>
        <w:t>1.1供应商认为竞争性磋商文件、采购过程和成交结果使自己的合法权益受到损害的，可以在知道或者应知其权益受到损害之日起七个工作日内，以书面形式向采购人、采购代理机构提出质疑。</w:t>
      </w:r>
    </w:p>
    <w:p w14:paraId="1C3E0676">
      <w:pPr>
        <w:pStyle w:val="58"/>
        <w:spacing w:line="600" w:lineRule="exact"/>
        <w:ind w:firstLine="480"/>
        <w:rPr>
          <w:rFonts w:ascii="宋体" w:hAnsi="宋体" w:cs="宋体"/>
          <w:szCs w:val="24"/>
        </w:rPr>
      </w:pPr>
      <w:r>
        <w:rPr>
          <w:rFonts w:hint="eastAsia" w:ascii="宋体" w:hAnsi="宋体" w:cs="宋体"/>
          <w:szCs w:val="24"/>
        </w:rPr>
        <w:t>1.2供应商在法定质疑期内须一次性提出针对同一采购程序环节的质疑，采购人、采购代理机构在任何情况下有权拒绝接受供应商在法定质疑期多次性提出针对同一采购程序环节的质疑。</w:t>
      </w:r>
    </w:p>
    <w:p w14:paraId="424085DD">
      <w:pPr>
        <w:pStyle w:val="58"/>
        <w:spacing w:line="600" w:lineRule="exact"/>
        <w:ind w:firstLine="480"/>
        <w:rPr>
          <w:rFonts w:ascii="宋体" w:hAnsi="宋体" w:cs="宋体"/>
          <w:szCs w:val="24"/>
        </w:rPr>
      </w:pPr>
      <w:r>
        <w:rPr>
          <w:rFonts w:hint="eastAsia" w:ascii="宋体" w:hAnsi="宋体" w:cs="宋体"/>
          <w:szCs w:val="24"/>
        </w:rPr>
        <w:t>1.3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和投诉，应当提交供应商签署的授权委托书。</w:t>
      </w:r>
    </w:p>
    <w:p w14:paraId="5465308F">
      <w:pPr>
        <w:pStyle w:val="58"/>
        <w:spacing w:line="600" w:lineRule="exact"/>
        <w:ind w:firstLine="482"/>
        <w:rPr>
          <w:rFonts w:ascii="宋体" w:hAnsi="宋体" w:cs="宋体"/>
          <w:b/>
          <w:szCs w:val="24"/>
        </w:rPr>
      </w:pPr>
      <w:r>
        <w:rPr>
          <w:rFonts w:hint="eastAsia" w:ascii="宋体" w:hAnsi="宋体" w:cs="宋体"/>
          <w:b/>
          <w:szCs w:val="24"/>
        </w:rPr>
        <w:t>2、质疑函</w:t>
      </w:r>
    </w:p>
    <w:p w14:paraId="1D036E82">
      <w:pPr>
        <w:pStyle w:val="58"/>
        <w:spacing w:line="600" w:lineRule="exact"/>
        <w:ind w:firstLine="480"/>
        <w:rPr>
          <w:rFonts w:ascii="宋体" w:hAnsi="宋体" w:cs="宋体"/>
          <w:szCs w:val="24"/>
        </w:rPr>
      </w:pPr>
      <w:r>
        <w:rPr>
          <w:rFonts w:hint="eastAsia" w:ascii="宋体" w:hAnsi="宋体" w:cs="宋体"/>
          <w:szCs w:val="24"/>
        </w:rPr>
        <w:t>2.1 质疑函须使用财政部制定的政府采购供应商质疑函范本进行编写。</w:t>
      </w:r>
    </w:p>
    <w:p w14:paraId="67AFB4BA">
      <w:pPr>
        <w:pStyle w:val="58"/>
        <w:spacing w:line="600" w:lineRule="exact"/>
        <w:ind w:firstLine="480"/>
        <w:rPr>
          <w:rFonts w:ascii="宋体" w:hAnsi="宋体" w:cs="宋体"/>
          <w:szCs w:val="24"/>
        </w:rPr>
      </w:pPr>
      <w:r>
        <w:rPr>
          <w:rFonts w:hint="eastAsia" w:ascii="宋体" w:hAnsi="宋体" w:cs="宋体"/>
          <w:szCs w:val="24"/>
        </w:rPr>
        <w:t>2.2质疑函包括下列内容：</w:t>
      </w:r>
    </w:p>
    <w:p w14:paraId="0A035D8D">
      <w:pPr>
        <w:pStyle w:val="58"/>
        <w:spacing w:line="600" w:lineRule="exact"/>
        <w:ind w:firstLine="480"/>
        <w:rPr>
          <w:rFonts w:ascii="宋体" w:hAnsi="宋体" w:cs="宋体"/>
          <w:szCs w:val="24"/>
        </w:rPr>
      </w:pPr>
      <w:r>
        <w:rPr>
          <w:rFonts w:hint="eastAsia" w:ascii="宋体" w:hAnsi="宋体" w:cs="宋体"/>
          <w:szCs w:val="24"/>
        </w:rPr>
        <w:t>（1）供应商的姓名或者名称、地址、邮编、联系人及联系电话；</w:t>
      </w:r>
    </w:p>
    <w:p w14:paraId="06AB7FE4">
      <w:pPr>
        <w:pStyle w:val="58"/>
        <w:spacing w:line="600" w:lineRule="exact"/>
        <w:ind w:firstLine="480"/>
        <w:rPr>
          <w:rFonts w:ascii="宋体" w:hAnsi="宋体" w:cs="宋体"/>
          <w:szCs w:val="24"/>
        </w:rPr>
      </w:pPr>
      <w:r>
        <w:rPr>
          <w:rFonts w:hint="eastAsia" w:ascii="宋体" w:hAnsi="宋体" w:cs="宋体"/>
          <w:szCs w:val="24"/>
        </w:rPr>
        <w:t>（2）质疑项目的名称、编号；</w:t>
      </w:r>
    </w:p>
    <w:p w14:paraId="4E5D4558">
      <w:pPr>
        <w:pStyle w:val="58"/>
        <w:spacing w:line="600" w:lineRule="exact"/>
        <w:ind w:firstLine="480"/>
        <w:rPr>
          <w:rFonts w:ascii="宋体" w:hAnsi="宋体" w:cs="宋体"/>
          <w:szCs w:val="24"/>
        </w:rPr>
      </w:pPr>
      <w:r>
        <w:rPr>
          <w:rFonts w:hint="eastAsia" w:ascii="宋体" w:hAnsi="宋体" w:cs="宋体"/>
          <w:szCs w:val="24"/>
        </w:rPr>
        <w:t>（3）具体、明确的质疑事项和与质疑事项相关的请求；</w:t>
      </w:r>
    </w:p>
    <w:p w14:paraId="51BA957B">
      <w:pPr>
        <w:pStyle w:val="58"/>
        <w:spacing w:line="600" w:lineRule="exact"/>
        <w:ind w:firstLine="480"/>
        <w:rPr>
          <w:rFonts w:ascii="宋体" w:hAnsi="宋体" w:cs="宋体"/>
          <w:szCs w:val="24"/>
        </w:rPr>
      </w:pPr>
      <w:r>
        <w:rPr>
          <w:rFonts w:hint="eastAsia" w:ascii="宋体" w:hAnsi="宋体" w:cs="宋体"/>
          <w:szCs w:val="24"/>
        </w:rPr>
        <w:t>（4）事实依据；</w:t>
      </w:r>
    </w:p>
    <w:p w14:paraId="2E8D5810">
      <w:pPr>
        <w:pStyle w:val="58"/>
        <w:spacing w:line="600" w:lineRule="exact"/>
        <w:ind w:firstLine="480"/>
        <w:rPr>
          <w:rFonts w:ascii="宋体" w:hAnsi="宋体" w:cs="宋体"/>
          <w:szCs w:val="24"/>
        </w:rPr>
      </w:pPr>
      <w:r>
        <w:rPr>
          <w:rFonts w:hint="eastAsia" w:ascii="宋体" w:hAnsi="宋体" w:cs="宋体"/>
          <w:szCs w:val="24"/>
        </w:rPr>
        <w:t>（5）必要的法律依据；</w:t>
      </w:r>
    </w:p>
    <w:p w14:paraId="5CB69703">
      <w:pPr>
        <w:pStyle w:val="58"/>
        <w:spacing w:line="600" w:lineRule="exact"/>
        <w:ind w:firstLine="480"/>
        <w:rPr>
          <w:rFonts w:ascii="宋体" w:hAnsi="宋体" w:cs="宋体"/>
          <w:szCs w:val="24"/>
        </w:rPr>
      </w:pPr>
      <w:r>
        <w:rPr>
          <w:rFonts w:hint="eastAsia" w:ascii="宋体" w:hAnsi="宋体" w:cs="宋体"/>
          <w:szCs w:val="24"/>
        </w:rPr>
        <w:t>（6）提出质疑的日期。</w:t>
      </w:r>
    </w:p>
    <w:p w14:paraId="5A05563A">
      <w:pPr>
        <w:pStyle w:val="58"/>
        <w:spacing w:line="600" w:lineRule="exact"/>
        <w:ind w:firstLine="480"/>
        <w:rPr>
          <w:rFonts w:ascii="宋体" w:hAnsi="宋体" w:cs="宋体"/>
          <w:szCs w:val="24"/>
        </w:rPr>
      </w:pPr>
      <w:r>
        <w:rPr>
          <w:rFonts w:hint="eastAsia" w:ascii="宋体" w:hAnsi="宋体" w:cs="宋体"/>
          <w:szCs w:val="24"/>
        </w:rPr>
        <w:t>按照“谁主张、谁举证”的原则，质疑书应当附上相关证明材料，否则质疑将视为无有效证据支持，将被予以驳回。</w:t>
      </w:r>
    </w:p>
    <w:p w14:paraId="17A69EC1">
      <w:pPr>
        <w:pStyle w:val="58"/>
        <w:spacing w:line="600" w:lineRule="exact"/>
        <w:ind w:firstLine="480"/>
        <w:rPr>
          <w:rFonts w:ascii="宋体" w:hAnsi="宋体" w:cs="宋体"/>
          <w:szCs w:val="24"/>
        </w:rPr>
      </w:pPr>
      <w:r>
        <w:rPr>
          <w:rFonts w:hint="eastAsia" w:ascii="宋体" w:hAnsi="宋体" w:cs="宋体"/>
          <w:szCs w:val="24"/>
        </w:rPr>
        <w:t>2.3供应商为自然人的，应当由本人签字；供应商为法人或者其他组织的，应当由法定代表人/主要负责人，或者其响应代表签字或者盖章，并加盖单位公章，不得加盖合同专用章、投标专用章等各种形式的专用章。</w:t>
      </w:r>
    </w:p>
    <w:p w14:paraId="02300657">
      <w:pPr>
        <w:pStyle w:val="58"/>
        <w:spacing w:line="600" w:lineRule="exact"/>
        <w:ind w:firstLine="482"/>
        <w:rPr>
          <w:rFonts w:ascii="宋体" w:hAnsi="宋体" w:cs="宋体"/>
          <w:b/>
          <w:szCs w:val="24"/>
        </w:rPr>
      </w:pPr>
      <w:r>
        <w:rPr>
          <w:rFonts w:hint="eastAsia" w:ascii="宋体" w:hAnsi="宋体" w:cs="宋体"/>
          <w:b/>
          <w:szCs w:val="24"/>
        </w:rPr>
        <w:t>3、质疑受理</w:t>
      </w:r>
    </w:p>
    <w:p w14:paraId="3788E368">
      <w:pPr>
        <w:pStyle w:val="58"/>
        <w:spacing w:line="600" w:lineRule="exact"/>
        <w:ind w:firstLine="480"/>
        <w:rPr>
          <w:rFonts w:ascii="宋体" w:hAnsi="宋体" w:cs="宋体"/>
          <w:bCs/>
          <w:szCs w:val="24"/>
        </w:rPr>
      </w:pPr>
      <w:r>
        <w:rPr>
          <w:rFonts w:hint="eastAsia" w:ascii="宋体" w:hAnsi="宋体" w:cs="宋体"/>
          <w:bCs/>
          <w:szCs w:val="24"/>
        </w:rPr>
        <w:t>3.1质疑书原件可采取当面递交或邮寄、快递的方式送达代理机构。以邮寄、快递方式递交的，质疑提起日期以邮寄件上的戳记日期、邮政快递件上的戳记日期或非邮政快递件上的签注之日计算，受理日期则以代理机构收到质疑函原件之日计算。</w:t>
      </w:r>
    </w:p>
    <w:p w14:paraId="6ED44F91">
      <w:pPr>
        <w:pStyle w:val="58"/>
        <w:spacing w:line="600" w:lineRule="exact"/>
        <w:ind w:firstLine="480"/>
        <w:rPr>
          <w:rFonts w:ascii="宋体" w:hAnsi="宋体" w:cs="宋体"/>
          <w:bCs/>
          <w:szCs w:val="24"/>
        </w:rPr>
      </w:pPr>
      <w:r>
        <w:rPr>
          <w:rFonts w:hint="eastAsia" w:ascii="宋体" w:hAnsi="宋体" w:cs="宋体"/>
          <w:bCs/>
          <w:szCs w:val="24"/>
        </w:rPr>
        <w:t>以邮寄、快递方式递交质疑函的，质疑人可以在质疑有效期内以清晰扫描及时将质疑事项告知代理机构，并提供邮寄件、快递件的有效查询方式。</w:t>
      </w:r>
    </w:p>
    <w:p w14:paraId="6386B778">
      <w:pPr>
        <w:pStyle w:val="58"/>
        <w:spacing w:line="600" w:lineRule="exact"/>
        <w:ind w:firstLine="480"/>
        <w:rPr>
          <w:rFonts w:ascii="宋体" w:hAnsi="宋体" w:cs="宋体"/>
          <w:bCs/>
          <w:szCs w:val="24"/>
        </w:rPr>
      </w:pPr>
      <w:r>
        <w:rPr>
          <w:rFonts w:hint="eastAsia" w:ascii="宋体" w:hAnsi="宋体" w:cs="宋体"/>
          <w:bCs/>
          <w:szCs w:val="24"/>
        </w:rPr>
        <w:t>3.2 质疑函接收信息</w:t>
      </w:r>
    </w:p>
    <w:p w14:paraId="1D1896C6">
      <w:pPr>
        <w:pStyle w:val="58"/>
        <w:spacing w:line="600" w:lineRule="exact"/>
        <w:ind w:firstLine="897" w:firstLineChars="374"/>
        <w:rPr>
          <w:rFonts w:ascii="宋体" w:hAnsi="宋体" w:cs="宋体"/>
          <w:bCs/>
          <w:szCs w:val="24"/>
        </w:rPr>
      </w:pPr>
      <w:r>
        <w:rPr>
          <w:rFonts w:hint="eastAsia" w:ascii="宋体" w:hAnsi="宋体" w:cs="宋体"/>
          <w:bCs/>
          <w:szCs w:val="24"/>
        </w:rPr>
        <w:t>联系部门：海南亿佳源招标代理有限公司—项目部</w:t>
      </w:r>
    </w:p>
    <w:p w14:paraId="2CCEDF18">
      <w:pPr>
        <w:pStyle w:val="58"/>
        <w:spacing w:line="600" w:lineRule="exact"/>
        <w:ind w:firstLine="897" w:firstLineChars="374"/>
        <w:rPr>
          <w:rFonts w:ascii="宋体" w:hAnsi="宋体" w:cs="宋体"/>
          <w:bCs/>
          <w:szCs w:val="24"/>
        </w:rPr>
      </w:pPr>
      <w:r>
        <w:rPr>
          <w:rFonts w:hint="eastAsia" w:ascii="宋体" w:hAnsi="宋体" w:cs="宋体"/>
          <w:bCs/>
          <w:szCs w:val="24"/>
        </w:rPr>
        <w:t xml:space="preserve">联系电话及联系人：林工0898-68571272 </w:t>
      </w:r>
    </w:p>
    <w:p w14:paraId="568F3F4C">
      <w:pPr>
        <w:pStyle w:val="58"/>
        <w:spacing w:line="600" w:lineRule="exact"/>
        <w:ind w:firstLine="897" w:firstLineChars="374"/>
        <w:rPr>
          <w:rFonts w:ascii="宋体" w:hAnsi="宋体" w:cs="宋体"/>
          <w:bCs/>
          <w:szCs w:val="24"/>
        </w:rPr>
      </w:pPr>
      <w:r>
        <w:rPr>
          <w:rFonts w:hint="eastAsia" w:ascii="宋体" w:hAnsi="宋体" w:cs="宋体"/>
          <w:bCs/>
          <w:szCs w:val="24"/>
        </w:rPr>
        <w:t>通讯地址：海口市美兰区蓝天街道大英山西二街26号龙兴国际大厦4层B03室</w:t>
      </w:r>
    </w:p>
    <w:p w14:paraId="687BA195">
      <w:pPr>
        <w:pStyle w:val="58"/>
        <w:spacing w:line="600" w:lineRule="exact"/>
        <w:ind w:firstLine="480"/>
        <w:rPr>
          <w:rFonts w:ascii="宋体" w:hAnsi="宋体" w:cs="宋体"/>
          <w:bCs/>
          <w:szCs w:val="24"/>
        </w:rPr>
      </w:pPr>
      <w:r>
        <w:rPr>
          <w:rFonts w:hint="eastAsia" w:ascii="宋体" w:hAnsi="宋体" w:cs="宋体"/>
          <w:bCs/>
          <w:szCs w:val="24"/>
        </w:rPr>
        <w:t>3.3有下列情形之一的，属于无效质疑，采购人或采购代理机构可不予受理：</w:t>
      </w:r>
    </w:p>
    <w:p w14:paraId="6963FE76">
      <w:pPr>
        <w:pStyle w:val="58"/>
        <w:spacing w:line="600" w:lineRule="exact"/>
        <w:ind w:firstLine="480"/>
        <w:rPr>
          <w:rFonts w:ascii="宋体" w:hAnsi="宋体" w:cs="宋体"/>
          <w:bCs/>
          <w:szCs w:val="24"/>
        </w:rPr>
      </w:pPr>
      <w:r>
        <w:rPr>
          <w:rFonts w:hint="eastAsia" w:ascii="宋体" w:hAnsi="宋体" w:cs="宋体"/>
          <w:bCs/>
          <w:szCs w:val="24"/>
        </w:rPr>
        <w:t>（1）未在有效期限内提出质疑的；</w:t>
      </w:r>
    </w:p>
    <w:p w14:paraId="60C7334A">
      <w:pPr>
        <w:pStyle w:val="58"/>
        <w:spacing w:line="600" w:lineRule="exact"/>
        <w:ind w:firstLine="480"/>
        <w:rPr>
          <w:rFonts w:ascii="宋体" w:hAnsi="宋体" w:cs="宋体"/>
          <w:bCs/>
          <w:szCs w:val="24"/>
        </w:rPr>
      </w:pPr>
      <w:r>
        <w:rPr>
          <w:rFonts w:hint="eastAsia" w:ascii="宋体" w:hAnsi="宋体" w:cs="宋体"/>
          <w:bCs/>
          <w:szCs w:val="24"/>
        </w:rPr>
        <w:t>（2）质疑未以书面形式提出的；</w:t>
      </w:r>
    </w:p>
    <w:p w14:paraId="14E58804">
      <w:pPr>
        <w:pStyle w:val="58"/>
        <w:spacing w:line="600" w:lineRule="exact"/>
        <w:ind w:firstLine="480"/>
        <w:rPr>
          <w:rFonts w:ascii="宋体" w:hAnsi="宋体" w:cs="宋体"/>
          <w:bCs/>
          <w:szCs w:val="24"/>
        </w:rPr>
      </w:pPr>
      <w:r>
        <w:rPr>
          <w:rFonts w:hint="eastAsia" w:ascii="宋体" w:hAnsi="宋体" w:cs="宋体"/>
          <w:bCs/>
          <w:szCs w:val="24"/>
        </w:rPr>
        <w:t>（3）所提交材料未明示属于质疑材料的；</w:t>
      </w:r>
    </w:p>
    <w:p w14:paraId="6F3E61C8">
      <w:pPr>
        <w:pStyle w:val="58"/>
        <w:spacing w:line="600" w:lineRule="exact"/>
        <w:ind w:firstLine="480"/>
        <w:rPr>
          <w:rFonts w:ascii="宋体" w:hAnsi="宋体" w:cs="宋体"/>
          <w:bCs/>
          <w:szCs w:val="24"/>
        </w:rPr>
      </w:pPr>
      <w:r>
        <w:rPr>
          <w:rFonts w:hint="eastAsia" w:ascii="宋体" w:hAnsi="宋体" w:cs="宋体"/>
          <w:bCs/>
          <w:szCs w:val="24"/>
        </w:rPr>
        <w:t>（4）质疑事项已经进入投诉或者诉讼程序的；</w:t>
      </w:r>
    </w:p>
    <w:p w14:paraId="1F96829A">
      <w:pPr>
        <w:pStyle w:val="58"/>
        <w:spacing w:line="600" w:lineRule="exact"/>
        <w:ind w:firstLine="480"/>
        <w:rPr>
          <w:rFonts w:ascii="宋体" w:hAnsi="宋体" w:cs="宋体"/>
          <w:bCs/>
          <w:szCs w:val="24"/>
        </w:rPr>
      </w:pPr>
      <w:r>
        <w:rPr>
          <w:rFonts w:hint="eastAsia" w:ascii="宋体" w:hAnsi="宋体" w:cs="宋体"/>
          <w:bCs/>
          <w:szCs w:val="24"/>
        </w:rPr>
        <w:t>（5）其它不符合受理条件的情形。</w:t>
      </w:r>
    </w:p>
    <w:p w14:paraId="69504741">
      <w:pPr>
        <w:snapToGrid w:val="0"/>
        <w:spacing w:line="600" w:lineRule="exact"/>
        <w:jc w:val="center"/>
        <w:outlineLvl w:val="1"/>
        <w:rPr>
          <w:rFonts w:ascii="宋体" w:hAnsi="宋体" w:cs="宋体"/>
          <w:b/>
          <w:kern w:val="0"/>
        </w:rPr>
      </w:pPr>
      <w:r>
        <w:rPr>
          <w:rFonts w:hint="eastAsia" w:ascii="宋体" w:hAnsi="宋体" w:cs="宋体"/>
          <w:b/>
          <w:kern w:val="0"/>
        </w:rPr>
        <w:t>七、其他</w:t>
      </w:r>
    </w:p>
    <w:p w14:paraId="7714D75C">
      <w:pPr>
        <w:snapToGrid w:val="0"/>
        <w:spacing w:line="600" w:lineRule="exact"/>
        <w:ind w:firstLine="480" w:firstLineChars="200"/>
        <w:rPr>
          <w:rFonts w:ascii="宋体" w:hAnsi="宋体" w:cs="宋体"/>
          <w:bCs/>
        </w:rPr>
      </w:pPr>
      <w:r>
        <w:rPr>
          <w:rFonts w:hint="eastAsia" w:ascii="宋体" w:hAnsi="宋体" w:cs="宋体"/>
          <w:bCs/>
        </w:rPr>
        <w:t>1、信用信息查询的查询渠道：信用中国网站（www.creditchina.gov.cn）、中国政府采购网（www.ccgp.gov.cn）、中国执行信息公开网（http://zxgk.court.gov.cn/）。</w:t>
      </w:r>
    </w:p>
    <w:p w14:paraId="1DF6E207">
      <w:pPr>
        <w:snapToGrid w:val="0"/>
        <w:spacing w:line="600" w:lineRule="exact"/>
        <w:ind w:firstLine="480" w:firstLineChars="200"/>
        <w:rPr>
          <w:rFonts w:ascii="宋体" w:hAnsi="宋体" w:cs="宋体"/>
          <w:bCs/>
        </w:rPr>
      </w:pPr>
      <w:r>
        <w:rPr>
          <w:rFonts w:hint="eastAsia" w:ascii="宋体" w:hAnsi="宋体" w:cs="宋体"/>
          <w:bCs/>
        </w:rPr>
        <w:t>2、信用信息的使用规则：对列入失信被执行人、重大税收违法失信主体、政府采购严重违法失信行为记录名单及其他不符合《中华人民共和国政府采购法》第二十二条规定条件的供应商，将拒绝其参与政府采购活动。</w:t>
      </w:r>
    </w:p>
    <w:p w14:paraId="0A4031A1">
      <w:pPr>
        <w:spacing w:line="600" w:lineRule="exact"/>
        <w:ind w:firstLine="480" w:firstLineChars="200"/>
        <w:rPr>
          <w:rFonts w:ascii="宋体" w:hAnsi="宋体" w:cs="宋体"/>
          <w:bCs/>
        </w:rPr>
      </w:pPr>
      <w:r>
        <w:rPr>
          <w:rFonts w:hint="eastAsia" w:ascii="宋体" w:hAnsi="宋体" w:cs="宋体"/>
          <w:bCs/>
        </w:rPr>
        <w:t>3、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1690813">
      <w:pPr>
        <w:spacing w:line="600" w:lineRule="exact"/>
        <w:ind w:firstLine="480" w:firstLineChars="200"/>
        <w:rPr>
          <w:rFonts w:ascii="宋体" w:hAnsi="宋体" w:cs="宋体"/>
          <w:bCs/>
        </w:rPr>
      </w:pPr>
      <w:r>
        <w:rPr>
          <w:rFonts w:hint="eastAsia" w:ascii="宋体" w:hAnsi="宋体" w:cs="宋体"/>
          <w:bCs/>
        </w:rPr>
        <w:t>4、若供应商为其他组织或个体工商户等非法人供应商，其他组织的负责人、个体工商户的经营者等同于磋商文件中规定的法定代表人，其他组织的负责人、个体工商户经营者的签名同于磋商文件中规定的法定代表人签名。供应商也可以对响应文件中格式进行相应的修改。</w:t>
      </w:r>
    </w:p>
    <w:p w14:paraId="0E24A7B2">
      <w:pPr>
        <w:spacing w:line="600" w:lineRule="exact"/>
        <w:ind w:firstLine="482" w:firstLineChars="200"/>
        <w:rPr>
          <w:rFonts w:ascii="宋体" w:hAnsi="宋体" w:cs="宋体"/>
          <w:b/>
        </w:rPr>
      </w:pPr>
      <w:r>
        <w:rPr>
          <w:rFonts w:hint="eastAsia" w:ascii="宋体" w:hAnsi="宋体" w:cs="宋体"/>
          <w:b/>
        </w:rPr>
        <w:t>5、本项目所属行业：其他未列明行业。</w:t>
      </w:r>
    </w:p>
    <w:p w14:paraId="55DD7B5A">
      <w:pPr>
        <w:spacing w:line="600" w:lineRule="exact"/>
        <w:ind w:firstLine="482" w:firstLineChars="200"/>
        <w:rPr>
          <w:rFonts w:ascii="宋体" w:hAnsi="宋体" w:cs="宋体"/>
          <w:b/>
        </w:rPr>
      </w:pPr>
    </w:p>
    <w:p w14:paraId="2FEEE99A">
      <w:pPr>
        <w:spacing w:line="600" w:lineRule="exact"/>
        <w:ind w:firstLine="588" w:firstLineChars="245"/>
        <w:jc w:val="center"/>
        <w:rPr>
          <w:rFonts w:ascii="宋体" w:hAnsi="宋体" w:cs="宋体"/>
          <w:bCs/>
        </w:rPr>
      </w:pPr>
    </w:p>
    <w:p w14:paraId="361D83A0">
      <w:pPr>
        <w:pStyle w:val="58"/>
        <w:spacing w:line="600" w:lineRule="exact"/>
        <w:ind w:firstLine="602"/>
        <w:rPr>
          <w:rFonts w:ascii="宋体" w:hAnsi="宋体" w:cs="宋体"/>
          <w:b/>
          <w:bCs/>
          <w:sz w:val="30"/>
          <w:szCs w:val="30"/>
        </w:rPr>
      </w:pPr>
    </w:p>
    <w:p w14:paraId="19A0BC71">
      <w:pPr>
        <w:pStyle w:val="8"/>
        <w:snapToGrid w:val="0"/>
        <w:spacing w:line="600" w:lineRule="exact"/>
        <w:ind w:firstLine="0"/>
        <w:jc w:val="center"/>
        <w:outlineLvl w:val="0"/>
        <w:rPr>
          <w:rFonts w:ascii="仿宋" w:hAnsi="仿宋" w:eastAsia="仿宋"/>
          <w:sz w:val="32"/>
          <w:szCs w:val="32"/>
        </w:rPr>
      </w:pPr>
      <w:r>
        <w:rPr>
          <w:rFonts w:hint="eastAsia" w:ascii="宋体" w:hAnsi="宋体" w:cs="宋体"/>
          <w:b/>
          <w:bCs/>
          <w:sz w:val="30"/>
          <w:szCs w:val="30"/>
        </w:rPr>
        <w:br w:type="page"/>
      </w:r>
      <w:bookmarkStart w:id="72" w:name="_Toc25697304"/>
      <w:bookmarkStart w:id="73" w:name="_Toc35856196"/>
      <w:bookmarkStart w:id="74" w:name="_Toc35856325"/>
      <w:bookmarkStart w:id="75" w:name="_Toc48044736"/>
      <w:r>
        <w:rPr>
          <w:rFonts w:hint="eastAsia" w:ascii="宋体" w:hAnsi="宋体" w:cs="宋体"/>
          <w:b/>
          <w:bCs/>
          <w:sz w:val="30"/>
          <w:szCs w:val="30"/>
        </w:rPr>
        <w:t>第三章 采购需求</w:t>
      </w:r>
      <w:bookmarkEnd w:id="72"/>
      <w:bookmarkEnd w:id="73"/>
      <w:bookmarkEnd w:id="74"/>
      <w:bookmarkEnd w:id="75"/>
    </w:p>
    <w:p w14:paraId="13094045">
      <w:pPr>
        <w:adjustRightInd w:val="0"/>
        <w:snapToGrid w:val="0"/>
        <w:spacing w:line="560" w:lineRule="exact"/>
        <w:jc w:val="center"/>
        <w:outlineLvl w:val="1"/>
        <w:rPr>
          <w:rFonts w:asciiTheme="majorEastAsia" w:hAnsiTheme="majorEastAsia" w:eastAsiaTheme="majorEastAsia" w:cstheme="majorEastAsia"/>
          <w:b/>
          <w:bCs/>
          <w:spacing w:val="-2"/>
          <w:position w:val="2"/>
          <w:sz w:val="32"/>
          <w:szCs w:val="32"/>
        </w:rPr>
      </w:pPr>
      <w:bookmarkStart w:id="76" w:name="OLE_LINK16"/>
      <w:bookmarkStart w:id="77" w:name="OLE_LINK17"/>
      <w:bookmarkStart w:id="78" w:name="_Toc35856326"/>
      <w:bookmarkStart w:id="79" w:name="_Toc25697305"/>
      <w:bookmarkStart w:id="80" w:name="_Toc48044737"/>
      <w:bookmarkStart w:id="81" w:name="_Toc35856197"/>
      <w:r>
        <w:rPr>
          <w:rFonts w:hint="eastAsia" w:asciiTheme="majorEastAsia" w:hAnsiTheme="majorEastAsia" w:eastAsiaTheme="majorEastAsia" w:cstheme="majorEastAsia"/>
          <w:b/>
          <w:bCs/>
          <w:spacing w:val="-2"/>
          <w:position w:val="2"/>
          <w:szCs w:val="32"/>
        </w:rPr>
        <w:t>第一部分 服务要求</w:t>
      </w:r>
    </w:p>
    <w:p w14:paraId="5A0EAFE9">
      <w:pPr>
        <w:spacing w:line="600" w:lineRule="exact"/>
        <w:ind w:left="-14" w:leftChars="-6" w:right="50" w:firstLine="353" w:firstLineChars="149"/>
        <w:rPr>
          <w:rFonts w:asciiTheme="minorEastAsia" w:hAnsiTheme="minorEastAsia" w:eastAsiaTheme="minorEastAsia" w:cstheme="minorEastAsia"/>
          <w:kern w:val="21"/>
        </w:rPr>
      </w:pPr>
      <w:r>
        <w:rPr>
          <w:rFonts w:hint="eastAsia" w:ascii="仿宋" w:hAnsi="仿宋" w:eastAsia="仿宋" w:cs="仿宋"/>
          <w:b/>
          <w:bCs/>
          <w:spacing w:val="-2"/>
          <w:position w:val="2"/>
        </w:rPr>
        <w:t>一、技术、服务要求</w:t>
      </w:r>
    </w:p>
    <w:p w14:paraId="27E40181">
      <w:pPr>
        <w:adjustRightInd w:val="0"/>
        <w:snapToGrid w:val="0"/>
        <w:spacing w:line="360" w:lineRule="auto"/>
        <w:ind w:firstLine="238" w:firstLineChars="100"/>
        <w:rPr>
          <w:rFonts w:ascii="仿宋" w:hAnsi="仿宋" w:eastAsia="仿宋" w:cs="仿宋"/>
          <w:spacing w:val="-1"/>
        </w:rPr>
      </w:pPr>
      <w:r>
        <w:rPr>
          <w:rFonts w:hint="eastAsia" w:ascii="仿宋" w:hAnsi="仿宋" w:eastAsia="仿宋" w:cs="仿宋"/>
          <w:spacing w:val="-1"/>
        </w:rPr>
        <w:t>（一）绿化管养人员要求</w:t>
      </w:r>
    </w:p>
    <w:p w14:paraId="7BC66926">
      <w:pPr>
        <w:adjustRightInd w:val="0"/>
        <w:snapToGrid w:val="0"/>
        <w:spacing w:line="360" w:lineRule="auto"/>
        <w:ind w:firstLine="476" w:firstLineChars="200"/>
        <w:rPr>
          <w:rFonts w:ascii="仿宋" w:hAnsi="仿宋" w:eastAsia="仿宋" w:cs="仿宋"/>
          <w:spacing w:val="-1"/>
        </w:rPr>
      </w:pPr>
      <w:r>
        <w:rPr>
          <w:rFonts w:hint="eastAsia" w:ascii="仿宋" w:hAnsi="仿宋" w:eastAsia="仿宋" w:cs="仿宋"/>
          <w:spacing w:val="-1"/>
        </w:rPr>
        <w:t>一线在岗绿化工人至少12人以上（含），其中至少包含业务主管1人、1名初级以上园林或园艺专业技术人员，保证人员分工到位（从事高空作业的必须有高空作业证书）。</w:t>
      </w:r>
    </w:p>
    <w:p w14:paraId="7D322ADC">
      <w:pPr>
        <w:adjustRightInd w:val="0"/>
        <w:snapToGrid w:val="0"/>
        <w:spacing w:line="360" w:lineRule="auto"/>
        <w:ind w:firstLine="476" w:firstLineChars="200"/>
        <w:rPr>
          <w:rFonts w:ascii="仿宋" w:hAnsi="仿宋" w:eastAsia="仿宋" w:cs="仿宋"/>
          <w:spacing w:val="-1"/>
        </w:rPr>
      </w:pPr>
      <w:bookmarkStart w:id="82" w:name="OLE_LINK1"/>
      <w:r>
        <w:rPr>
          <w:rFonts w:hint="eastAsia" w:ascii="仿宋" w:hAnsi="仿宋" w:eastAsia="仿宋" w:cs="仿宋"/>
          <w:spacing w:val="-1"/>
        </w:rPr>
        <w:t>成交人实际到场作业人员必须与响应文件、合同中列明的拟配备人员名单完全一致，包括姓名、身份证号、职业资格等关键信息，如合同履行过程中成交人需更换人员的，应向采购人报备并取得采购人书面意见。</w:t>
      </w:r>
    </w:p>
    <w:bookmarkEnd w:id="82"/>
    <w:p w14:paraId="38166A98">
      <w:pPr>
        <w:adjustRightInd w:val="0"/>
        <w:snapToGrid w:val="0"/>
        <w:spacing w:line="360" w:lineRule="auto"/>
        <w:ind w:firstLine="238" w:firstLineChars="100"/>
        <w:rPr>
          <w:rFonts w:ascii="仿宋" w:hAnsi="仿宋" w:eastAsia="仿宋" w:cs="仿宋"/>
          <w:spacing w:val="-1"/>
        </w:rPr>
      </w:pPr>
      <w:r>
        <w:rPr>
          <w:rFonts w:hint="eastAsia" w:ascii="仿宋" w:hAnsi="仿宋" w:eastAsia="仿宋" w:cs="仿宋"/>
          <w:spacing w:val="-1"/>
        </w:rPr>
        <w:t>（二）机械配备要求</w:t>
      </w:r>
    </w:p>
    <w:p w14:paraId="20B9EFC4">
      <w:pPr>
        <w:adjustRightInd w:val="0"/>
        <w:snapToGrid w:val="0"/>
        <w:spacing w:line="360" w:lineRule="auto"/>
        <w:ind w:firstLine="476" w:firstLineChars="200"/>
        <w:rPr>
          <w:rFonts w:ascii="仿宋" w:hAnsi="仿宋" w:eastAsia="仿宋" w:cs="仿宋"/>
          <w:spacing w:val="-1"/>
        </w:rPr>
      </w:pPr>
      <w:r>
        <w:rPr>
          <w:rFonts w:hint="eastAsia" w:ascii="仿宋" w:hAnsi="仿宋" w:eastAsia="仿宋" w:cs="仿宋"/>
          <w:spacing w:val="-1"/>
        </w:rPr>
        <w:t>配备洒水车至少1辆，高空作业车至少1辆，油锯和高空锯至少6把（含），可用于运输园林垃圾的车辆至少2辆（含），如果车辆为公司自有的，需提供车辆行驶证，如果车辆为租赁的，需提供至少1年或1年以上租期的租赁合同，保证合同期内能顺利开展管养工作。</w:t>
      </w:r>
    </w:p>
    <w:p w14:paraId="3DF69855">
      <w:pPr>
        <w:adjustRightInd w:val="0"/>
        <w:snapToGrid w:val="0"/>
        <w:spacing w:line="360" w:lineRule="auto"/>
        <w:ind w:firstLine="476" w:firstLineChars="200"/>
        <w:rPr>
          <w:rFonts w:ascii="仿宋" w:hAnsi="仿宋" w:eastAsia="仿宋" w:cs="仿宋"/>
          <w:spacing w:val="-1"/>
        </w:rPr>
      </w:pPr>
      <w:r>
        <w:rPr>
          <w:rFonts w:hint="eastAsia" w:ascii="仿宋" w:hAnsi="仿宋" w:eastAsia="仿宋" w:cs="仿宋"/>
          <w:spacing w:val="-1"/>
        </w:rPr>
        <w:t>成交人现场作业使用的机械设备包括洒水车、高空作业车、油锯和高空锯、垃圾运输车辆等，必须与响应文件、合同中列明的机械设备清单完全一致，包括数量、设备型号、车辆信息等，如合同履行过程中成交人需更换机械设备的，应向采购人报备并取得采购人书面意见。</w:t>
      </w:r>
    </w:p>
    <w:p w14:paraId="784ECF40">
      <w:pPr>
        <w:adjustRightInd w:val="0"/>
        <w:snapToGrid w:val="0"/>
        <w:spacing w:line="360" w:lineRule="auto"/>
        <w:ind w:firstLine="238" w:firstLineChars="100"/>
        <w:rPr>
          <w:rFonts w:ascii="仿宋" w:hAnsi="仿宋" w:eastAsia="仿宋" w:cs="仿宋"/>
          <w:spacing w:val="-1"/>
        </w:rPr>
      </w:pPr>
      <w:r>
        <w:rPr>
          <w:rFonts w:hint="eastAsia" w:ascii="仿宋" w:hAnsi="仿宋" w:eastAsia="仿宋" w:cs="仿宋"/>
          <w:spacing w:val="-1"/>
        </w:rPr>
        <w:t xml:space="preserve"> (三)管养工作要求</w:t>
      </w:r>
    </w:p>
    <w:p w14:paraId="2273ED49">
      <w:pPr>
        <w:adjustRightInd w:val="0"/>
        <w:snapToGrid w:val="0"/>
        <w:spacing w:line="360" w:lineRule="auto"/>
        <w:ind w:firstLine="484" w:firstLineChars="200"/>
        <w:rPr>
          <w:rFonts w:ascii="仿宋" w:hAnsi="仿宋" w:eastAsia="仿宋" w:cs="仿宋"/>
        </w:rPr>
      </w:pPr>
      <w:r>
        <w:rPr>
          <w:rFonts w:hint="eastAsia" w:ascii="仿宋" w:hAnsi="仿宋" w:eastAsia="仿宋" w:cs="仿宋"/>
          <w:spacing w:val="1"/>
        </w:rPr>
        <w:t>1.绿化保洁</w:t>
      </w:r>
      <w:r>
        <w:rPr>
          <w:rFonts w:hint="eastAsia" w:ascii="仿宋" w:hAnsi="仿宋" w:eastAsia="仿宋" w:cs="仿宋"/>
        </w:rPr>
        <w:t>：及时清理绿化作业过程中产生垃圾 (如树枝、树叶、草屑等) ，及时清理枯</w:t>
      </w:r>
      <w:r>
        <w:rPr>
          <w:rFonts w:hint="eastAsia" w:ascii="仿宋" w:hAnsi="仿宋" w:eastAsia="仿宋" w:cs="仿宋"/>
          <w:spacing w:val="13"/>
        </w:rPr>
        <w:t>枝</w:t>
      </w:r>
      <w:r>
        <w:rPr>
          <w:rFonts w:hint="eastAsia" w:ascii="仿宋" w:hAnsi="仿宋" w:eastAsia="仿宋" w:cs="仿宋"/>
          <w:spacing w:val="9"/>
        </w:rPr>
        <w:t>、断枝，保持绿化设施的清洁，及时清理乱涂写、乱张贴、乱悬挂。</w:t>
      </w:r>
    </w:p>
    <w:p w14:paraId="208D2AAC">
      <w:pPr>
        <w:adjustRightInd w:val="0"/>
        <w:snapToGrid w:val="0"/>
        <w:spacing w:line="360" w:lineRule="auto"/>
        <w:ind w:firstLine="584" w:firstLineChars="200"/>
        <w:rPr>
          <w:rFonts w:ascii="仿宋" w:hAnsi="仿宋" w:eastAsia="仿宋" w:cs="仿宋"/>
        </w:rPr>
      </w:pPr>
      <w:r>
        <w:rPr>
          <w:rFonts w:hint="eastAsia" w:ascii="仿宋" w:hAnsi="仿宋" w:eastAsia="仿宋" w:cs="仿宋"/>
          <w:spacing w:val="26"/>
        </w:rPr>
        <w:t>2</w:t>
      </w:r>
      <w:r>
        <w:rPr>
          <w:rFonts w:hint="eastAsia" w:ascii="仿宋" w:hAnsi="仿宋" w:eastAsia="仿宋" w:cs="仿宋"/>
          <w:spacing w:val="15"/>
        </w:rPr>
        <w:t>.</w:t>
      </w:r>
      <w:r>
        <w:rPr>
          <w:rFonts w:hint="eastAsia" w:ascii="仿宋" w:hAnsi="仿宋" w:eastAsia="仿宋" w:cs="仿宋"/>
          <w:spacing w:val="13"/>
        </w:rPr>
        <w:t>灌溉、施肥：浇水应根据不同树木的特性、季节、土壤干湿程度确定，做到适时适量</w:t>
      </w:r>
      <w:r>
        <w:rPr>
          <w:rFonts w:hint="eastAsia" w:ascii="仿宋" w:hAnsi="仿宋" w:eastAsia="仿宋" w:cs="仿宋"/>
          <w:spacing w:val="20"/>
        </w:rPr>
        <w:t>不</w:t>
      </w:r>
      <w:r>
        <w:rPr>
          <w:rFonts w:hint="eastAsia" w:ascii="仿宋" w:hAnsi="仿宋" w:eastAsia="仿宋" w:cs="仿宋"/>
          <w:spacing w:val="10"/>
        </w:rPr>
        <w:t>遗漏，每次浇水要浇足浇透。为确保植物的正常生长发育,对树势较弱或生长迟缓的植物进</w:t>
      </w:r>
      <w:r>
        <w:rPr>
          <w:rFonts w:hint="eastAsia" w:ascii="仿宋" w:hAnsi="仿宋" w:eastAsia="仿宋" w:cs="仿宋"/>
          <w:spacing w:val="2"/>
        </w:rPr>
        <w:t>行及时施肥。肥料以有机肥为主，化肥为辅，所施用的肥料不能产生厌恶性味道，一</w:t>
      </w:r>
      <w:r>
        <w:rPr>
          <w:rFonts w:hint="eastAsia" w:ascii="仿宋" w:hAnsi="仿宋" w:eastAsia="仿宋" w:cs="仿宋"/>
          <w:spacing w:val="1"/>
        </w:rPr>
        <w:t>年</w:t>
      </w:r>
      <w:r>
        <w:rPr>
          <w:rFonts w:hint="eastAsia" w:ascii="仿宋" w:hAnsi="仿宋" w:eastAsia="仿宋" w:cs="仿宋"/>
        </w:rPr>
        <w:t>施肥至少</w:t>
      </w:r>
      <w:r>
        <w:rPr>
          <w:rFonts w:hint="eastAsia" w:ascii="仿宋" w:hAnsi="仿宋" w:eastAsia="仿宋" w:cs="仿宋"/>
          <w:spacing w:val="1"/>
        </w:rPr>
        <w:t>一次</w:t>
      </w:r>
      <w:r>
        <w:rPr>
          <w:rFonts w:hint="eastAsia" w:ascii="仿宋" w:hAnsi="仿宋" w:eastAsia="仿宋" w:cs="仿宋"/>
        </w:rPr>
        <w:t>。</w:t>
      </w:r>
    </w:p>
    <w:p w14:paraId="1BA6D98B">
      <w:pPr>
        <w:adjustRightInd w:val="0"/>
        <w:snapToGrid w:val="0"/>
        <w:spacing w:line="360" w:lineRule="auto"/>
        <w:ind w:firstLine="552" w:firstLineChars="200"/>
        <w:rPr>
          <w:rFonts w:ascii="仿宋" w:hAnsi="仿宋" w:eastAsia="仿宋" w:cs="仿宋"/>
        </w:rPr>
      </w:pPr>
      <w:r>
        <w:rPr>
          <w:rFonts w:hint="eastAsia" w:ascii="仿宋" w:hAnsi="仿宋" w:eastAsia="仿宋" w:cs="仿宋"/>
          <w:spacing w:val="18"/>
        </w:rPr>
        <w:t>3</w:t>
      </w:r>
      <w:r>
        <w:rPr>
          <w:rFonts w:hint="eastAsia" w:ascii="仿宋" w:hAnsi="仿宋" w:eastAsia="仿宋" w:cs="仿宋"/>
          <w:spacing w:val="16"/>
        </w:rPr>
        <w:t>.</w:t>
      </w:r>
      <w:r>
        <w:rPr>
          <w:rFonts w:hint="eastAsia" w:ascii="仿宋" w:hAnsi="仿宋" w:eastAsia="仿宋" w:cs="仿宋"/>
          <w:spacing w:val="9"/>
        </w:rPr>
        <w:t>整形修剪：根据植物的生长发育要求、景观要求及安全要求等，对植物进行定期和不定</w:t>
      </w:r>
      <w:r>
        <w:rPr>
          <w:rFonts w:hint="eastAsia" w:ascii="仿宋" w:hAnsi="仿宋" w:eastAsia="仿宋" w:cs="仿宋"/>
          <w:spacing w:val="1"/>
        </w:rPr>
        <w:t>期的修剪。灌木修剪整齐，有层次，无杂草。确保园林树木树冠基本正常</w:t>
      </w:r>
      <w:r>
        <w:rPr>
          <w:rFonts w:hint="eastAsia" w:ascii="仿宋" w:hAnsi="仿宋" w:eastAsia="仿宋" w:cs="仿宋"/>
        </w:rPr>
        <w:t>，保证整条道路修剪手</w:t>
      </w:r>
      <w:r>
        <w:rPr>
          <w:rFonts w:hint="eastAsia" w:ascii="仿宋" w:hAnsi="仿宋" w:eastAsia="仿宋" w:cs="仿宋"/>
          <w:spacing w:val="1"/>
        </w:rPr>
        <w:t>法一致，行道树分枝点保持</w:t>
      </w:r>
      <w:r>
        <w:rPr>
          <w:rFonts w:hint="eastAsia" w:ascii="仿宋" w:hAnsi="仿宋" w:eastAsia="仿宋" w:cs="仿宋"/>
        </w:rPr>
        <w:t>在2.8m以上，无明显枯枝死杈，无影响架空线树枝，无影响车辆和</w:t>
      </w:r>
      <w:r>
        <w:rPr>
          <w:rFonts w:hint="eastAsia" w:ascii="仿宋" w:hAnsi="仿宋" w:eastAsia="仿宋" w:cs="仿宋"/>
          <w:spacing w:val="-8"/>
        </w:rPr>
        <w:t>行人通</w:t>
      </w:r>
      <w:r>
        <w:rPr>
          <w:rFonts w:hint="eastAsia" w:ascii="仿宋" w:hAnsi="仿宋" w:eastAsia="仿宋" w:cs="仿宋"/>
          <w:spacing w:val="-4"/>
        </w:rPr>
        <w:t>行的下垂枝。每3个月清理棕榈类植物的枯枝垂叶和摘除干椰果1次，并进行日常巡</w:t>
      </w:r>
      <w:r>
        <w:rPr>
          <w:rFonts w:hint="eastAsia" w:ascii="仿宋" w:hAnsi="仿宋" w:eastAsia="仿宋" w:cs="仿宋"/>
          <w:spacing w:val="-12"/>
        </w:rPr>
        <w:t>查</w:t>
      </w:r>
      <w:r>
        <w:rPr>
          <w:rFonts w:hint="eastAsia" w:ascii="仿宋" w:hAnsi="仿宋" w:eastAsia="仿宋" w:cs="仿宋"/>
          <w:spacing w:val="-10"/>
        </w:rPr>
        <w:t>，及时清理突然产生的下垂枝及危险的椰子果，防止掉落伤及行人和其他物体事件。每年压顶修剪不少于</w:t>
      </w:r>
      <w:r>
        <w:rPr>
          <w:rFonts w:ascii="仿宋" w:hAnsi="仿宋" w:eastAsia="仿宋" w:cs="仿宋"/>
          <w:spacing w:val="-10"/>
        </w:rPr>
        <w:t>150</w:t>
      </w:r>
      <w:r>
        <w:rPr>
          <w:rFonts w:hint="eastAsia" w:ascii="仿宋" w:hAnsi="仿宋" w:eastAsia="仿宋" w:cs="仿宋"/>
          <w:spacing w:val="-10"/>
        </w:rPr>
        <w:t>株，具体修剪路段由采购人根据实际需求指定。</w:t>
      </w:r>
    </w:p>
    <w:p w14:paraId="2C2542BA">
      <w:pPr>
        <w:adjustRightInd w:val="0"/>
        <w:snapToGrid w:val="0"/>
        <w:spacing w:line="360" w:lineRule="auto"/>
        <w:ind w:firstLine="552" w:firstLineChars="200"/>
        <w:rPr>
          <w:rFonts w:ascii="仿宋" w:hAnsi="仿宋" w:eastAsia="仿宋" w:cs="仿宋"/>
          <w:spacing w:val="9"/>
        </w:rPr>
      </w:pPr>
      <w:r>
        <w:rPr>
          <w:rFonts w:hint="eastAsia" w:ascii="仿宋" w:hAnsi="仿宋" w:eastAsia="仿宋" w:cs="仿宋"/>
          <w:spacing w:val="18"/>
        </w:rPr>
        <w:t>4.</w:t>
      </w:r>
      <w:r>
        <w:rPr>
          <w:rFonts w:hint="eastAsia" w:ascii="仿宋" w:hAnsi="仿宋" w:eastAsia="仿宋" w:cs="仿宋"/>
          <w:spacing w:val="12"/>
        </w:rPr>
        <w:t>清</w:t>
      </w:r>
      <w:r>
        <w:rPr>
          <w:rFonts w:hint="eastAsia" w:ascii="仿宋" w:hAnsi="仿宋" w:eastAsia="仿宋" w:cs="仿宋"/>
          <w:spacing w:val="9"/>
        </w:rPr>
        <w:t>除杂草及草坪复壮：及时清除行道树下、绿化带及人行道上的杂草，，做到草坪覆盖率90％以上</w:t>
      </w:r>
      <w:r>
        <w:rPr>
          <w:rFonts w:hint="eastAsia" w:ascii="仿宋" w:hAnsi="仿宋" w:eastAsia="仿宋" w:cs="仿宋"/>
          <w:spacing w:val="8"/>
        </w:rPr>
        <w:t>，覆盖率85％以上，除缀花草坪外草坪内杂草率不得超过 8％。</w:t>
      </w:r>
    </w:p>
    <w:p w14:paraId="02145415">
      <w:pPr>
        <w:adjustRightInd w:val="0"/>
        <w:snapToGrid w:val="0"/>
        <w:spacing w:line="360" w:lineRule="auto"/>
        <w:ind w:firstLine="524" w:firstLineChars="200"/>
        <w:rPr>
          <w:rFonts w:ascii="仿宋" w:hAnsi="仿宋" w:eastAsia="仿宋" w:cs="仿宋"/>
        </w:rPr>
      </w:pPr>
      <w:r>
        <w:rPr>
          <w:rFonts w:hint="eastAsia" w:ascii="仿宋" w:hAnsi="仿宋" w:eastAsia="仿宋" w:cs="仿宋"/>
          <w:spacing w:val="11"/>
        </w:rPr>
        <w:t>5</w:t>
      </w:r>
      <w:r>
        <w:rPr>
          <w:rFonts w:hint="eastAsia" w:ascii="仿宋" w:hAnsi="仿宋" w:eastAsia="仿宋" w:cs="仿宋"/>
          <w:spacing w:val="6"/>
        </w:rPr>
        <w:t>.补植修复：行道树缺株率不超过5％，对于缺株苗木要适时进行补栽，并保证补栽的</w:t>
      </w:r>
      <w:r>
        <w:rPr>
          <w:rFonts w:hint="eastAsia" w:ascii="仿宋" w:hAnsi="仿宋" w:eastAsia="仿宋" w:cs="仿宋"/>
          <w:spacing w:val="12"/>
        </w:rPr>
        <w:t>苗木规</w:t>
      </w:r>
      <w:r>
        <w:rPr>
          <w:rFonts w:hint="eastAsia" w:ascii="仿宋" w:hAnsi="仿宋" w:eastAsia="仿宋" w:cs="仿宋"/>
          <w:spacing w:val="11"/>
        </w:rPr>
        <w:t>格</w:t>
      </w:r>
      <w:r>
        <w:rPr>
          <w:rFonts w:hint="eastAsia" w:ascii="仿宋" w:hAnsi="仿宋" w:eastAsia="仿宋" w:cs="仿宋"/>
          <w:spacing w:val="6"/>
        </w:rPr>
        <w:t>、种类统一。及时修补黄土裸露，补充缺损苗木。日常管养时发现正常老化植物或</w:t>
      </w:r>
      <w:r>
        <w:rPr>
          <w:rFonts w:hint="eastAsia" w:ascii="仿宋" w:hAnsi="仿宋" w:eastAsia="仿宋" w:cs="仿宋"/>
          <w:spacing w:val="18"/>
        </w:rPr>
        <w:t>被人</w:t>
      </w:r>
      <w:r>
        <w:rPr>
          <w:rFonts w:hint="eastAsia" w:ascii="仿宋" w:hAnsi="仿宋" w:eastAsia="仿宋" w:cs="仿宋"/>
          <w:spacing w:val="15"/>
        </w:rPr>
        <w:t>为</w:t>
      </w:r>
      <w:r>
        <w:rPr>
          <w:rFonts w:hint="eastAsia" w:ascii="仿宋" w:hAnsi="仿宋" w:eastAsia="仿宋" w:cs="仿宋"/>
          <w:spacing w:val="9"/>
        </w:rPr>
        <w:t>破坏、盗窃、交通事故等造成绿化植物损坏的，要及时通报采购人并根据采购人的意</w:t>
      </w:r>
      <w:r>
        <w:rPr>
          <w:rFonts w:hint="eastAsia" w:ascii="仿宋" w:hAnsi="仿宋" w:eastAsia="仿宋" w:cs="仿宋"/>
          <w:spacing w:val="8"/>
        </w:rPr>
        <w:t>见</w:t>
      </w:r>
      <w:r>
        <w:rPr>
          <w:rFonts w:hint="eastAsia" w:ascii="仿宋" w:hAnsi="仿宋" w:eastAsia="仿宋" w:cs="仿宋"/>
          <w:spacing w:val="7"/>
        </w:rPr>
        <w:t>及时修复、补种。</w:t>
      </w:r>
    </w:p>
    <w:p w14:paraId="4A7DCA54">
      <w:pPr>
        <w:adjustRightInd w:val="0"/>
        <w:snapToGrid w:val="0"/>
        <w:spacing w:line="360" w:lineRule="auto"/>
        <w:ind w:firstLine="504" w:firstLineChars="200"/>
        <w:rPr>
          <w:rFonts w:ascii="仿宋" w:hAnsi="仿宋" w:eastAsia="仿宋" w:cs="仿宋"/>
        </w:rPr>
      </w:pPr>
      <w:r>
        <w:rPr>
          <w:rFonts w:hint="eastAsia" w:ascii="仿宋" w:hAnsi="仿宋" w:eastAsia="仿宋" w:cs="仿宋"/>
          <w:spacing w:val="6"/>
        </w:rPr>
        <w:t>6.扶</w:t>
      </w:r>
      <w:r>
        <w:rPr>
          <w:rFonts w:hint="eastAsia" w:ascii="仿宋" w:hAnsi="仿宋" w:eastAsia="仿宋" w:cs="仿宋"/>
          <w:spacing w:val="5"/>
        </w:rPr>
        <w:t>正</w:t>
      </w:r>
      <w:r>
        <w:rPr>
          <w:rFonts w:hint="eastAsia" w:ascii="仿宋" w:hAnsi="仿宋" w:eastAsia="仿宋" w:cs="仿宋"/>
          <w:spacing w:val="3"/>
        </w:rPr>
        <w:t>支撑：日常巡查发现树木倾斜时，应及时进行扶正 (如因树木本身或立地条件限制不</w:t>
      </w:r>
      <w:r>
        <w:rPr>
          <w:rFonts w:hint="eastAsia" w:ascii="仿宋" w:hAnsi="仿宋" w:eastAsia="仿宋" w:cs="仿宋"/>
          <w:spacing w:val="18"/>
        </w:rPr>
        <w:t>适宜</w:t>
      </w:r>
      <w:r>
        <w:rPr>
          <w:rFonts w:hint="eastAsia" w:ascii="仿宋" w:hAnsi="仿宋" w:eastAsia="仿宋" w:cs="仿宋"/>
          <w:spacing w:val="11"/>
        </w:rPr>
        <w:t>扶</w:t>
      </w:r>
      <w:r>
        <w:rPr>
          <w:rFonts w:hint="eastAsia" w:ascii="仿宋" w:hAnsi="仿宋" w:eastAsia="仿宋" w:cs="仿宋"/>
          <w:spacing w:val="9"/>
        </w:rPr>
        <w:t>正，且不存在安全隐患的，经采购人同意，可不进行扶正处理)。树木支撑材料在同一路段内</w:t>
      </w:r>
      <w:r>
        <w:rPr>
          <w:rFonts w:hint="eastAsia" w:ascii="仿宋" w:hAnsi="仿宋" w:eastAsia="仿宋" w:cs="仿宋"/>
          <w:spacing w:val="16"/>
        </w:rPr>
        <w:t>应</w:t>
      </w:r>
      <w:r>
        <w:rPr>
          <w:rFonts w:hint="eastAsia" w:ascii="仿宋" w:hAnsi="仿宋" w:eastAsia="仿宋" w:cs="仿宋"/>
          <w:spacing w:val="10"/>
        </w:rPr>
        <w:t>当</w:t>
      </w:r>
      <w:r>
        <w:rPr>
          <w:rFonts w:hint="eastAsia" w:ascii="仿宋" w:hAnsi="仿宋" w:eastAsia="仿宋" w:cs="仿宋"/>
          <w:spacing w:val="8"/>
        </w:rPr>
        <w:t>统一，支撑方式规范，支撑牢固。</w:t>
      </w:r>
    </w:p>
    <w:p w14:paraId="23D29A02">
      <w:pPr>
        <w:spacing w:line="360" w:lineRule="auto"/>
        <w:ind w:firstLine="476" w:firstLineChars="200"/>
        <w:jc w:val="left"/>
        <w:rPr>
          <w:rFonts w:ascii="仿宋" w:hAnsi="仿宋" w:eastAsia="仿宋" w:cs="仿宋"/>
        </w:rPr>
      </w:pPr>
      <w:r>
        <w:rPr>
          <w:rFonts w:hint="eastAsia" w:ascii="仿宋" w:hAnsi="仿宋" w:eastAsia="仿宋" w:cs="仿宋"/>
          <w:spacing w:val="-1"/>
        </w:rPr>
        <w:t>7.植物病虫害防治</w:t>
      </w:r>
      <w:r>
        <w:rPr>
          <w:rFonts w:hint="eastAsia" w:ascii="仿宋" w:hAnsi="仿宋" w:eastAsia="仿宋" w:cs="仿宋"/>
        </w:rPr>
        <w:t>：配备专业人员，确保按相关操作规程执行，加强日常巡查，早发现、</w:t>
      </w:r>
      <w:r>
        <w:rPr>
          <w:rFonts w:hint="eastAsia" w:ascii="仿宋" w:hAnsi="仿宋" w:eastAsia="仿宋" w:cs="仿宋"/>
          <w:spacing w:val="1"/>
        </w:rPr>
        <w:t>早处理，采取综合防治。及时做好植物病虫害的防治工作，以防为主，精</w:t>
      </w:r>
      <w:r>
        <w:rPr>
          <w:rFonts w:hint="eastAsia" w:ascii="仿宋" w:hAnsi="仿宋" w:eastAsia="仿宋" w:cs="仿宋"/>
        </w:rPr>
        <w:t>心管养，增强植物抗病</w:t>
      </w:r>
      <w:r>
        <w:rPr>
          <w:rFonts w:hint="eastAsia" w:ascii="仿宋" w:hAnsi="仿宋" w:eastAsia="仿宋" w:cs="仿宋"/>
          <w:spacing w:val="-2"/>
        </w:rPr>
        <w:t>虫害能力。每次进行药物防治前，应将病虫害情况及防治方案报给采购人批准。对已发生的</w:t>
      </w:r>
      <w:r>
        <w:rPr>
          <w:rFonts w:hint="eastAsia" w:ascii="仿宋" w:hAnsi="仿宋" w:eastAsia="仿宋" w:cs="仿宋"/>
        </w:rPr>
        <w:t>病虫害</w:t>
      </w:r>
      <w:r>
        <w:rPr>
          <w:rFonts w:hint="eastAsia" w:ascii="仿宋" w:hAnsi="仿宋" w:eastAsia="仿宋" w:cs="仿宋"/>
          <w:spacing w:val="11"/>
        </w:rPr>
        <w:t>要</w:t>
      </w:r>
      <w:r>
        <w:rPr>
          <w:rFonts w:hint="eastAsia" w:ascii="仿宋" w:hAnsi="仿宋" w:eastAsia="仿宋" w:cs="仿宋"/>
          <w:spacing w:val="9"/>
        </w:rPr>
        <w:t>及时治理、防止蔓延和影响植物正常生</w:t>
      </w:r>
      <w:r>
        <w:rPr>
          <w:rFonts w:hint="eastAsia" w:ascii="仿宋" w:hAnsi="仿宋" w:eastAsia="仿宋" w:cs="仿宋"/>
          <w:spacing w:val="-2"/>
        </w:rPr>
        <w:t>长，最严重的危害率控制在10%以下。严禁使用国家明令禁止使用的农药，提倡使用生物农药。</w:t>
      </w:r>
    </w:p>
    <w:p w14:paraId="19402206">
      <w:pPr>
        <w:adjustRightInd w:val="0"/>
        <w:snapToGrid w:val="0"/>
        <w:spacing w:line="360" w:lineRule="auto"/>
        <w:ind w:firstLine="524" w:firstLineChars="200"/>
        <w:rPr>
          <w:rFonts w:ascii="仿宋" w:hAnsi="仿宋" w:eastAsia="仿宋" w:cs="仿宋"/>
          <w:spacing w:val="11"/>
        </w:rPr>
      </w:pPr>
      <w:r>
        <w:rPr>
          <w:rFonts w:hint="eastAsia" w:ascii="仿宋" w:hAnsi="仿宋" w:eastAsia="仿宋" w:cs="仿宋"/>
          <w:spacing w:val="11"/>
        </w:rPr>
        <w:t>8.树干涂白：为防虫防冻，美化街景，行道树粉刷石灰水全年1次，粉刷时间由采购人确定，涂白高度要一致，涂1.2米高，涂抹均匀，确保石灰水与树干充分沾合。</w:t>
      </w:r>
    </w:p>
    <w:p w14:paraId="409544DC">
      <w:pPr>
        <w:adjustRightInd w:val="0"/>
        <w:snapToGrid w:val="0"/>
        <w:spacing w:line="360" w:lineRule="auto"/>
        <w:ind w:firstLine="490" w:firstLineChars="200"/>
        <w:rPr>
          <w:rFonts w:ascii="仿宋" w:hAnsi="仿宋" w:eastAsia="仿宋" w:cs="仿宋"/>
          <w:b/>
          <w:bCs/>
          <w:spacing w:val="2"/>
        </w:rPr>
      </w:pPr>
      <w:r>
        <w:rPr>
          <w:rFonts w:hint="eastAsia" w:ascii="仿宋" w:hAnsi="仿宋" w:eastAsia="仿宋" w:cs="仿宋"/>
          <w:b/>
          <w:bCs/>
          <w:spacing w:val="2"/>
        </w:rPr>
        <w:t>9.绿地设施维护：确保绿地内园林设施基本完整（包括但不限于栏杆、园路、桌椅、牌示、廊架、亭子等）。</w:t>
      </w:r>
    </w:p>
    <w:p w14:paraId="7E2AD587">
      <w:pPr>
        <w:adjustRightInd w:val="0"/>
        <w:snapToGrid w:val="0"/>
        <w:spacing w:line="360" w:lineRule="auto"/>
        <w:ind w:firstLine="524" w:firstLineChars="200"/>
        <w:rPr>
          <w:rFonts w:ascii="仿宋" w:hAnsi="仿宋" w:eastAsia="仿宋" w:cs="仿宋"/>
          <w:spacing w:val="11"/>
        </w:rPr>
      </w:pPr>
      <w:r>
        <w:rPr>
          <w:rFonts w:hint="eastAsia" w:ascii="仿宋" w:hAnsi="仿宋" w:eastAsia="仿宋" w:cs="仿宋"/>
          <w:spacing w:val="11"/>
        </w:rPr>
        <w:t>10.绿化保护工作：进行绿地巡查，对破坏公园绿地及影响绿化景观的现象及时劝导和制止。如成交人私自破坏、非法占用绿地或许可其它人破坏、非法占用绿地，采购人将按规定进行扣款和处理。</w:t>
      </w:r>
    </w:p>
    <w:p w14:paraId="601DA6D1">
      <w:pPr>
        <w:adjustRightInd w:val="0"/>
        <w:snapToGrid w:val="0"/>
        <w:spacing w:line="360" w:lineRule="auto"/>
        <w:ind w:firstLine="238" w:firstLineChars="100"/>
        <w:rPr>
          <w:rFonts w:ascii="仿宋" w:hAnsi="仿宋" w:eastAsia="仿宋" w:cs="仿宋"/>
          <w:spacing w:val="-1"/>
        </w:rPr>
      </w:pPr>
      <w:r>
        <w:rPr>
          <w:rFonts w:hint="eastAsia" w:ascii="仿宋" w:hAnsi="仿宋" w:eastAsia="仿宋" w:cs="仿宋"/>
          <w:spacing w:val="-1"/>
        </w:rPr>
        <w:t>（四）服务要求</w:t>
      </w:r>
    </w:p>
    <w:p w14:paraId="388FB491">
      <w:pPr>
        <w:adjustRightInd w:val="0"/>
        <w:snapToGrid w:val="0"/>
        <w:spacing w:line="360" w:lineRule="auto"/>
        <w:ind w:firstLine="532" w:firstLineChars="200"/>
        <w:rPr>
          <w:rFonts w:ascii="仿宋" w:hAnsi="仿宋" w:eastAsia="仿宋" w:cs="仿宋"/>
        </w:rPr>
      </w:pPr>
      <w:r>
        <w:rPr>
          <w:rFonts w:hint="eastAsia" w:ascii="仿宋" w:hAnsi="仿宋" w:eastAsia="仿宋" w:cs="仿宋"/>
          <w:spacing w:val="13"/>
        </w:rPr>
        <w:t>1</w:t>
      </w:r>
      <w:r>
        <w:rPr>
          <w:rFonts w:hint="eastAsia" w:ascii="仿宋" w:hAnsi="仿宋" w:eastAsia="仿宋" w:cs="仿宋"/>
          <w:spacing w:val="9"/>
        </w:rPr>
        <w:t>.成交人须汇集、整理管养过程的技术资料，做好自检工作，听从采购人人员指挥，接受采</w:t>
      </w:r>
      <w:r>
        <w:rPr>
          <w:rFonts w:hint="eastAsia" w:ascii="仿宋" w:hAnsi="仿宋" w:eastAsia="仿宋" w:cs="仿宋"/>
          <w:spacing w:val="12"/>
        </w:rPr>
        <w:t>购人的监督</w:t>
      </w:r>
      <w:r>
        <w:rPr>
          <w:rFonts w:hint="eastAsia" w:ascii="仿宋" w:hAnsi="仿宋" w:eastAsia="仿宋" w:cs="仿宋"/>
          <w:spacing w:val="6"/>
        </w:rPr>
        <w:t>指导，配合采购人进行检查验收。并指定1名管理人员负责日常工作中的安排，以及与</w:t>
      </w:r>
      <w:r>
        <w:rPr>
          <w:rFonts w:hint="eastAsia" w:ascii="仿宋" w:hAnsi="仿宋" w:eastAsia="仿宋" w:cs="仿宋"/>
          <w:spacing w:val="13"/>
        </w:rPr>
        <w:t>采</w:t>
      </w:r>
      <w:r>
        <w:rPr>
          <w:rFonts w:hint="eastAsia" w:ascii="仿宋" w:hAnsi="仿宋" w:eastAsia="仿宋" w:cs="仿宋"/>
          <w:spacing w:val="9"/>
        </w:rPr>
        <w:t>购人的沟通等工作，按采购人要求及时、准确汇报管养工作情况，每月上报管养工作台账。</w:t>
      </w:r>
    </w:p>
    <w:p w14:paraId="554FD160">
      <w:pPr>
        <w:adjustRightInd w:val="0"/>
        <w:snapToGrid w:val="0"/>
        <w:spacing w:line="360" w:lineRule="auto"/>
        <w:ind w:firstLine="552" w:firstLineChars="200"/>
        <w:rPr>
          <w:rFonts w:ascii="仿宋" w:hAnsi="仿宋" w:eastAsia="仿宋" w:cs="仿宋"/>
          <w:spacing w:val="7"/>
        </w:rPr>
      </w:pPr>
      <w:r>
        <w:rPr>
          <w:rFonts w:hint="eastAsia" w:ascii="仿宋" w:hAnsi="仿宋" w:eastAsia="仿宋" w:cs="仿宋"/>
          <w:spacing w:val="18"/>
        </w:rPr>
        <w:t>2.</w:t>
      </w:r>
      <w:r>
        <w:rPr>
          <w:rFonts w:hint="eastAsia" w:ascii="仿宋" w:hAnsi="仿宋" w:eastAsia="仿宋" w:cs="仿宋"/>
          <w:spacing w:val="10"/>
        </w:rPr>
        <w:t>对</w:t>
      </w:r>
      <w:r>
        <w:rPr>
          <w:rFonts w:hint="eastAsia" w:ascii="仿宋" w:hAnsi="仿宋" w:eastAsia="仿宋" w:cs="仿宋"/>
          <w:spacing w:val="9"/>
        </w:rPr>
        <w:t>于采购人不定期或突发的关于绿化工作中的要求及工作任务，应积极配合执行，并在采</w:t>
      </w:r>
      <w:r>
        <w:rPr>
          <w:rFonts w:hint="eastAsia" w:ascii="仿宋" w:hAnsi="仿宋" w:eastAsia="仿宋" w:cs="仿宋"/>
          <w:spacing w:val="14"/>
        </w:rPr>
        <w:t>购</w:t>
      </w:r>
      <w:r>
        <w:rPr>
          <w:rFonts w:hint="eastAsia" w:ascii="仿宋" w:hAnsi="仿宋" w:eastAsia="仿宋" w:cs="仿宋"/>
          <w:spacing w:val="7"/>
        </w:rPr>
        <w:t>人规定的时限内完成。</w:t>
      </w:r>
    </w:p>
    <w:p w14:paraId="19BEF19C">
      <w:pPr>
        <w:adjustRightInd w:val="0"/>
        <w:snapToGrid w:val="0"/>
        <w:spacing w:line="360" w:lineRule="auto"/>
        <w:ind w:firstLine="508" w:firstLineChars="200"/>
        <w:rPr>
          <w:rFonts w:ascii="仿宋" w:hAnsi="仿宋" w:eastAsia="仿宋" w:cs="仿宋"/>
          <w:spacing w:val="7"/>
        </w:rPr>
      </w:pPr>
      <w:r>
        <w:rPr>
          <w:rFonts w:hint="eastAsia" w:ascii="仿宋" w:hAnsi="仿宋" w:eastAsia="仿宋" w:cs="仿宋"/>
          <w:spacing w:val="7"/>
        </w:rPr>
        <w:t>3.为进一步美化城市风貌，成交人需对采购人指定重点路段乔灌木进行造型修剪。</w:t>
      </w:r>
    </w:p>
    <w:p w14:paraId="3F22E47B">
      <w:pPr>
        <w:adjustRightInd w:val="0"/>
        <w:snapToGrid w:val="0"/>
        <w:spacing w:line="360" w:lineRule="auto"/>
        <w:ind w:firstLine="552" w:firstLineChars="200"/>
        <w:rPr>
          <w:rFonts w:ascii="仿宋" w:hAnsi="仿宋" w:eastAsia="仿宋" w:cs="仿宋"/>
          <w:spacing w:val="18"/>
        </w:rPr>
      </w:pPr>
      <w:r>
        <w:rPr>
          <w:rFonts w:hint="eastAsia" w:ascii="仿宋" w:hAnsi="仿宋" w:eastAsia="仿宋" w:cs="仿宋"/>
          <w:spacing w:val="18"/>
        </w:rPr>
        <w:t xml:space="preserve">4.成交人安排专人作为“12345”及数字城管等投诉办件接件办件员，将人员姓名报采购人备案，按照《海口市美兰区12345热线工作运行管理办法》等有关规定开展工作，对于“12345”及数字城管投诉办件，应立即进行处理，并在办件规定时限内完成，每周上报本周内的办件台账。    </w:t>
      </w:r>
    </w:p>
    <w:p w14:paraId="44CAFDD8">
      <w:pPr>
        <w:adjustRightInd w:val="0"/>
        <w:snapToGrid w:val="0"/>
        <w:spacing w:line="360" w:lineRule="auto"/>
        <w:ind w:firstLine="552" w:firstLineChars="200"/>
        <w:rPr>
          <w:rFonts w:ascii="仿宋" w:hAnsi="仿宋" w:eastAsia="仿宋" w:cs="仿宋"/>
          <w:spacing w:val="18"/>
        </w:rPr>
      </w:pPr>
      <w:r>
        <w:rPr>
          <w:rFonts w:hint="eastAsia" w:ascii="仿宋" w:hAnsi="仿宋" w:eastAsia="仿宋" w:cs="仿宋"/>
          <w:spacing w:val="18"/>
        </w:rPr>
        <w:t xml:space="preserve">5.成交人根据本合同所承担的管理管养内容、按实际上岗人数办理员工劳动保险等手续。因劳动、劳务关系产生的一切纠纷，与采购人无关，由成交人承担一切经济责任和法律责任。    </w:t>
      </w:r>
    </w:p>
    <w:p w14:paraId="62CD1A72">
      <w:pPr>
        <w:adjustRightInd w:val="0"/>
        <w:snapToGrid w:val="0"/>
        <w:spacing w:line="360" w:lineRule="auto"/>
        <w:ind w:firstLine="532" w:firstLineChars="200"/>
        <w:rPr>
          <w:rFonts w:ascii="仿宋" w:hAnsi="仿宋" w:eastAsia="仿宋" w:cs="仿宋"/>
          <w:spacing w:val="13"/>
        </w:rPr>
      </w:pPr>
      <w:r>
        <w:rPr>
          <w:rFonts w:hint="eastAsia" w:ascii="仿宋" w:hAnsi="仿宋" w:eastAsia="仿宋" w:cs="仿宋"/>
          <w:spacing w:val="13"/>
        </w:rPr>
        <w:t>6.成交人应为上岗工人购买统一的工作服，上岗作业需统一着装。</w:t>
      </w:r>
    </w:p>
    <w:p w14:paraId="54CB70A6">
      <w:pPr>
        <w:adjustRightInd w:val="0"/>
        <w:snapToGrid w:val="0"/>
        <w:spacing w:line="360" w:lineRule="auto"/>
        <w:ind w:firstLine="532" w:firstLineChars="200"/>
        <w:rPr>
          <w:rFonts w:ascii="仿宋" w:hAnsi="仿宋" w:eastAsia="仿宋" w:cs="仿宋"/>
          <w:spacing w:val="8"/>
        </w:rPr>
      </w:pPr>
      <w:r>
        <w:rPr>
          <w:rFonts w:hint="eastAsia" w:ascii="仿宋" w:hAnsi="仿宋" w:eastAsia="仿宋" w:cs="仿宋"/>
          <w:spacing w:val="13"/>
        </w:rPr>
        <w:t>7.在特殊情况下(台风抢险救灾等工作)，成交人除应做好管辖地点的保护工作外，还应服</w:t>
      </w:r>
      <w:r>
        <w:rPr>
          <w:rFonts w:hint="eastAsia" w:ascii="仿宋" w:hAnsi="仿宋" w:eastAsia="仿宋" w:cs="仿宋"/>
          <w:spacing w:val="16"/>
        </w:rPr>
        <w:t>从采购</w:t>
      </w:r>
      <w:r>
        <w:rPr>
          <w:rFonts w:hint="eastAsia" w:ascii="仿宋" w:hAnsi="仿宋" w:eastAsia="仿宋" w:cs="仿宋"/>
          <w:spacing w:val="15"/>
        </w:rPr>
        <w:t>人</w:t>
      </w:r>
      <w:r>
        <w:rPr>
          <w:rFonts w:hint="eastAsia" w:ascii="仿宋" w:hAnsi="仿宋" w:eastAsia="仿宋" w:cs="仿宋"/>
          <w:spacing w:val="8"/>
        </w:rPr>
        <w:t>的统一指挥和调动，根据采购人要求增加人员和设备等力量参加全区的抢险救灾工作。除合同约定配备的管养人员和车辆设备外，一级应急响应增加应急人员35人，夹机3辆，挖机2辆，油锯高空锯10把，垃圾车10辆；二级应急响应增加应急人员25人，夹机2辆，挖机1辆，油锯高空锯5把，垃圾车5辆；三级应急响应增加应急人员15人，夹机1辆，挖机1辆，油锯高空锯3把，垃圾车3辆。如有其他需求，则根据应急工作需要及甲方要求另行增补。应急工作内容及应急经费根据台风情况另行协定。</w:t>
      </w:r>
    </w:p>
    <w:p w14:paraId="09B95A0B">
      <w:pPr>
        <w:adjustRightInd w:val="0"/>
        <w:snapToGrid w:val="0"/>
        <w:spacing w:line="360" w:lineRule="auto"/>
        <w:ind w:firstLine="532" w:firstLineChars="200"/>
        <w:rPr>
          <w:rFonts w:ascii="仿宋" w:hAnsi="仿宋" w:eastAsia="仿宋" w:cs="仿宋"/>
          <w:spacing w:val="13"/>
        </w:rPr>
      </w:pPr>
      <w:r>
        <w:rPr>
          <w:rFonts w:hint="eastAsia" w:ascii="仿宋" w:hAnsi="仿宋" w:eastAsia="仿宋" w:cs="仿宋"/>
          <w:spacing w:val="13"/>
        </w:rPr>
        <w:t>8.如区政府有重大活动或任务情况下，成交人应服从采购人的统一指挥和调动。</w:t>
      </w:r>
    </w:p>
    <w:p w14:paraId="59130874">
      <w:pPr>
        <w:adjustRightInd w:val="0"/>
        <w:snapToGrid w:val="0"/>
        <w:spacing w:line="360" w:lineRule="auto"/>
        <w:ind w:firstLine="532" w:firstLineChars="200"/>
        <w:rPr>
          <w:rFonts w:ascii="仿宋" w:hAnsi="仿宋" w:eastAsia="仿宋" w:cs="仿宋"/>
          <w:spacing w:val="13"/>
        </w:rPr>
      </w:pPr>
      <w:r>
        <w:rPr>
          <w:rFonts w:hint="eastAsia" w:ascii="仿宋" w:hAnsi="仿宋" w:eastAsia="仿宋" w:cs="仿宋"/>
          <w:spacing w:val="13"/>
        </w:rPr>
        <w:t>9.如有管理管养工作在繁华地段进行，成交人自行解决车辆通行问题。</w:t>
      </w:r>
    </w:p>
    <w:p w14:paraId="76B9848C">
      <w:pPr>
        <w:adjustRightInd w:val="0"/>
        <w:snapToGrid w:val="0"/>
        <w:spacing w:line="360" w:lineRule="auto"/>
        <w:ind w:firstLine="552" w:firstLineChars="200"/>
        <w:rPr>
          <w:rFonts w:ascii="仿宋" w:hAnsi="仿宋" w:eastAsia="仿宋" w:cs="仿宋"/>
        </w:rPr>
      </w:pPr>
      <w:r>
        <w:rPr>
          <w:rFonts w:hint="eastAsia" w:ascii="仿宋" w:hAnsi="仿宋" w:eastAsia="仿宋" w:cs="仿宋"/>
          <w:spacing w:val="18"/>
        </w:rPr>
        <w:t>10</w:t>
      </w:r>
      <w:r>
        <w:rPr>
          <w:rFonts w:hint="eastAsia" w:ascii="仿宋" w:hAnsi="仿宋" w:eastAsia="仿宋" w:cs="仿宋"/>
          <w:spacing w:val="12"/>
        </w:rPr>
        <w:t>.</w:t>
      </w:r>
      <w:r>
        <w:rPr>
          <w:rFonts w:hint="eastAsia" w:ascii="仿宋" w:hAnsi="仿宋" w:eastAsia="仿宋" w:cs="仿宋"/>
          <w:spacing w:val="9"/>
        </w:rPr>
        <w:t>严格遵守和执行有关安全施工和文明施工规定，成交人须为作业人员购买意外险，如发生安全事故, 由成交人负责承担相关</w:t>
      </w:r>
      <w:r>
        <w:rPr>
          <w:rFonts w:hint="eastAsia" w:ascii="仿宋" w:hAnsi="仿宋" w:eastAsia="仿宋" w:cs="仿宋"/>
          <w:spacing w:val="12"/>
        </w:rPr>
        <w:t>责</w:t>
      </w:r>
      <w:r>
        <w:rPr>
          <w:rFonts w:hint="eastAsia" w:ascii="仿宋" w:hAnsi="仿宋" w:eastAsia="仿宋" w:cs="仿宋"/>
          <w:spacing w:val="7"/>
        </w:rPr>
        <w:t>任，并承担一切费用。</w:t>
      </w:r>
    </w:p>
    <w:p w14:paraId="6F3707A0">
      <w:pPr>
        <w:adjustRightInd w:val="0"/>
        <w:snapToGrid w:val="0"/>
        <w:spacing w:line="360" w:lineRule="auto"/>
        <w:ind w:firstLine="516" w:firstLineChars="200"/>
        <w:rPr>
          <w:rFonts w:ascii="仿宋" w:hAnsi="仿宋" w:eastAsia="仿宋" w:cs="仿宋"/>
        </w:rPr>
      </w:pPr>
      <w:r>
        <w:rPr>
          <w:rFonts w:hint="eastAsia" w:ascii="仿宋" w:hAnsi="仿宋" w:eastAsia="仿宋" w:cs="仿宋"/>
          <w:spacing w:val="9"/>
        </w:rPr>
        <w:t>11.如因管养管理不到位，造成行道树伤害人民群众生命财产安全的，一概由成交人承担法律</w:t>
      </w:r>
      <w:r>
        <w:rPr>
          <w:rFonts w:hint="eastAsia" w:ascii="仿宋" w:hAnsi="仿宋" w:eastAsia="仿宋" w:cs="仿宋"/>
          <w:spacing w:val="12"/>
        </w:rPr>
        <w:t>和</w:t>
      </w:r>
      <w:r>
        <w:rPr>
          <w:rFonts w:hint="eastAsia" w:ascii="仿宋" w:hAnsi="仿宋" w:eastAsia="仿宋" w:cs="仿宋"/>
          <w:spacing w:val="6"/>
        </w:rPr>
        <w:t>经济赔偿责任。</w:t>
      </w:r>
    </w:p>
    <w:p w14:paraId="26C1E097">
      <w:pPr>
        <w:adjustRightInd w:val="0"/>
        <w:snapToGrid w:val="0"/>
        <w:spacing w:line="360" w:lineRule="auto"/>
        <w:ind w:firstLine="544" w:firstLineChars="200"/>
        <w:rPr>
          <w:rFonts w:ascii="仿宋" w:hAnsi="仿宋" w:eastAsia="仿宋" w:cs="仿宋"/>
        </w:rPr>
      </w:pPr>
      <w:r>
        <w:rPr>
          <w:rFonts w:hint="eastAsia" w:ascii="仿宋" w:hAnsi="仿宋" w:eastAsia="仿宋" w:cs="仿宋"/>
          <w:spacing w:val="16"/>
        </w:rPr>
        <w:t>★</w:t>
      </w:r>
      <w:r>
        <w:rPr>
          <w:rFonts w:hint="eastAsia" w:ascii="仿宋" w:hAnsi="仿宋" w:eastAsia="仿宋" w:cs="仿宋"/>
          <w:spacing w:val="9"/>
        </w:rPr>
        <w:t>12</w:t>
      </w:r>
      <w:r>
        <w:rPr>
          <w:rFonts w:hint="eastAsia" w:ascii="仿宋" w:hAnsi="仿宋" w:eastAsia="仿宋" w:cs="仿宋"/>
          <w:spacing w:val="8"/>
        </w:rPr>
        <w:t>.成交人不得将绿化管理管养工作转包、分包</w:t>
      </w:r>
      <w:r>
        <w:rPr>
          <w:rFonts w:hint="eastAsia" w:ascii="仿宋" w:hAnsi="仿宋" w:eastAsia="仿宋" w:cs="仿宋"/>
          <w:b/>
          <w:bCs/>
          <w:spacing w:val="2"/>
        </w:rPr>
        <w:t>(提供承诺函原件、格式自拟)</w:t>
      </w:r>
      <w:r>
        <w:rPr>
          <w:rFonts w:hint="eastAsia" w:ascii="仿宋" w:hAnsi="仿宋" w:eastAsia="仿宋" w:cs="仿宋"/>
          <w:spacing w:val="8"/>
        </w:rPr>
        <w:t>。</w:t>
      </w:r>
    </w:p>
    <w:p w14:paraId="5396925C">
      <w:pPr>
        <w:adjustRightInd w:val="0"/>
        <w:snapToGrid w:val="0"/>
        <w:spacing w:line="360" w:lineRule="auto"/>
        <w:ind w:firstLine="552" w:firstLineChars="200"/>
        <w:rPr>
          <w:rFonts w:ascii="仿宋" w:hAnsi="仿宋" w:eastAsia="仿宋" w:cs="仿宋"/>
        </w:rPr>
      </w:pPr>
      <w:r>
        <w:rPr>
          <w:rFonts w:hint="eastAsia" w:ascii="仿宋" w:hAnsi="仿宋" w:eastAsia="仿宋" w:cs="仿宋"/>
          <w:spacing w:val="18"/>
        </w:rPr>
        <w:t>★</w:t>
      </w:r>
      <w:r>
        <w:rPr>
          <w:rFonts w:hint="eastAsia" w:ascii="仿宋" w:hAnsi="仿宋" w:eastAsia="仿宋" w:cs="仿宋"/>
          <w:spacing w:val="13"/>
        </w:rPr>
        <w:t>13</w:t>
      </w:r>
      <w:r>
        <w:rPr>
          <w:rFonts w:hint="eastAsia" w:ascii="仿宋" w:hAnsi="仿宋" w:eastAsia="仿宋" w:cs="仿宋"/>
          <w:spacing w:val="9"/>
        </w:rPr>
        <w:t>.供应商承诺若成交后必须为管养维护范围内的道路绿化及公共绿地管养树木购买公众责</w:t>
      </w:r>
      <w:r>
        <w:rPr>
          <w:rFonts w:hint="eastAsia" w:ascii="仿宋" w:hAnsi="仿宋" w:eastAsia="仿宋" w:cs="仿宋"/>
          <w:spacing w:val="10"/>
        </w:rPr>
        <w:t>任险，且将该保险凭证向采购人报备 (投保范围包括但不限于因自然灾害导致的椰子果、树枝</w:t>
      </w:r>
      <w:r>
        <w:rPr>
          <w:rFonts w:hint="eastAsia" w:ascii="仿宋" w:hAnsi="仿宋" w:eastAsia="仿宋" w:cs="仿宋"/>
          <w:spacing w:val="7"/>
        </w:rPr>
        <w:t>、</w:t>
      </w:r>
      <w:r>
        <w:rPr>
          <w:rFonts w:hint="eastAsia" w:ascii="仿宋" w:hAnsi="仿宋" w:eastAsia="仿宋" w:cs="仿宋"/>
        </w:rPr>
        <w:t xml:space="preserve"> </w:t>
      </w:r>
      <w:r>
        <w:rPr>
          <w:rFonts w:hint="eastAsia" w:ascii="仿宋" w:hAnsi="仿宋" w:eastAsia="仿宋" w:cs="仿宋"/>
          <w:spacing w:val="18"/>
        </w:rPr>
        <w:t>枯枝</w:t>
      </w:r>
      <w:r>
        <w:rPr>
          <w:rFonts w:hint="eastAsia" w:ascii="仿宋" w:hAnsi="仿宋" w:eastAsia="仿宋" w:cs="仿宋"/>
          <w:spacing w:val="17"/>
        </w:rPr>
        <w:t>、</w:t>
      </w:r>
      <w:r>
        <w:rPr>
          <w:rFonts w:hint="eastAsia" w:ascii="仿宋" w:hAnsi="仿宋" w:eastAsia="仿宋" w:cs="仿宋"/>
          <w:spacing w:val="9"/>
        </w:rPr>
        <w:t>树叶掉落或绿化工人在打草、打药、修剪树木等绿化管养作业时导致意外事故造成第三者</w:t>
      </w:r>
      <w:r>
        <w:rPr>
          <w:rFonts w:hint="eastAsia" w:ascii="仿宋" w:hAnsi="仿宋" w:eastAsia="仿宋" w:cs="仿宋"/>
          <w:spacing w:val="4"/>
        </w:rPr>
        <w:t>人身伤亡或财产损</w:t>
      </w:r>
      <w:r>
        <w:rPr>
          <w:rFonts w:hint="eastAsia" w:ascii="仿宋" w:hAnsi="仿宋" w:eastAsia="仿宋" w:cs="仿宋"/>
          <w:spacing w:val="2"/>
        </w:rPr>
        <w:t>失) 。</w:t>
      </w:r>
      <w:r>
        <w:rPr>
          <w:rFonts w:hint="eastAsia" w:ascii="仿宋" w:hAnsi="仿宋" w:eastAsia="仿宋" w:cs="仿宋"/>
          <w:b/>
          <w:bCs/>
          <w:spacing w:val="2"/>
        </w:rPr>
        <w:t>(提供承诺函原件、格式自拟)</w:t>
      </w:r>
    </w:p>
    <w:p w14:paraId="57AB4DE5">
      <w:pPr>
        <w:adjustRightInd w:val="0"/>
        <w:snapToGrid w:val="0"/>
        <w:spacing w:line="360" w:lineRule="auto"/>
        <w:ind w:firstLine="238" w:firstLineChars="100"/>
        <w:rPr>
          <w:rFonts w:ascii="仿宋" w:hAnsi="仿宋" w:eastAsia="仿宋" w:cs="仿宋"/>
          <w:b/>
          <w:bCs/>
          <w:spacing w:val="2"/>
        </w:rPr>
      </w:pPr>
      <w:r>
        <w:rPr>
          <w:rFonts w:hint="eastAsia" w:ascii="仿宋" w:hAnsi="仿宋" w:eastAsia="仿宋" w:cs="仿宋"/>
          <w:spacing w:val="-1"/>
        </w:rPr>
        <w:t>(五)对成交人的约束条款</w:t>
      </w:r>
    </w:p>
    <w:p w14:paraId="477C4FF1">
      <w:pPr>
        <w:adjustRightInd w:val="0"/>
        <w:snapToGrid w:val="0"/>
        <w:spacing w:line="360" w:lineRule="auto"/>
        <w:ind w:firstLine="536" w:firstLineChars="200"/>
        <w:rPr>
          <w:rFonts w:ascii="仿宋" w:hAnsi="仿宋" w:eastAsia="仿宋" w:cs="仿宋"/>
        </w:rPr>
      </w:pPr>
      <w:r>
        <w:rPr>
          <w:rFonts w:hint="eastAsia" w:ascii="仿宋" w:hAnsi="仿宋" w:eastAsia="仿宋" w:cs="仿宋"/>
          <w:spacing w:val="14"/>
        </w:rPr>
        <w:t>1</w:t>
      </w:r>
      <w:r>
        <w:rPr>
          <w:rFonts w:hint="eastAsia" w:ascii="仿宋" w:hAnsi="仿宋" w:eastAsia="仿宋" w:cs="仿宋"/>
          <w:spacing w:val="8"/>
        </w:rPr>
        <w:t>.成交人对于“12345”及数字城管投诉办件处理不及时的，一次扣除当月管养经费1000</w:t>
      </w:r>
      <w:r>
        <w:rPr>
          <w:rFonts w:hint="eastAsia" w:ascii="仿宋" w:hAnsi="仿宋" w:eastAsia="仿宋" w:cs="仿宋"/>
          <w:spacing w:val="-5"/>
        </w:rPr>
        <w:t>元。</w:t>
      </w:r>
    </w:p>
    <w:p w14:paraId="4795B650">
      <w:pPr>
        <w:adjustRightInd w:val="0"/>
        <w:snapToGrid w:val="0"/>
        <w:spacing w:line="360" w:lineRule="auto"/>
        <w:ind w:firstLine="408" w:firstLineChars="200"/>
        <w:rPr>
          <w:rFonts w:ascii="仿宋" w:hAnsi="仿宋" w:eastAsia="仿宋" w:cs="仿宋"/>
          <w:spacing w:val="2"/>
        </w:rPr>
      </w:pPr>
      <w:r>
        <w:rPr>
          <w:rFonts w:hint="eastAsia" w:ascii="仿宋" w:hAnsi="仿宋" w:eastAsia="仿宋" w:cs="仿宋"/>
          <w:spacing w:val="-18"/>
        </w:rPr>
        <w:t>2</w:t>
      </w:r>
      <w:r>
        <w:rPr>
          <w:rFonts w:hint="eastAsia" w:ascii="仿宋" w:hAnsi="仿宋" w:eastAsia="仿宋" w:cs="仿宋"/>
          <w:spacing w:val="-13"/>
        </w:rPr>
        <w:t>.</w:t>
      </w:r>
      <w:r>
        <w:rPr>
          <w:rFonts w:hint="eastAsia" w:ascii="仿宋" w:hAnsi="仿宋" w:eastAsia="仿宋" w:cs="仿宋"/>
          <w:spacing w:val="-9"/>
        </w:rPr>
        <w:t>采购人每月根据《绿化管养考评评分标准》，同时结合日常巡查情况，进行管养考核打分，</w:t>
      </w:r>
      <w:r>
        <w:rPr>
          <w:rFonts w:hint="eastAsia" w:ascii="仿宋" w:hAnsi="仿宋" w:eastAsia="仿宋" w:cs="仿宋"/>
          <w:spacing w:val="2"/>
        </w:rPr>
        <w:t>考评得分90分（含）以上的不扣减管养经费，89-85分（含）的扣减当月养护经费的3%，85分以下的在扣减3%的基础上每减少1分扣减当月养护经费的1%。服务期内有2次考核低于60分的中止合同。</w:t>
      </w:r>
    </w:p>
    <w:p w14:paraId="39759F19">
      <w:pPr>
        <w:adjustRightInd w:val="0"/>
        <w:snapToGrid w:val="0"/>
        <w:spacing w:line="360" w:lineRule="auto"/>
        <w:ind w:firstLine="444" w:firstLineChars="200"/>
        <w:rPr>
          <w:rFonts w:ascii="仿宋" w:hAnsi="仿宋" w:eastAsia="仿宋" w:cs="仿宋"/>
          <w:spacing w:val="-9"/>
        </w:rPr>
      </w:pPr>
      <w:r>
        <w:rPr>
          <w:rFonts w:hint="eastAsia" w:ascii="仿宋" w:hAnsi="仿宋" w:eastAsia="仿宋" w:cs="仿宋"/>
          <w:spacing w:val="-9"/>
        </w:rPr>
        <w:t>3.成交人每年按采购人指定时间对对所有乔木进行一次树木刷白，刷白高度为1.2米，刷白应均匀细致，树皮裂隙应全部粉刷，高度应整齐划一。采购人12月底进行集中检查，未完成该项工作的扣减管养费10000元，并要求成交人在采购人规定的时间内完成整改工作，否则继续扣减管养费直至整改完成为止。</w:t>
      </w:r>
    </w:p>
    <w:p w14:paraId="07409A5E">
      <w:pPr>
        <w:adjustRightInd w:val="0"/>
        <w:snapToGrid w:val="0"/>
        <w:spacing w:line="360" w:lineRule="auto"/>
        <w:ind w:firstLine="488" w:firstLineChars="200"/>
        <w:rPr>
          <w:rFonts w:ascii="仿宋" w:hAnsi="仿宋" w:eastAsia="仿宋" w:cs="仿宋"/>
        </w:rPr>
      </w:pPr>
      <w:r>
        <w:rPr>
          <w:rFonts w:hint="eastAsia" w:ascii="仿宋" w:hAnsi="仿宋" w:eastAsia="仿宋" w:cs="仿宋"/>
          <w:spacing w:val="2"/>
        </w:rPr>
        <w:t>4.在特殊</w:t>
      </w:r>
      <w:r>
        <w:rPr>
          <w:rFonts w:hint="eastAsia" w:ascii="仿宋" w:hAnsi="仿宋" w:eastAsia="仿宋" w:cs="仿宋"/>
          <w:spacing w:val="1"/>
        </w:rPr>
        <w:t>情况下 (如防风应急抢险等工作)，成交人应急工作人员不及时到位的，每少一人或一辆（台）扣除当月管养经费3000元</w:t>
      </w:r>
      <w:r>
        <w:rPr>
          <w:rFonts w:hint="eastAsia" w:ascii="仿宋" w:hAnsi="仿宋" w:eastAsia="仿宋" w:cs="仿宋"/>
        </w:rPr>
        <w:t>。</w:t>
      </w:r>
    </w:p>
    <w:p w14:paraId="6E25E8F0">
      <w:pPr>
        <w:adjustRightInd w:val="0"/>
        <w:snapToGrid w:val="0"/>
        <w:spacing w:line="360" w:lineRule="auto"/>
        <w:ind w:firstLine="528" w:firstLineChars="200"/>
        <w:rPr>
          <w:rFonts w:ascii="仿宋" w:hAnsi="仿宋" w:eastAsia="仿宋" w:cs="仿宋"/>
        </w:rPr>
      </w:pPr>
      <w:r>
        <w:rPr>
          <w:rFonts w:hint="eastAsia" w:ascii="仿宋" w:hAnsi="仿宋" w:eastAsia="仿宋" w:cs="仿宋"/>
          <w:spacing w:val="12"/>
        </w:rPr>
        <w:t>5.</w:t>
      </w:r>
      <w:r>
        <w:rPr>
          <w:rFonts w:hint="eastAsia" w:ascii="仿宋" w:hAnsi="仿宋" w:eastAsia="仿宋" w:cs="仿宋"/>
          <w:spacing w:val="10"/>
        </w:rPr>
        <w:t>成交人</w:t>
      </w:r>
      <w:r>
        <w:rPr>
          <w:rFonts w:hint="eastAsia" w:ascii="仿宋" w:hAnsi="仿宋" w:eastAsia="仿宋" w:cs="仿宋"/>
          <w:spacing w:val="6"/>
        </w:rPr>
        <w:t>违反国家法律法规或地方性规定，采购人有权单方终止合同，由成交人承担一</w:t>
      </w:r>
      <w:r>
        <w:rPr>
          <w:rFonts w:hint="eastAsia" w:ascii="仿宋" w:hAnsi="仿宋" w:eastAsia="仿宋" w:cs="仿宋"/>
          <w:spacing w:val="14"/>
        </w:rPr>
        <w:t>切</w:t>
      </w:r>
      <w:r>
        <w:rPr>
          <w:rFonts w:hint="eastAsia" w:ascii="仿宋" w:hAnsi="仿宋" w:eastAsia="仿宋" w:cs="仿宋"/>
          <w:spacing w:val="7"/>
        </w:rPr>
        <w:t>经济损失和法律责任。</w:t>
      </w:r>
    </w:p>
    <w:p w14:paraId="6E5C1782">
      <w:pPr>
        <w:adjustRightInd w:val="0"/>
        <w:snapToGrid w:val="0"/>
        <w:spacing w:line="360" w:lineRule="auto"/>
        <w:ind w:firstLine="552" w:firstLineChars="200"/>
        <w:rPr>
          <w:rFonts w:ascii="仿宋" w:hAnsi="仿宋" w:eastAsia="仿宋" w:cs="仿宋"/>
        </w:rPr>
      </w:pPr>
      <w:r>
        <w:rPr>
          <w:rFonts w:hint="eastAsia" w:ascii="仿宋" w:hAnsi="仿宋" w:eastAsia="仿宋" w:cs="仿宋"/>
          <w:spacing w:val="18"/>
        </w:rPr>
        <w:t>6</w:t>
      </w:r>
      <w:r>
        <w:rPr>
          <w:rFonts w:hint="eastAsia" w:ascii="仿宋" w:hAnsi="仿宋" w:eastAsia="仿宋" w:cs="仿宋"/>
          <w:spacing w:val="15"/>
        </w:rPr>
        <w:t>.成交人</w:t>
      </w:r>
      <w:r>
        <w:rPr>
          <w:rFonts w:hint="eastAsia" w:ascii="仿宋" w:hAnsi="仿宋" w:eastAsia="仿宋" w:cs="仿宋"/>
          <w:spacing w:val="9"/>
        </w:rPr>
        <w:t>中标后因机械、工具、技术、劳力等达不到招标要求，采购人有权单方终止本</w:t>
      </w:r>
      <w:r>
        <w:rPr>
          <w:rFonts w:hint="eastAsia" w:ascii="仿宋" w:hAnsi="仿宋" w:eastAsia="仿宋" w:cs="仿宋"/>
          <w:spacing w:val="13"/>
        </w:rPr>
        <w:t>合</w:t>
      </w:r>
      <w:r>
        <w:rPr>
          <w:rFonts w:hint="eastAsia" w:ascii="仿宋" w:hAnsi="仿宋" w:eastAsia="仿宋" w:cs="仿宋"/>
          <w:spacing w:val="8"/>
        </w:rPr>
        <w:t>同，经济损失和法律责任由成交人承担。</w:t>
      </w:r>
    </w:p>
    <w:p w14:paraId="49BBE1F4">
      <w:pPr>
        <w:adjustRightInd w:val="0"/>
        <w:snapToGrid w:val="0"/>
        <w:spacing w:line="360" w:lineRule="auto"/>
        <w:ind w:firstLine="552" w:firstLineChars="200"/>
        <w:rPr>
          <w:rFonts w:ascii="仿宋" w:hAnsi="仿宋" w:eastAsia="仿宋" w:cs="仿宋"/>
        </w:rPr>
      </w:pPr>
      <w:r>
        <w:rPr>
          <w:rFonts w:hint="eastAsia" w:ascii="仿宋" w:hAnsi="仿宋" w:eastAsia="仿宋" w:cs="仿宋"/>
          <w:spacing w:val="18"/>
        </w:rPr>
        <w:t>7.成交人</w:t>
      </w:r>
      <w:r>
        <w:rPr>
          <w:rFonts w:hint="eastAsia" w:ascii="仿宋" w:hAnsi="仿宋" w:eastAsia="仿宋" w:cs="仿宋"/>
          <w:spacing w:val="9"/>
        </w:rPr>
        <w:t>擅自将绿化管理管养任务转包给第三者的，采购人有权单方终止合同，经济损</w:t>
      </w:r>
      <w:r>
        <w:rPr>
          <w:rFonts w:hint="eastAsia" w:ascii="仿宋" w:hAnsi="仿宋" w:eastAsia="仿宋" w:cs="仿宋"/>
          <w:spacing w:val="14"/>
        </w:rPr>
        <w:t>失</w:t>
      </w:r>
      <w:r>
        <w:rPr>
          <w:rFonts w:hint="eastAsia" w:ascii="仿宋" w:hAnsi="仿宋" w:eastAsia="仿宋" w:cs="仿宋"/>
          <w:spacing w:val="9"/>
        </w:rPr>
        <w:t>和</w:t>
      </w:r>
      <w:r>
        <w:rPr>
          <w:rFonts w:hint="eastAsia" w:ascii="仿宋" w:hAnsi="仿宋" w:eastAsia="仿宋" w:cs="仿宋"/>
          <w:spacing w:val="7"/>
        </w:rPr>
        <w:t>法律责任由成交人承担。</w:t>
      </w:r>
    </w:p>
    <w:p w14:paraId="480275B7">
      <w:pPr>
        <w:adjustRightInd w:val="0"/>
        <w:snapToGrid w:val="0"/>
        <w:spacing w:line="360" w:lineRule="auto"/>
        <w:ind w:firstLine="528" w:firstLineChars="200"/>
        <w:rPr>
          <w:rFonts w:ascii="仿宋" w:hAnsi="仿宋" w:eastAsia="仿宋" w:cs="仿宋"/>
        </w:rPr>
      </w:pPr>
      <w:r>
        <w:rPr>
          <w:rFonts w:hint="eastAsia" w:ascii="仿宋" w:hAnsi="仿宋" w:eastAsia="仿宋" w:cs="仿宋"/>
          <w:spacing w:val="12"/>
        </w:rPr>
        <w:t>8</w:t>
      </w:r>
      <w:r>
        <w:rPr>
          <w:rFonts w:hint="eastAsia" w:ascii="仿宋" w:hAnsi="仿宋" w:eastAsia="仿宋" w:cs="仿宋"/>
          <w:spacing w:val="9"/>
        </w:rPr>
        <w:t>.成交人</w:t>
      </w:r>
      <w:r>
        <w:rPr>
          <w:rFonts w:hint="eastAsia" w:ascii="仿宋" w:hAnsi="仿宋" w:eastAsia="仿宋" w:cs="仿宋"/>
          <w:spacing w:val="6"/>
        </w:rPr>
        <w:t>出现拖欠工人工资被立案查处的，采购人有权单方终止合同，由成交人承担一</w:t>
      </w:r>
      <w:r>
        <w:rPr>
          <w:rFonts w:hint="eastAsia" w:ascii="仿宋" w:hAnsi="仿宋" w:eastAsia="仿宋" w:cs="仿宋"/>
          <w:spacing w:val="14"/>
        </w:rPr>
        <w:t>切</w:t>
      </w:r>
      <w:r>
        <w:rPr>
          <w:rFonts w:hint="eastAsia" w:ascii="仿宋" w:hAnsi="仿宋" w:eastAsia="仿宋" w:cs="仿宋"/>
          <w:spacing w:val="7"/>
        </w:rPr>
        <w:t>经济损失和法律责任。</w:t>
      </w:r>
    </w:p>
    <w:p w14:paraId="24C96A85">
      <w:pPr>
        <w:adjustRightInd w:val="0"/>
        <w:snapToGrid w:val="0"/>
        <w:spacing w:line="360" w:lineRule="auto"/>
        <w:ind w:firstLine="536" w:firstLineChars="200"/>
        <w:rPr>
          <w:rFonts w:ascii="仿宋" w:hAnsi="仿宋" w:eastAsia="仿宋" w:cs="仿宋"/>
        </w:rPr>
      </w:pPr>
      <w:r>
        <w:rPr>
          <w:rFonts w:hint="eastAsia" w:ascii="仿宋" w:hAnsi="仿宋" w:eastAsia="仿宋" w:cs="仿宋"/>
          <w:spacing w:val="14"/>
        </w:rPr>
        <w:t>9.</w:t>
      </w:r>
      <w:r>
        <w:rPr>
          <w:rFonts w:hint="eastAsia" w:ascii="仿宋" w:hAnsi="仿宋" w:eastAsia="仿宋" w:cs="仿宋"/>
          <w:spacing w:val="8"/>
        </w:rPr>
        <w:t>安全生产零死亡，实行安全生产一票否决制。</w:t>
      </w:r>
    </w:p>
    <w:p w14:paraId="2D37A81D">
      <w:pPr>
        <w:adjustRightInd w:val="0"/>
        <w:snapToGrid w:val="0"/>
        <w:spacing w:line="360" w:lineRule="auto"/>
        <w:ind w:firstLine="238" w:firstLineChars="100"/>
        <w:rPr>
          <w:rFonts w:ascii="仿宋" w:hAnsi="仿宋" w:eastAsia="仿宋" w:cs="仿宋"/>
          <w:spacing w:val="-1"/>
        </w:rPr>
      </w:pPr>
      <w:r>
        <w:rPr>
          <w:rFonts w:hint="eastAsia" w:ascii="仿宋" w:hAnsi="仿宋" w:eastAsia="仿宋" w:cs="仿宋"/>
          <w:spacing w:val="-1"/>
        </w:rPr>
        <w:t>(六)海口市美兰区园林局绿化养护考评评分表</w:t>
      </w:r>
    </w:p>
    <w:tbl>
      <w:tblPr>
        <w:tblStyle w:val="26"/>
        <w:tblW w:w="9343" w:type="dxa"/>
        <w:tblInd w:w="0" w:type="dxa"/>
        <w:tblLayout w:type="fixed"/>
        <w:tblCellMar>
          <w:top w:w="0" w:type="dxa"/>
          <w:left w:w="0" w:type="dxa"/>
          <w:bottom w:w="0" w:type="dxa"/>
          <w:right w:w="0" w:type="dxa"/>
        </w:tblCellMar>
      </w:tblPr>
      <w:tblGrid>
        <w:gridCol w:w="541"/>
        <w:gridCol w:w="825"/>
        <w:gridCol w:w="540"/>
        <w:gridCol w:w="4305"/>
        <w:gridCol w:w="675"/>
        <w:gridCol w:w="1350"/>
        <w:gridCol w:w="552"/>
        <w:gridCol w:w="555"/>
      </w:tblGrid>
      <w:tr w14:paraId="3EFDB7BD">
        <w:tblPrEx>
          <w:tblCellMar>
            <w:top w:w="0" w:type="dxa"/>
            <w:left w:w="0" w:type="dxa"/>
            <w:bottom w:w="0" w:type="dxa"/>
            <w:right w:w="0" w:type="dxa"/>
          </w:tblCellMar>
        </w:tblPrEx>
        <w:trPr>
          <w:trHeight w:val="138" w:hRule="atLeast"/>
        </w:trPr>
        <w:tc>
          <w:tcPr>
            <w:tcW w:w="541" w:type="dxa"/>
            <w:tcBorders>
              <w:top w:val="nil"/>
              <w:left w:val="nil"/>
              <w:bottom w:val="nil"/>
              <w:right w:val="nil"/>
            </w:tcBorders>
            <w:tcMar>
              <w:top w:w="15" w:type="dxa"/>
              <w:left w:w="15" w:type="dxa"/>
              <w:right w:w="15" w:type="dxa"/>
            </w:tcMar>
            <w:vAlign w:val="center"/>
          </w:tcPr>
          <w:p w14:paraId="5BB60D7A">
            <w:pPr>
              <w:ind w:firstLine="480"/>
              <w:rPr>
                <w:rFonts w:ascii="宋体" w:hAnsi="宋体" w:cs="宋体"/>
              </w:rPr>
            </w:pPr>
          </w:p>
        </w:tc>
        <w:tc>
          <w:tcPr>
            <w:tcW w:w="8802" w:type="dxa"/>
            <w:gridSpan w:val="7"/>
            <w:tcBorders>
              <w:top w:val="nil"/>
              <w:left w:val="nil"/>
              <w:bottom w:val="nil"/>
              <w:right w:val="nil"/>
            </w:tcBorders>
            <w:tcMar>
              <w:top w:w="15" w:type="dxa"/>
              <w:left w:w="15" w:type="dxa"/>
              <w:right w:w="15" w:type="dxa"/>
            </w:tcMar>
            <w:vAlign w:val="center"/>
          </w:tcPr>
          <w:p w14:paraId="7E1D51BB">
            <w:pPr>
              <w:widowControl/>
              <w:ind w:firstLine="482"/>
              <w:jc w:val="center"/>
              <w:textAlignment w:val="center"/>
              <w:rPr>
                <w:rFonts w:ascii="宋体" w:hAnsi="宋体" w:cs="宋体"/>
                <w:b/>
              </w:rPr>
            </w:pPr>
            <w:r>
              <w:rPr>
                <w:rFonts w:hint="eastAsia" w:ascii="宋体" w:hAnsi="宋体" w:cs="宋体"/>
                <w:b/>
                <w:kern w:val="0"/>
              </w:rPr>
              <w:t>绿化养护考评评分标准</w:t>
            </w:r>
          </w:p>
        </w:tc>
      </w:tr>
      <w:tr w14:paraId="1CF9CF1A">
        <w:tblPrEx>
          <w:tblCellMar>
            <w:top w:w="0" w:type="dxa"/>
            <w:left w:w="0" w:type="dxa"/>
            <w:bottom w:w="0" w:type="dxa"/>
            <w:right w:w="0" w:type="dxa"/>
          </w:tblCellMar>
        </w:tblPrEx>
        <w:trPr>
          <w:trHeight w:val="380" w:hRule="atLeast"/>
        </w:trPr>
        <w:tc>
          <w:tcPr>
            <w:tcW w:w="1366" w:type="dxa"/>
            <w:gridSpan w:val="2"/>
            <w:tcBorders>
              <w:top w:val="nil"/>
              <w:left w:val="nil"/>
              <w:bottom w:val="nil"/>
              <w:right w:val="nil"/>
            </w:tcBorders>
            <w:tcMar>
              <w:top w:w="15" w:type="dxa"/>
              <w:left w:w="15" w:type="dxa"/>
              <w:right w:w="15" w:type="dxa"/>
            </w:tcMar>
            <w:vAlign w:val="center"/>
          </w:tcPr>
          <w:p w14:paraId="6F627EA7">
            <w:pPr>
              <w:rPr>
                <w:rFonts w:ascii="宋体" w:hAnsi="宋体" w:cs="宋体"/>
                <w:b/>
              </w:rPr>
            </w:pPr>
            <w:r>
              <w:rPr>
                <w:rFonts w:hint="eastAsia" w:ascii="宋体" w:hAnsi="宋体" w:cs="宋体"/>
                <w:kern w:val="0"/>
              </w:rPr>
              <w:t>考评范围：</w:t>
            </w:r>
          </w:p>
        </w:tc>
        <w:tc>
          <w:tcPr>
            <w:tcW w:w="540" w:type="dxa"/>
            <w:tcBorders>
              <w:top w:val="nil"/>
              <w:left w:val="nil"/>
              <w:bottom w:val="single" w:color="000000" w:sz="4" w:space="0"/>
              <w:right w:val="nil"/>
            </w:tcBorders>
            <w:tcMar>
              <w:top w:w="15" w:type="dxa"/>
              <w:left w:w="15" w:type="dxa"/>
              <w:right w:w="15" w:type="dxa"/>
            </w:tcMar>
            <w:vAlign w:val="center"/>
          </w:tcPr>
          <w:p w14:paraId="4D413FB6">
            <w:pPr>
              <w:ind w:firstLine="482"/>
              <w:jc w:val="center"/>
              <w:rPr>
                <w:rFonts w:ascii="宋体" w:hAnsi="宋体" w:cs="宋体"/>
                <w:b/>
              </w:rPr>
            </w:pPr>
          </w:p>
        </w:tc>
        <w:tc>
          <w:tcPr>
            <w:tcW w:w="4305" w:type="dxa"/>
            <w:tcBorders>
              <w:top w:val="nil"/>
              <w:left w:val="nil"/>
              <w:bottom w:val="single" w:color="000000" w:sz="4" w:space="0"/>
              <w:right w:val="nil"/>
            </w:tcBorders>
            <w:tcMar>
              <w:top w:w="15" w:type="dxa"/>
              <w:left w:w="15" w:type="dxa"/>
              <w:right w:w="15" w:type="dxa"/>
            </w:tcMar>
            <w:vAlign w:val="center"/>
          </w:tcPr>
          <w:p w14:paraId="6CC7CE13">
            <w:pPr>
              <w:ind w:firstLine="482"/>
              <w:jc w:val="center"/>
              <w:rPr>
                <w:rFonts w:ascii="宋体" w:hAnsi="宋体" w:cs="宋体"/>
                <w:b/>
              </w:rPr>
            </w:pPr>
          </w:p>
        </w:tc>
        <w:tc>
          <w:tcPr>
            <w:tcW w:w="675" w:type="dxa"/>
            <w:tcBorders>
              <w:top w:val="nil"/>
              <w:left w:val="nil"/>
              <w:bottom w:val="single" w:color="000000" w:sz="4" w:space="0"/>
              <w:right w:val="nil"/>
            </w:tcBorders>
            <w:tcMar>
              <w:top w:w="15" w:type="dxa"/>
              <w:left w:w="15" w:type="dxa"/>
              <w:right w:w="15" w:type="dxa"/>
            </w:tcMar>
            <w:vAlign w:val="center"/>
          </w:tcPr>
          <w:p w14:paraId="61294F80">
            <w:pPr>
              <w:ind w:firstLine="482"/>
              <w:jc w:val="center"/>
              <w:rPr>
                <w:rFonts w:ascii="宋体" w:hAnsi="宋体" w:cs="宋体"/>
                <w:b/>
              </w:rPr>
            </w:pPr>
          </w:p>
        </w:tc>
        <w:tc>
          <w:tcPr>
            <w:tcW w:w="1350" w:type="dxa"/>
            <w:tcBorders>
              <w:top w:val="nil"/>
              <w:left w:val="nil"/>
              <w:bottom w:val="nil"/>
              <w:right w:val="nil"/>
            </w:tcBorders>
            <w:tcMar>
              <w:top w:w="15" w:type="dxa"/>
              <w:left w:w="15" w:type="dxa"/>
              <w:right w:w="15" w:type="dxa"/>
            </w:tcMar>
            <w:vAlign w:val="center"/>
          </w:tcPr>
          <w:p w14:paraId="6265EE7A">
            <w:pPr>
              <w:widowControl/>
              <w:ind w:firstLine="480"/>
              <w:jc w:val="left"/>
              <w:textAlignment w:val="center"/>
              <w:rPr>
                <w:rFonts w:ascii="宋体" w:hAnsi="宋体" w:cs="宋体"/>
              </w:rPr>
            </w:pPr>
            <w:r>
              <w:rPr>
                <w:rFonts w:hint="eastAsia" w:ascii="宋体" w:hAnsi="宋体" w:cs="宋体"/>
                <w:kern w:val="0"/>
              </w:rPr>
              <w:t>时间：</w:t>
            </w:r>
          </w:p>
        </w:tc>
        <w:tc>
          <w:tcPr>
            <w:tcW w:w="552" w:type="dxa"/>
            <w:tcBorders>
              <w:top w:val="nil"/>
              <w:left w:val="nil"/>
              <w:bottom w:val="single" w:color="000000" w:sz="4" w:space="0"/>
              <w:right w:val="nil"/>
            </w:tcBorders>
            <w:tcMar>
              <w:top w:w="15" w:type="dxa"/>
              <w:left w:w="15" w:type="dxa"/>
              <w:right w:w="15" w:type="dxa"/>
            </w:tcMar>
            <w:vAlign w:val="center"/>
          </w:tcPr>
          <w:p w14:paraId="4ECE38B4">
            <w:pPr>
              <w:ind w:firstLine="482"/>
              <w:jc w:val="center"/>
              <w:rPr>
                <w:rFonts w:ascii="宋体" w:hAnsi="宋体" w:cs="宋体"/>
                <w:b/>
              </w:rPr>
            </w:pPr>
          </w:p>
        </w:tc>
        <w:tc>
          <w:tcPr>
            <w:tcW w:w="555" w:type="dxa"/>
            <w:tcBorders>
              <w:top w:val="nil"/>
              <w:left w:val="nil"/>
              <w:bottom w:val="single" w:color="000000" w:sz="4" w:space="0"/>
              <w:right w:val="nil"/>
            </w:tcBorders>
            <w:tcMar>
              <w:top w:w="15" w:type="dxa"/>
              <w:left w:w="15" w:type="dxa"/>
              <w:right w:w="15" w:type="dxa"/>
            </w:tcMar>
            <w:vAlign w:val="center"/>
          </w:tcPr>
          <w:p w14:paraId="056DE155">
            <w:pPr>
              <w:ind w:firstLine="482"/>
              <w:jc w:val="center"/>
              <w:rPr>
                <w:rFonts w:ascii="宋体" w:hAnsi="宋体" w:cs="宋体"/>
                <w:b/>
              </w:rPr>
            </w:pPr>
          </w:p>
        </w:tc>
      </w:tr>
      <w:tr w14:paraId="5D4FA5E0">
        <w:tblPrEx>
          <w:tblCellMar>
            <w:top w:w="0" w:type="dxa"/>
            <w:left w:w="0" w:type="dxa"/>
            <w:bottom w:w="0" w:type="dxa"/>
            <w:right w:w="0" w:type="dxa"/>
          </w:tblCellMar>
        </w:tblPrEx>
        <w:trPr>
          <w:trHeight w:val="400" w:hRule="atLeast"/>
        </w:trPr>
        <w:tc>
          <w:tcPr>
            <w:tcW w:w="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73E89">
            <w:pPr>
              <w:widowControl/>
              <w:adjustRightInd w:val="0"/>
              <w:snapToGrid w:val="0"/>
              <w:jc w:val="left"/>
              <w:textAlignment w:val="center"/>
              <w:rPr>
                <w:rFonts w:ascii="宋体" w:hAnsi="宋体" w:cs="宋体"/>
              </w:rPr>
            </w:pPr>
            <w:r>
              <w:rPr>
                <w:rFonts w:hint="eastAsia" w:ascii="宋体" w:hAnsi="宋体" w:cs="宋体"/>
                <w:kern w:val="0"/>
              </w:rPr>
              <w:t>序号</w:t>
            </w:r>
          </w:p>
        </w:tc>
        <w:tc>
          <w:tcPr>
            <w:tcW w:w="8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E20C65">
            <w:pPr>
              <w:widowControl/>
              <w:adjustRightInd w:val="0"/>
              <w:snapToGrid w:val="0"/>
              <w:textAlignment w:val="center"/>
              <w:rPr>
                <w:rFonts w:ascii="宋体" w:hAnsi="宋体" w:cs="宋体"/>
              </w:rPr>
            </w:pPr>
            <w:r>
              <w:rPr>
                <w:rFonts w:hint="eastAsia" w:ascii="宋体" w:hAnsi="宋体" w:cs="宋体"/>
                <w:kern w:val="0"/>
              </w:rPr>
              <w:t>项目</w:t>
            </w: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3958EE">
            <w:pPr>
              <w:widowControl/>
              <w:adjustRightInd w:val="0"/>
              <w:snapToGrid w:val="0"/>
              <w:textAlignment w:val="center"/>
              <w:rPr>
                <w:rFonts w:ascii="宋体" w:hAnsi="宋体" w:cs="宋体"/>
              </w:rPr>
            </w:pPr>
            <w:r>
              <w:rPr>
                <w:rFonts w:hint="eastAsia" w:ascii="宋体" w:hAnsi="宋体" w:cs="宋体"/>
                <w:kern w:val="0"/>
              </w:rPr>
              <w:t>序号</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168B36">
            <w:pPr>
              <w:widowControl/>
              <w:adjustRightInd w:val="0"/>
              <w:snapToGrid w:val="0"/>
              <w:ind w:firstLine="480"/>
              <w:jc w:val="center"/>
              <w:textAlignment w:val="center"/>
              <w:rPr>
                <w:rFonts w:ascii="宋体" w:hAnsi="宋体" w:cs="宋体"/>
              </w:rPr>
            </w:pPr>
            <w:r>
              <w:rPr>
                <w:rFonts w:hint="eastAsia" w:ascii="宋体" w:hAnsi="宋体" w:cs="宋体"/>
                <w:kern w:val="0"/>
              </w:rPr>
              <w:t>扣分内容</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FA1544">
            <w:pPr>
              <w:widowControl/>
              <w:adjustRightInd w:val="0"/>
              <w:snapToGrid w:val="0"/>
              <w:textAlignment w:val="center"/>
              <w:rPr>
                <w:rFonts w:ascii="宋体" w:hAnsi="宋体" w:cs="宋体"/>
              </w:rPr>
            </w:pPr>
            <w:r>
              <w:rPr>
                <w:rFonts w:hint="eastAsia" w:ascii="宋体" w:hAnsi="宋体" w:cs="宋体"/>
                <w:kern w:val="0"/>
              </w:rPr>
              <w:t>分值</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98F68">
            <w:pPr>
              <w:widowControl/>
              <w:adjustRightInd w:val="0"/>
              <w:snapToGrid w:val="0"/>
              <w:textAlignment w:val="center"/>
              <w:rPr>
                <w:rFonts w:ascii="宋体" w:hAnsi="宋体" w:cs="宋体"/>
              </w:rPr>
            </w:pPr>
            <w:r>
              <w:rPr>
                <w:rFonts w:hint="eastAsia" w:ascii="宋体" w:hAnsi="宋体" w:cs="宋体"/>
                <w:kern w:val="0"/>
              </w:rPr>
              <w:t>扣分标准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B47B9">
            <w:pPr>
              <w:widowControl/>
              <w:adjustRightInd w:val="0"/>
              <w:snapToGrid w:val="0"/>
              <w:textAlignment w:val="center"/>
              <w:rPr>
                <w:rFonts w:ascii="宋体" w:hAnsi="宋体" w:cs="宋体"/>
              </w:rPr>
            </w:pPr>
            <w:r>
              <w:rPr>
                <w:rFonts w:hint="eastAsia" w:ascii="宋体" w:hAnsi="宋体" w:cs="宋体"/>
                <w:kern w:val="0"/>
              </w:rPr>
              <w:t>扣分</w:t>
            </w: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7D64CD">
            <w:pPr>
              <w:widowControl/>
              <w:adjustRightInd w:val="0"/>
              <w:snapToGrid w:val="0"/>
              <w:textAlignment w:val="center"/>
              <w:rPr>
                <w:rFonts w:ascii="宋体" w:hAnsi="宋体" w:cs="宋体"/>
              </w:rPr>
            </w:pPr>
            <w:r>
              <w:rPr>
                <w:rFonts w:hint="eastAsia" w:ascii="宋体" w:hAnsi="宋体" w:cs="宋体"/>
                <w:kern w:val="0"/>
              </w:rPr>
              <w:t>备注</w:t>
            </w:r>
          </w:p>
        </w:tc>
      </w:tr>
      <w:tr w14:paraId="1A5D80D0">
        <w:tblPrEx>
          <w:tblCellMar>
            <w:top w:w="0" w:type="dxa"/>
            <w:left w:w="0" w:type="dxa"/>
            <w:bottom w:w="0" w:type="dxa"/>
            <w:right w:w="0" w:type="dxa"/>
          </w:tblCellMar>
        </w:tblPrEx>
        <w:trPr>
          <w:trHeight w:val="1082" w:hRule="atLeast"/>
        </w:trPr>
        <w:tc>
          <w:tcPr>
            <w:tcW w:w="5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71ADE1">
            <w:pPr>
              <w:widowControl/>
              <w:adjustRightInd w:val="0"/>
              <w:snapToGrid w:val="0"/>
              <w:jc w:val="left"/>
              <w:textAlignment w:val="center"/>
              <w:rPr>
                <w:rFonts w:ascii="宋体" w:hAnsi="宋体" w:cs="宋体"/>
              </w:rPr>
            </w:pPr>
            <w:r>
              <w:rPr>
                <w:rFonts w:hint="eastAsia" w:ascii="宋体" w:hAnsi="宋体" w:cs="宋体"/>
              </w:rPr>
              <w:t>1</w:t>
            </w:r>
          </w:p>
        </w:tc>
        <w:tc>
          <w:tcPr>
            <w:tcW w:w="82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08BA79">
            <w:pPr>
              <w:widowControl/>
              <w:adjustRightInd w:val="0"/>
              <w:snapToGrid w:val="0"/>
              <w:jc w:val="left"/>
              <w:textAlignment w:val="center"/>
              <w:rPr>
                <w:rFonts w:ascii="宋体" w:hAnsi="宋体" w:cs="宋体"/>
              </w:rPr>
            </w:pPr>
            <w:r>
              <w:rPr>
                <w:rFonts w:hint="eastAsia" w:ascii="宋体" w:hAnsi="宋体" w:cs="宋体"/>
              </w:rPr>
              <w:t>管理机制（4分）</w:t>
            </w: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50829">
            <w:pPr>
              <w:widowControl/>
              <w:adjustRightInd w:val="0"/>
              <w:snapToGrid w:val="0"/>
              <w:jc w:val="left"/>
              <w:textAlignment w:val="center"/>
              <w:rPr>
                <w:rFonts w:ascii="宋体" w:hAnsi="宋体" w:cs="宋体"/>
              </w:rPr>
            </w:pPr>
            <w:r>
              <w:rPr>
                <w:rFonts w:hint="eastAsia" w:ascii="宋体" w:hAnsi="宋体" w:cs="宋体"/>
              </w:rPr>
              <w:t>1</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D8C189">
            <w:pPr>
              <w:widowControl/>
              <w:adjustRightInd w:val="0"/>
              <w:snapToGrid w:val="0"/>
              <w:jc w:val="left"/>
              <w:textAlignment w:val="center"/>
              <w:rPr>
                <w:rFonts w:ascii="宋体" w:hAnsi="宋体" w:cs="宋体"/>
              </w:rPr>
            </w:pPr>
            <w:r>
              <w:rPr>
                <w:rFonts w:hint="eastAsia" w:ascii="宋体" w:hAnsi="宋体" w:cs="宋体"/>
              </w:rPr>
              <w:t>未制定年度养护方案、季度养护计划、月养护工作台账的。（1分）</w:t>
            </w:r>
            <w:r>
              <w:rPr>
                <w:rFonts w:hint="eastAsia" w:ascii="宋体" w:hAnsi="宋体" w:cs="宋体"/>
              </w:rPr>
              <w:br w:type="textWrapping"/>
            </w:r>
            <w:r>
              <w:rPr>
                <w:rFonts w:hint="eastAsia" w:ascii="宋体" w:hAnsi="宋体" w:cs="宋体"/>
              </w:rPr>
              <w:t>日常巡查或检查工作中，发现一线养护工人不在岗或迟到早退。养护工人上班时间未按要求穿着园林工作服。正常工作日一线养护工人请休假不得超过3人，节假日实行值班制度。（3分）</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B2D88B">
            <w:pPr>
              <w:widowControl/>
              <w:adjustRightInd w:val="0"/>
              <w:snapToGrid w:val="0"/>
              <w:jc w:val="left"/>
              <w:textAlignment w:val="center"/>
              <w:rPr>
                <w:rFonts w:ascii="宋体" w:hAnsi="宋体" w:cs="宋体"/>
              </w:rPr>
            </w:pPr>
            <w:r>
              <w:rPr>
                <w:rFonts w:hint="eastAsia" w:ascii="宋体" w:hAnsi="宋体" w:cs="宋体"/>
              </w:rPr>
              <w:t>4</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217CCD">
            <w:pPr>
              <w:widowControl/>
              <w:adjustRightInd w:val="0"/>
              <w:snapToGrid w:val="0"/>
              <w:jc w:val="left"/>
              <w:textAlignment w:val="center"/>
              <w:rPr>
                <w:rFonts w:ascii="宋体" w:hAnsi="宋体" w:cs="宋体"/>
              </w:rPr>
            </w:pPr>
            <w:r>
              <w:rPr>
                <w:rFonts w:hint="eastAsia" w:ascii="宋体" w:hAnsi="宋体" w:cs="宋体"/>
              </w:rPr>
              <w:t>一次1分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F488F9">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C2C801">
            <w:pPr>
              <w:widowControl/>
              <w:adjustRightInd w:val="0"/>
              <w:snapToGrid w:val="0"/>
              <w:jc w:val="left"/>
              <w:textAlignment w:val="center"/>
              <w:rPr>
                <w:rFonts w:ascii="宋体" w:hAnsi="宋体" w:cs="宋体"/>
              </w:rPr>
            </w:pPr>
          </w:p>
        </w:tc>
      </w:tr>
      <w:tr w14:paraId="752EDFE4">
        <w:tblPrEx>
          <w:tblCellMar>
            <w:top w:w="0" w:type="dxa"/>
            <w:left w:w="0" w:type="dxa"/>
            <w:bottom w:w="0" w:type="dxa"/>
            <w:right w:w="0" w:type="dxa"/>
          </w:tblCellMar>
        </w:tblPrEx>
        <w:trPr>
          <w:trHeight w:val="360"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A133D7">
            <w:pPr>
              <w:widowControl/>
              <w:adjustRightInd w:val="0"/>
              <w:snapToGrid w:val="0"/>
              <w:jc w:val="left"/>
              <w:textAlignment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41EDF7">
            <w:pPr>
              <w:widowControl/>
              <w:adjustRightInd w:val="0"/>
              <w:snapToGrid w:val="0"/>
              <w:jc w:val="left"/>
              <w:textAlignment w:val="center"/>
              <w:rPr>
                <w:rFonts w:ascii="宋体" w:hAnsi="宋体" w:cs="宋体"/>
              </w:rPr>
            </w:pPr>
          </w:p>
        </w:tc>
        <w:tc>
          <w:tcPr>
            <w:tcW w:w="687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B883CB">
            <w:pPr>
              <w:widowControl/>
              <w:adjustRightInd w:val="0"/>
              <w:snapToGrid w:val="0"/>
              <w:jc w:val="left"/>
              <w:textAlignment w:val="center"/>
              <w:rPr>
                <w:rFonts w:ascii="宋体" w:hAnsi="宋体" w:cs="宋体"/>
              </w:rPr>
            </w:pPr>
            <w:r>
              <w:rPr>
                <w:rFonts w:hint="eastAsia" w:ascii="宋体" w:hAnsi="宋体" w:cs="宋体"/>
              </w:rPr>
              <w:t>得分小计</w:t>
            </w:r>
          </w:p>
        </w:tc>
        <w:tc>
          <w:tcPr>
            <w:tcW w:w="110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AF809B">
            <w:pPr>
              <w:widowControl/>
              <w:adjustRightInd w:val="0"/>
              <w:snapToGrid w:val="0"/>
              <w:jc w:val="left"/>
              <w:textAlignment w:val="center"/>
              <w:rPr>
                <w:rFonts w:ascii="宋体" w:hAnsi="宋体" w:cs="宋体"/>
              </w:rPr>
            </w:pPr>
          </w:p>
        </w:tc>
      </w:tr>
      <w:tr w14:paraId="7F50ABAC">
        <w:tblPrEx>
          <w:tblCellMar>
            <w:top w:w="0" w:type="dxa"/>
            <w:left w:w="0" w:type="dxa"/>
            <w:bottom w:w="0" w:type="dxa"/>
            <w:right w:w="0" w:type="dxa"/>
          </w:tblCellMar>
        </w:tblPrEx>
        <w:trPr>
          <w:trHeight w:val="1680" w:hRule="atLeast"/>
        </w:trPr>
        <w:tc>
          <w:tcPr>
            <w:tcW w:w="5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861A66">
            <w:pPr>
              <w:widowControl/>
              <w:adjustRightInd w:val="0"/>
              <w:snapToGrid w:val="0"/>
              <w:jc w:val="left"/>
              <w:textAlignment w:val="center"/>
              <w:rPr>
                <w:rFonts w:ascii="宋体" w:hAnsi="宋体" w:cs="宋体"/>
              </w:rPr>
            </w:pPr>
            <w:r>
              <w:rPr>
                <w:rFonts w:hint="eastAsia" w:ascii="宋体" w:hAnsi="宋体" w:cs="宋体"/>
              </w:rPr>
              <w:t>2</w:t>
            </w:r>
          </w:p>
        </w:tc>
        <w:tc>
          <w:tcPr>
            <w:tcW w:w="825"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E50C356">
            <w:pPr>
              <w:widowControl/>
              <w:adjustRightInd w:val="0"/>
              <w:snapToGrid w:val="0"/>
              <w:jc w:val="left"/>
              <w:textAlignment w:val="center"/>
              <w:rPr>
                <w:rFonts w:ascii="宋体" w:hAnsi="宋体" w:cs="宋体"/>
              </w:rPr>
            </w:pPr>
            <w:r>
              <w:rPr>
                <w:rFonts w:hint="eastAsia" w:ascii="宋体" w:hAnsi="宋体" w:cs="宋体"/>
              </w:rPr>
              <w:t>乔木管理（20分）</w:t>
            </w: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4936A5">
            <w:pPr>
              <w:widowControl/>
              <w:adjustRightInd w:val="0"/>
              <w:snapToGrid w:val="0"/>
              <w:jc w:val="left"/>
              <w:textAlignment w:val="center"/>
              <w:rPr>
                <w:rFonts w:ascii="宋体" w:hAnsi="宋体" w:cs="宋体"/>
              </w:rPr>
            </w:pPr>
            <w:r>
              <w:rPr>
                <w:rFonts w:hint="eastAsia" w:ascii="宋体" w:hAnsi="宋体" w:cs="宋体"/>
              </w:rPr>
              <w:t>1</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98D67B">
            <w:pPr>
              <w:widowControl/>
              <w:adjustRightInd w:val="0"/>
              <w:snapToGrid w:val="0"/>
              <w:jc w:val="left"/>
              <w:textAlignment w:val="center"/>
              <w:rPr>
                <w:rFonts w:ascii="宋体" w:hAnsi="宋体" w:cs="宋体"/>
              </w:rPr>
            </w:pPr>
            <w:r>
              <w:rPr>
                <w:rFonts w:hint="eastAsia" w:ascii="宋体" w:hAnsi="宋体" w:cs="宋体"/>
              </w:rPr>
              <w:t>枯枝、断枝、干椰果未及时清理。</w:t>
            </w:r>
            <w:r>
              <w:rPr>
                <w:rFonts w:hint="eastAsia" w:ascii="宋体" w:hAnsi="宋体" w:cs="宋体"/>
              </w:rPr>
              <w:br w:type="textWrapping"/>
            </w:r>
            <w:r>
              <w:rPr>
                <w:rFonts w:hint="eastAsia" w:ascii="宋体" w:hAnsi="宋体" w:cs="宋体"/>
              </w:rPr>
              <w:t>2.8米以下的萌蘖枝未及时剪除，行道树下垂枝尖端低于2.8米，或乔灌木遮挡交通标识、安全视线、路灯灯光未及时修剪。</w:t>
            </w:r>
            <w:r>
              <w:rPr>
                <w:rFonts w:hint="eastAsia" w:ascii="宋体" w:hAnsi="宋体" w:cs="宋体"/>
              </w:rPr>
              <w:br w:type="textWrapping"/>
            </w:r>
            <w:r>
              <w:rPr>
                <w:rFonts w:hint="eastAsia" w:ascii="宋体" w:hAnsi="宋体" w:cs="宋体"/>
              </w:rPr>
              <w:t>修剪后直径大于10厘米的伤口不进行保护处理或处理不符合要求。</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88C64D">
            <w:pPr>
              <w:widowControl/>
              <w:adjustRightInd w:val="0"/>
              <w:snapToGrid w:val="0"/>
              <w:jc w:val="left"/>
              <w:textAlignment w:val="center"/>
              <w:rPr>
                <w:rFonts w:ascii="宋体" w:hAnsi="宋体" w:cs="宋体"/>
              </w:rPr>
            </w:pPr>
            <w:r>
              <w:rPr>
                <w:rFonts w:hint="eastAsia" w:ascii="宋体" w:hAnsi="宋体" w:cs="宋体"/>
              </w:rPr>
              <w:t>8</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60166B">
            <w:pPr>
              <w:widowControl/>
              <w:adjustRightInd w:val="0"/>
              <w:snapToGrid w:val="0"/>
              <w:jc w:val="left"/>
              <w:textAlignment w:val="center"/>
              <w:rPr>
                <w:rFonts w:ascii="宋体" w:hAnsi="宋体" w:cs="宋体"/>
              </w:rPr>
            </w:pPr>
            <w:r>
              <w:rPr>
                <w:rFonts w:hint="eastAsia" w:ascii="宋体" w:hAnsi="宋体" w:cs="宋体"/>
              </w:rPr>
              <w:t>一条路或一处绿地扣0.5分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52C6F8">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53871">
            <w:pPr>
              <w:widowControl/>
              <w:adjustRightInd w:val="0"/>
              <w:snapToGrid w:val="0"/>
              <w:jc w:val="left"/>
              <w:textAlignment w:val="center"/>
              <w:rPr>
                <w:rFonts w:ascii="宋体" w:hAnsi="宋体" w:cs="宋体"/>
              </w:rPr>
            </w:pPr>
          </w:p>
        </w:tc>
      </w:tr>
      <w:tr w14:paraId="6B88794A">
        <w:tblPrEx>
          <w:tblCellMar>
            <w:top w:w="0" w:type="dxa"/>
            <w:left w:w="0" w:type="dxa"/>
            <w:bottom w:w="0" w:type="dxa"/>
            <w:right w:w="0" w:type="dxa"/>
          </w:tblCellMar>
        </w:tblPrEx>
        <w:trPr>
          <w:trHeight w:val="471"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65835B">
            <w:pPr>
              <w:widowControl/>
              <w:adjustRightInd w:val="0"/>
              <w:snapToGrid w:val="0"/>
              <w:jc w:val="left"/>
              <w:textAlignment w:val="center"/>
              <w:rPr>
                <w:rFonts w:ascii="宋体" w:hAnsi="宋体" w:cs="宋体"/>
              </w:rPr>
            </w:pPr>
          </w:p>
        </w:tc>
        <w:tc>
          <w:tcPr>
            <w:tcW w:w="825"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2934882">
            <w:pPr>
              <w:widowControl/>
              <w:adjustRightInd w:val="0"/>
              <w:snapToGrid w:val="0"/>
              <w:jc w:val="left"/>
              <w:textAlignment w:val="center"/>
              <w:rPr>
                <w:rFonts w:ascii="宋体" w:hAnsi="宋体" w:cs="宋体"/>
              </w:rPr>
            </w:pP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C0DFDB">
            <w:pPr>
              <w:widowControl/>
              <w:adjustRightInd w:val="0"/>
              <w:snapToGrid w:val="0"/>
              <w:jc w:val="left"/>
              <w:textAlignment w:val="center"/>
              <w:rPr>
                <w:rFonts w:ascii="宋体" w:hAnsi="宋体" w:cs="宋体"/>
              </w:rPr>
            </w:pPr>
            <w:r>
              <w:rPr>
                <w:rFonts w:hint="eastAsia" w:ascii="宋体" w:hAnsi="宋体" w:cs="宋体"/>
              </w:rPr>
              <w:t>2</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CF673">
            <w:pPr>
              <w:widowControl/>
              <w:adjustRightInd w:val="0"/>
              <w:snapToGrid w:val="0"/>
              <w:jc w:val="left"/>
              <w:textAlignment w:val="center"/>
              <w:rPr>
                <w:rFonts w:ascii="宋体" w:hAnsi="宋体" w:cs="宋体"/>
              </w:rPr>
            </w:pPr>
            <w:r>
              <w:rPr>
                <w:rFonts w:hint="eastAsia" w:ascii="宋体" w:hAnsi="宋体" w:cs="宋体"/>
              </w:rPr>
              <w:t>歪斜或倒伏树木未及时扶正加固，死株、断株和树桩未及时清理</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DE68ED">
            <w:pPr>
              <w:widowControl/>
              <w:adjustRightInd w:val="0"/>
              <w:snapToGrid w:val="0"/>
              <w:jc w:val="left"/>
              <w:textAlignment w:val="center"/>
              <w:rPr>
                <w:rFonts w:ascii="宋体" w:hAnsi="宋体" w:cs="宋体"/>
              </w:rPr>
            </w:pPr>
            <w:r>
              <w:rPr>
                <w:rFonts w:hint="eastAsia" w:ascii="宋体" w:hAnsi="宋体" w:cs="宋体"/>
              </w:rPr>
              <w:t>3</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58CDD6">
            <w:pPr>
              <w:widowControl/>
              <w:adjustRightInd w:val="0"/>
              <w:snapToGrid w:val="0"/>
              <w:jc w:val="left"/>
              <w:textAlignment w:val="center"/>
              <w:rPr>
                <w:rFonts w:ascii="宋体" w:hAnsi="宋体" w:cs="宋体"/>
              </w:rPr>
            </w:pPr>
            <w:r>
              <w:rPr>
                <w:rFonts w:hint="eastAsia" w:ascii="宋体" w:hAnsi="宋体" w:cs="宋体"/>
              </w:rPr>
              <w:t>一条路或一处绿地扣0.5分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C33426">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E79C27">
            <w:pPr>
              <w:widowControl/>
              <w:adjustRightInd w:val="0"/>
              <w:snapToGrid w:val="0"/>
              <w:jc w:val="left"/>
              <w:textAlignment w:val="center"/>
              <w:rPr>
                <w:rFonts w:ascii="宋体" w:hAnsi="宋体" w:cs="宋体"/>
              </w:rPr>
            </w:pPr>
          </w:p>
        </w:tc>
      </w:tr>
      <w:tr w14:paraId="389FDA21">
        <w:tblPrEx>
          <w:tblCellMar>
            <w:top w:w="0" w:type="dxa"/>
            <w:left w:w="0" w:type="dxa"/>
            <w:bottom w:w="0" w:type="dxa"/>
            <w:right w:w="0" w:type="dxa"/>
          </w:tblCellMar>
        </w:tblPrEx>
        <w:trPr>
          <w:trHeight w:val="960"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33275">
            <w:pPr>
              <w:widowControl/>
              <w:adjustRightInd w:val="0"/>
              <w:snapToGrid w:val="0"/>
              <w:jc w:val="left"/>
              <w:textAlignment w:val="center"/>
              <w:rPr>
                <w:rFonts w:ascii="宋体" w:hAnsi="宋体" w:cs="宋体"/>
              </w:rPr>
            </w:pPr>
          </w:p>
        </w:tc>
        <w:tc>
          <w:tcPr>
            <w:tcW w:w="825"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05C2884">
            <w:pPr>
              <w:widowControl/>
              <w:adjustRightInd w:val="0"/>
              <w:snapToGrid w:val="0"/>
              <w:jc w:val="left"/>
              <w:textAlignment w:val="center"/>
              <w:rPr>
                <w:rFonts w:ascii="宋体" w:hAnsi="宋体" w:cs="宋体"/>
              </w:rPr>
            </w:pP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8AC82C">
            <w:pPr>
              <w:widowControl/>
              <w:adjustRightInd w:val="0"/>
              <w:snapToGrid w:val="0"/>
              <w:jc w:val="left"/>
              <w:textAlignment w:val="center"/>
              <w:rPr>
                <w:rFonts w:ascii="宋体" w:hAnsi="宋体" w:cs="宋体"/>
              </w:rPr>
            </w:pPr>
            <w:r>
              <w:rPr>
                <w:rFonts w:hint="eastAsia" w:ascii="宋体" w:hAnsi="宋体" w:cs="宋体"/>
              </w:rPr>
              <w:t>3</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B917B7">
            <w:pPr>
              <w:widowControl/>
              <w:adjustRightInd w:val="0"/>
              <w:snapToGrid w:val="0"/>
              <w:jc w:val="left"/>
              <w:textAlignment w:val="center"/>
              <w:rPr>
                <w:rFonts w:ascii="宋体" w:hAnsi="宋体" w:cs="宋体"/>
              </w:rPr>
            </w:pPr>
            <w:r>
              <w:rPr>
                <w:rFonts w:hint="eastAsia" w:ascii="宋体" w:hAnsi="宋体" w:cs="宋体"/>
              </w:rPr>
              <w:t>护树设施损坏或失效的未及时清理更换。种植有草皮地被、灌木的树穴未及时修剪，未及时挖除杂草</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620D7">
            <w:pPr>
              <w:widowControl/>
              <w:adjustRightInd w:val="0"/>
              <w:snapToGrid w:val="0"/>
              <w:jc w:val="left"/>
              <w:textAlignment w:val="center"/>
              <w:rPr>
                <w:rFonts w:ascii="宋体" w:hAnsi="宋体" w:cs="宋体"/>
              </w:rPr>
            </w:pPr>
            <w:r>
              <w:rPr>
                <w:rFonts w:hint="eastAsia" w:ascii="宋体" w:hAnsi="宋体" w:cs="宋体"/>
              </w:rPr>
              <w:t>3</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28E7F7">
            <w:pPr>
              <w:widowControl/>
              <w:adjustRightInd w:val="0"/>
              <w:snapToGrid w:val="0"/>
              <w:jc w:val="left"/>
              <w:textAlignment w:val="center"/>
              <w:rPr>
                <w:rFonts w:ascii="宋体" w:hAnsi="宋体" w:cs="宋体"/>
              </w:rPr>
            </w:pPr>
            <w:r>
              <w:rPr>
                <w:rFonts w:hint="eastAsia" w:ascii="宋体" w:hAnsi="宋体" w:cs="宋体"/>
              </w:rPr>
              <w:t>一条路或一处绿地扣0.5分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BB799B">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65DD9">
            <w:pPr>
              <w:widowControl/>
              <w:adjustRightInd w:val="0"/>
              <w:snapToGrid w:val="0"/>
              <w:jc w:val="left"/>
              <w:textAlignment w:val="center"/>
              <w:rPr>
                <w:rFonts w:ascii="宋体" w:hAnsi="宋体" w:cs="宋体"/>
              </w:rPr>
            </w:pPr>
          </w:p>
        </w:tc>
      </w:tr>
      <w:tr w14:paraId="150CDE74">
        <w:tblPrEx>
          <w:tblCellMar>
            <w:top w:w="0" w:type="dxa"/>
            <w:left w:w="0" w:type="dxa"/>
            <w:bottom w:w="0" w:type="dxa"/>
            <w:right w:w="0" w:type="dxa"/>
          </w:tblCellMar>
        </w:tblPrEx>
        <w:trPr>
          <w:trHeight w:val="1440"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51E6A">
            <w:pPr>
              <w:widowControl/>
              <w:adjustRightInd w:val="0"/>
              <w:snapToGrid w:val="0"/>
              <w:jc w:val="left"/>
              <w:textAlignment w:val="center"/>
              <w:rPr>
                <w:rFonts w:ascii="宋体" w:hAnsi="宋体" w:cs="宋体"/>
              </w:rPr>
            </w:pPr>
          </w:p>
        </w:tc>
        <w:tc>
          <w:tcPr>
            <w:tcW w:w="825"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B3AB7B7">
            <w:pPr>
              <w:widowControl/>
              <w:adjustRightInd w:val="0"/>
              <w:snapToGrid w:val="0"/>
              <w:jc w:val="left"/>
              <w:textAlignment w:val="center"/>
              <w:rPr>
                <w:rFonts w:ascii="宋体" w:hAnsi="宋体" w:cs="宋体"/>
              </w:rPr>
            </w:pP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D7FE2">
            <w:pPr>
              <w:widowControl/>
              <w:adjustRightInd w:val="0"/>
              <w:snapToGrid w:val="0"/>
              <w:jc w:val="left"/>
              <w:textAlignment w:val="center"/>
              <w:rPr>
                <w:rFonts w:ascii="宋体" w:hAnsi="宋体" w:cs="宋体"/>
              </w:rPr>
            </w:pPr>
            <w:r>
              <w:rPr>
                <w:rFonts w:hint="eastAsia" w:ascii="宋体" w:hAnsi="宋体" w:cs="宋体"/>
              </w:rPr>
              <w:t>4</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E0299">
            <w:pPr>
              <w:widowControl/>
              <w:adjustRightInd w:val="0"/>
              <w:snapToGrid w:val="0"/>
              <w:jc w:val="left"/>
              <w:textAlignment w:val="center"/>
              <w:rPr>
                <w:rFonts w:ascii="宋体" w:hAnsi="宋体" w:cs="宋体"/>
              </w:rPr>
            </w:pPr>
            <w:r>
              <w:rPr>
                <w:rFonts w:hint="eastAsia" w:ascii="宋体" w:hAnsi="宋体" w:cs="宋体"/>
              </w:rPr>
              <w:t>未及时防治病虫害，出现明显危害症状的；违反农药管理规定，使用高毒害残留农药的，或施药方式不当造成药害的。乔木因缺水，出现明显枯黄或萎蔫或死亡；乔木未每年施肥1次的。</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7AF90E">
            <w:pPr>
              <w:widowControl/>
              <w:adjustRightInd w:val="0"/>
              <w:snapToGrid w:val="0"/>
              <w:jc w:val="left"/>
              <w:textAlignment w:val="center"/>
              <w:rPr>
                <w:rFonts w:ascii="宋体" w:hAnsi="宋体" w:cs="宋体"/>
              </w:rPr>
            </w:pPr>
            <w:r>
              <w:rPr>
                <w:rFonts w:hint="eastAsia" w:ascii="宋体" w:hAnsi="宋体" w:cs="宋体"/>
              </w:rPr>
              <w:t>2</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26DAF">
            <w:pPr>
              <w:widowControl/>
              <w:adjustRightInd w:val="0"/>
              <w:snapToGrid w:val="0"/>
              <w:jc w:val="left"/>
              <w:textAlignment w:val="center"/>
              <w:rPr>
                <w:rFonts w:ascii="宋体" w:hAnsi="宋体" w:cs="宋体"/>
              </w:rPr>
            </w:pPr>
            <w:r>
              <w:rPr>
                <w:rFonts w:hint="eastAsia" w:ascii="宋体" w:hAnsi="宋体" w:cs="宋体"/>
              </w:rPr>
              <w:t>一条路或一处绿地扣0.5分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C1AEDB">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AB5166">
            <w:pPr>
              <w:widowControl/>
              <w:adjustRightInd w:val="0"/>
              <w:snapToGrid w:val="0"/>
              <w:jc w:val="left"/>
              <w:textAlignment w:val="center"/>
              <w:rPr>
                <w:rFonts w:ascii="宋体" w:hAnsi="宋体" w:cs="宋体"/>
              </w:rPr>
            </w:pPr>
          </w:p>
        </w:tc>
      </w:tr>
      <w:tr w14:paraId="0EA8818A">
        <w:tblPrEx>
          <w:tblCellMar>
            <w:top w:w="0" w:type="dxa"/>
            <w:left w:w="0" w:type="dxa"/>
            <w:bottom w:w="0" w:type="dxa"/>
            <w:right w:w="0" w:type="dxa"/>
          </w:tblCellMar>
        </w:tblPrEx>
        <w:trPr>
          <w:trHeight w:val="861"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A21478">
            <w:pPr>
              <w:widowControl/>
              <w:adjustRightInd w:val="0"/>
              <w:snapToGrid w:val="0"/>
              <w:jc w:val="left"/>
              <w:textAlignment w:val="center"/>
              <w:rPr>
                <w:rFonts w:ascii="宋体" w:hAnsi="宋体" w:cs="宋体"/>
              </w:rPr>
            </w:pPr>
          </w:p>
        </w:tc>
        <w:tc>
          <w:tcPr>
            <w:tcW w:w="825"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2507B869">
            <w:pPr>
              <w:widowControl/>
              <w:adjustRightInd w:val="0"/>
              <w:snapToGrid w:val="0"/>
              <w:jc w:val="left"/>
              <w:textAlignment w:val="center"/>
              <w:rPr>
                <w:rFonts w:ascii="宋体" w:hAnsi="宋体" w:cs="宋体"/>
              </w:rPr>
            </w:pP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2BFE1C">
            <w:pPr>
              <w:widowControl/>
              <w:adjustRightInd w:val="0"/>
              <w:snapToGrid w:val="0"/>
              <w:jc w:val="left"/>
              <w:textAlignment w:val="center"/>
              <w:rPr>
                <w:rFonts w:ascii="宋体" w:hAnsi="宋体" w:cs="宋体"/>
              </w:rPr>
            </w:pPr>
            <w:r>
              <w:rPr>
                <w:rFonts w:hint="eastAsia" w:ascii="宋体" w:hAnsi="宋体" w:cs="宋体"/>
              </w:rPr>
              <w:t>5</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4ED8C">
            <w:pPr>
              <w:widowControl/>
              <w:adjustRightInd w:val="0"/>
              <w:snapToGrid w:val="0"/>
              <w:jc w:val="left"/>
              <w:textAlignment w:val="center"/>
              <w:rPr>
                <w:rFonts w:ascii="宋体" w:hAnsi="宋体" w:cs="宋体"/>
              </w:rPr>
            </w:pPr>
            <w:r>
              <w:rPr>
                <w:rFonts w:hint="eastAsia" w:ascii="宋体" w:hAnsi="宋体" w:cs="宋体"/>
              </w:rPr>
              <w:t>乔木缺株率超过5%，未按要求补回或补植的品种与原品种不一致的，一级分枝点低于2.8米的。</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72C1A">
            <w:pPr>
              <w:widowControl/>
              <w:adjustRightInd w:val="0"/>
              <w:snapToGrid w:val="0"/>
              <w:jc w:val="left"/>
              <w:textAlignment w:val="center"/>
              <w:rPr>
                <w:rFonts w:ascii="宋体" w:hAnsi="宋体" w:cs="宋体"/>
              </w:rPr>
            </w:pPr>
            <w:r>
              <w:rPr>
                <w:rFonts w:hint="eastAsia" w:ascii="宋体" w:hAnsi="宋体" w:cs="宋体"/>
              </w:rPr>
              <w:t>4</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152359">
            <w:pPr>
              <w:widowControl/>
              <w:adjustRightInd w:val="0"/>
              <w:snapToGrid w:val="0"/>
              <w:jc w:val="left"/>
              <w:textAlignment w:val="center"/>
              <w:rPr>
                <w:rFonts w:ascii="宋体" w:hAnsi="宋体" w:cs="宋体"/>
              </w:rPr>
            </w:pPr>
            <w:r>
              <w:rPr>
                <w:rFonts w:hint="eastAsia" w:ascii="宋体" w:hAnsi="宋体" w:cs="宋体"/>
              </w:rPr>
              <w:t>一条路或一处绿地扣0.5分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638E88">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83A7AB">
            <w:pPr>
              <w:widowControl/>
              <w:adjustRightInd w:val="0"/>
              <w:snapToGrid w:val="0"/>
              <w:jc w:val="left"/>
              <w:textAlignment w:val="center"/>
              <w:rPr>
                <w:rFonts w:ascii="宋体" w:hAnsi="宋体" w:cs="宋体"/>
              </w:rPr>
            </w:pPr>
          </w:p>
        </w:tc>
      </w:tr>
      <w:tr w14:paraId="5B7DAE6F">
        <w:tblPrEx>
          <w:tblCellMar>
            <w:top w:w="0" w:type="dxa"/>
            <w:left w:w="0" w:type="dxa"/>
            <w:bottom w:w="0" w:type="dxa"/>
            <w:right w:w="0" w:type="dxa"/>
          </w:tblCellMar>
        </w:tblPrEx>
        <w:trPr>
          <w:trHeight w:val="360"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2405E9">
            <w:pPr>
              <w:widowControl/>
              <w:adjustRightInd w:val="0"/>
              <w:snapToGrid w:val="0"/>
              <w:jc w:val="left"/>
              <w:textAlignment w:val="center"/>
              <w:rPr>
                <w:rFonts w:ascii="宋体" w:hAnsi="宋体" w:cs="宋体"/>
              </w:rPr>
            </w:pPr>
          </w:p>
        </w:tc>
        <w:tc>
          <w:tcPr>
            <w:tcW w:w="825"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6A9E4F0">
            <w:pPr>
              <w:widowControl/>
              <w:adjustRightInd w:val="0"/>
              <w:snapToGrid w:val="0"/>
              <w:jc w:val="left"/>
              <w:textAlignment w:val="center"/>
              <w:rPr>
                <w:rFonts w:ascii="宋体" w:hAnsi="宋体" w:cs="宋体"/>
              </w:rPr>
            </w:pPr>
          </w:p>
        </w:tc>
        <w:tc>
          <w:tcPr>
            <w:tcW w:w="687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84D98">
            <w:pPr>
              <w:widowControl/>
              <w:adjustRightInd w:val="0"/>
              <w:snapToGrid w:val="0"/>
              <w:jc w:val="left"/>
              <w:textAlignment w:val="center"/>
              <w:rPr>
                <w:rFonts w:ascii="宋体" w:hAnsi="宋体" w:cs="宋体"/>
              </w:rPr>
            </w:pPr>
            <w:r>
              <w:rPr>
                <w:rFonts w:hint="eastAsia" w:ascii="宋体" w:hAnsi="宋体" w:cs="宋体"/>
              </w:rPr>
              <w:t>得分小计</w:t>
            </w:r>
          </w:p>
        </w:tc>
        <w:tc>
          <w:tcPr>
            <w:tcW w:w="110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1002A9">
            <w:pPr>
              <w:widowControl/>
              <w:adjustRightInd w:val="0"/>
              <w:snapToGrid w:val="0"/>
              <w:jc w:val="left"/>
              <w:textAlignment w:val="center"/>
              <w:rPr>
                <w:rFonts w:ascii="宋体" w:hAnsi="宋体" w:cs="宋体"/>
              </w:rPr>
            </w:pPr>
          </w:p>
        </w:tc>
      </w:tr>
      <w:tr w14:paraId="50762DB1">
        <w:tblPrEx>
          <w:tblCellMar>
            <w:top w:w="0" w:type="dxa"/>
            <w:left w:w="0" w:type="dxa"/>
            <w:bottom w:w="0" w:type="dxa"/>
            <w:right w:w="0" w:type="dxa"/>
          </w:tblCellMar>
        </w:tblPrEx>
        <w:trPr>
          <w:trHeight w:val="1040" w:hRule="atLeast"/>
        </w:trPr>
        <w:tc>
          <w:tcPr>
            <w:tcW w:w="5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4DEF7E">
            <w:pPr>
              <w:widowControl/>
              <w:adjustRightInd w:val="0"/>
              <w:snapToGrid w:val="0"/>
              <w:jc w:val="left"/>
              <w:textAlignment w:val="center"/>
              <w:rPr>
                <w:rFonts w:ascii="宋体" w:hAnsi="宋体" w:cs="宋体"/>
              </w:rPr>
            </w:pPr>
            <w:r>
              <w:rPr>
                <w:rFonts w:hint="eastAsia" w:ascii="宋体" w:hAnsi="宋体" w:cs="宋体"/>
              </w:rPr>
              <w:t>3</w:t>
            </w:r>
          </w:p>
        </w:tc>
        <w:tc>
          <w:tcPr>
            <w:tcW w:w="82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D02475">
            <w:pPr>
              <w:widowControl/>
              <w:adjustRightInd w:val="0"/>
              <w:snapToGrid w:val="0"/>
              <w:jc w:val="left"/>
              <w:textAlignment w:val="center"/>
              <w:rPr>
                <w:rFonts w:ascii="宋体" w:hAnsi="宋体" w:cs="宋体"/>
              </w:rPr>
            </w:pPr>
            <w:r>
              <w:rPr>
                <w:rFonts w:hint="eastAsia" w:ascii="宋体" w:hAnsi="宋体" w:cs="宋体"/>
              </w:rPr>
              <w:t>灌木管理（17分）</w:t>
            </w:r>
          </w:p>
        </w:tc>
        <w:tc>
          <w:tcPr>
            <w:tcW w:w="54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BCFB8DB">
            <w:pPr>
              <w:widowControl/>
              <w:adjustRightInd w:val="0"/>
              <w:snapToGrid w:val="0"/>
              <w:jc w:val="left"/>
              <w:textAlignment w:val="center"/>
              <w:rPr>
                <w:rFonts w:ascii="宋体" w:hAnsi="宋体" w:cs="宋体"/>
              </w:rPr>
            </w:pPr>
            <w:r>
              <w:rPr>
                <w:rFonts w:hint="eastAsia" w:ascii="宋体" w:hAnsi="宋体" w:cs="宋体"/>
              </w:rPr>
              <w:t>1</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73C185">
            <w:pPr>
              <w:widowControl/>
              <w:adjustRightInd w:val="0"/>
              <w:snapToGrid w:val="0"/>
              <w:jc w:val="left"/>
              <w:textAlignment w:val="center"/>
              <w:rPr>
                <w:rFonts w:ascii="宋体" w:hAnsi="宋体" w:cs="宋体"/>
              </w:rPr>
            </w:pPr>
            <w:r>
              <w:rPr>
                <w:rFonts w:hint="eastAsia" w:ascii="宋体" w:hAnsi="宋体" w:cs="宋体"/>
              </w:rPr>
              <w:t>灌木生长杂乱，未及时修剪，枯枝、败叶、残花未及时清理；不同品种灌木之间不及时修剪造成界限不清晰，层次不明显</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0DFCC4">
            <w:pPr>
              <w:widowControl/>
              <w:adjustRightInd w:val="0"/>
              <w:snapToGrid w:val="0"/>
              <w:jc w:val="left"/>
              <w:textAlignment w:val="center"/>
              <w:rPr>
                <w:rFonts w:ascii="宋体" w:hAnsi="宋体" w:cs="宋体"/>
              </w:rPr>
            </w:pPr>
            <w:r>
              <w:rPr>
                <w:rFonts w:hint="eastAsia" w:ascii="宋体" w:hAnsi="宋体" w:cs="宋体"/>
              </w:rPr>
              <w:t>5</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46E7C">
            <w:pPr>
              <w:widowControl/>
              <w:adjustRightInd w:val="0"/>
              <w:snapToGrid w:val="0"/>
              <w:jc w:val="left"/>
              <w:textAlignment w:val="center"/>
              <w:rPr>
                <w:rFonts w:ascii="宋体" w:hAnsi="宋体" w:cs="宋体"/>
              </w:rPr>
            </w:pPr>
            <w:r>
              <w:rPr>
                <w:rFonts w:hint="eastAsia" w:ascii="宋体" w:hAnsi="宋体" w:cs="宋体"/>
              </w:rPr>
              <w:t>一处扣0.5分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F5C5B3">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E45533">
            <w:pPr>
              <w:widowControl/>
              <w:adjustRightInd w:val="0"/>
              <w:snapToGrid w:val="0"/>
              <w:jc w:val="left"/>
              <w:textAlignment w:val="center"/>
              <w:rPr>
                <w:rFonts w:ascii="宋体" w:hAnsi="宋体" w:cs="宋体"/>
              </w:rPr>
            </w:pPr>
          </w:p>
        </w:tc>
      </w:tr>
      <w:tr w14:paraId="68EC2C52">
        <w:tblPrEx>
          <w:tblCellMar>
            <w:top w:w="0" w:type="dxa"/>
            <w:left w:w="0" w:type="dxa"/>
            <w:bottom w:w="0" w:type="dxa"/>
            <w:right w:w="0" w:type="dxa"/>
          </w:tblCellMar>
        </w:tblPrEx>
        <w:trPr>
          <w:trHeight w:val="784"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8724CD">
            <w:pPr>
              <w:widowControl/>
              <w:adjustRightInd w:val="0"/>
              <w:snapToGrid w:val="0"/>
              <w:jc w:val="left"/>
              <w:textAlignment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0707C5">
            <w:pPr>
              <w:widowControl/>
              <w:adjustRightInd w:val="0"/>
              <w:snapToGrid w:val="0"/>
              <w:jc w:val="left"/>
              <w:textAlignment w:val="center"/>
              <w:rPr>
                <w:rFonts w:ascii="宋体" w:hAnsi="宋体" w:cs="宋体"/>
              </w:rPr>
            </w:pP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F6C16B">
            <w:pPr>
              <w:widowControl/>
              <w:adjustRightInd w:val="0"/>
              <w:snapToGrid w:val="0"/>
              <w:jc w:val="left"/>
              <w:textAlignment w:val="center"/>
              <w:rPr>
                <w:rFonts w:ascii="宋体" w:hAnsi="宋体" w:cs="宋体"/>
              </w:rPr>
            </w:pPr>
            <w:r>
              <w:rPr>
                <w:rFonts w:hint="eastAsia" w:ascii="宋体" w:hAnsi="宋体" w:cs="宋体"/>
              </w:rPr>
              <w:t>2</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A2B8E">
            <w:pPr>
              <w:widowControl/>
              <w:adjustRightInd w:val="0"/>
              <w:snapToGrid w:val="0"/>
              <w:jc w:val="left"/>
              <w:textAlignment w:val="center"/>
              <w:rPr>
                <w:rFonts w:ascii="宋体" w:hAnsi="宋体" w:cs="宋体"/>
              </w:rPr>
            </w:pPr>
            <w:r>
              <w:rPr>
                <w:rFonts w:hint="eastAsia" w:ascii="宋体" w:hAnsi="宋体" w:cs="宋体"/>
              </w:rPr>
              <w:t>未及时清除灌木丛杂草，避免出现明显杂草；草皮地被长入灌木内的，未及时切边</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4DBA84">
            <w:pPr>
              <w:widowControl/>
              <w:adjustRightInd w:val="0"/>
              <w:snapToGrid w:val="0"/>
              <w:jc w:val="left"/>
              <w:textAlignment w:val="center"/>
              <w:rPr>
                <w:rFonts w:ascii="宋体" w:hAnsi="宋体" w:cs="宋体"/>
              </w:rPr>
            </w:pPr>
            <w:r>
              <w:rPr>
                <w:rFonts w:hint="eastAsia" w:ascii="宋体" w:hAnsi="宋体" w:cs="宋体"/>
              </w:rPr>
              <w:t>5</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BB7C03">
            <w:pPr>
              <w:widowControl/>
              <w:adjustRightInd w:val="0"/>
              <w:snapToGrid w:val="0"/>
              <w:jc w:val="left"/>
              <w:textAlignment w:val="center"/>
              <w:rPr>
                <w:rFonts w:ascii="宋体" w:hAnsi="宋体" w:cs="宋体"/>
              </w:rPr>
            </w:pPr>
            <w:r>
              <w:rPr>
                <w:rFonts w:hint="eastAsia" w:ascii="宋体" w:hAnsi="宋体" w:cs="宋体"/>
              </w:rPr>
              <w:t>一处扣0.5分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E661E3">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FDE710">
            <w:pPr>
              <w:widowControl/>
              <w:adjustRightInd w:val="0"/>
              <w:snapToGrid w:val="0"/>
              <w:jc w:val="left"/>
              <w:textAlignment w:val="center"/>
              <w:rPr>
                <w:rFonts w:ascii="宋体" w:hAnsi="宋体" w:cs="宋体"/>
              </w:rPr>
            </w:pPr>
          </w:p>
        </w:tc>
      </w:tr>
      <w:tr w14:paraId="266998B9">
        <w:tblPrEx>
          <w:tblCellMar>
            <w:top w:w="0" w:type="dxa"/>
            <w:left w:w="0" w:type="dxa"/>
            <w:bottom w:w="0" w:type="dxa"/>
            <w:right w:w="0" w:type="dxa"/>
          </w:tblCellMar>
        </w:tblPrEx>
        <w:trPr>
          <w:trHeight w:val="1618"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E5297">
            <w:pPr>
              <w:widowControl/>
              <w:adjustRightInd w:val="0"/>
              <w:snapToGrid w:val="0"/>
              <w:jc w:val="left"/>
              <w:textAlignment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91A951">
            <w:pPr>
              <w:widowControl/>
              <w:adjustRightInd w:val="0"/>
              <w:snapToGrid w:val="0"/>
              <w:jc w:val="left"/>
              <w:textAlignment w:val="center"/>
              <w:rPr>
                <w:rFonts w:ascii="宋体" w:hAnsi="宋体" w:cs="宋体"/>
              </w:rPr>
            </w:pP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1FF49">
            <w:pPr>
              <w:widowControl/>
              <w:adjustRightInd w:val="0"/>
              <w:snapToGrid w:val="0"/>
              <w:jc w:val="left"/>
              <w:textAlignment w:val="center"/>
              <w:rPr>
                <w:rFonts w:ascii="宋体" w:hAnsi="宋体" w:cs="宋体"/>
              </w:rPr>
            </w:pPr>
            <w:r>
              <w:rPr>
                <w:rFonts w:hint="eastAsia" w:ascii="宋体" w:hAnsi="宋体" w:cs="宋体"/>
              </w:rPr>
              <w:t>3</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1B1BD2">
            <w:pPr>
              <w:widowControl/>
              <w:adjustRightInd w:val="0"/>
              <w:snapToGrid w:val="0"/>
              <w:jc w:val="left"/>
              <w:textAlignment w:val="center"/>
              <w:rPr>
                <w:rFonts w:ascii="宋体" w:hAnsi="宋体" w:cs="宋体"/>
              </w:rPr>
            </w:pPr>
            <w:r>
              <w:rPr>
                <w:rFonts w:hint="eastAsia" w:ascii="宋体" w:hAnsi="宋体" w:cs="宋体"/>
              </w:rPr>
              <w:t>未及时防治病虫害，出现明显危害症状的；违反农药管理规定，使用高毒害残留农药的，或施药方式不当造成药害的。灌木因缺水，出现明显枯黄或萎蔫或死亡；灌木未每年施肥1次的。</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D9E1AA">
            <w:pPr>
              <w:widowControl/>
              <w:adjustRightInd w:val="0"/>
              <w:snapToGrid w:val="0"/>
              <w:jc w:val="left"/>
              <w:textAlignment w:val="center"/>
              <w:rPr>
                <w:rFonts w:ascii="宋体" w:hAnsi="宋体" w:cs="宋体"/>
              </w:rPr>
            </w:pPr>
            <w:r>
              <w:rPr>
                <w:rFonts w:hint="eastAsia" w:ascii="宋体" w:hAnsi="宋体" w:cs="宋体"/>
              </w:rPr>
              <w:t>2</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4F1694">
            <w:pPr>
              <w:widowControl/>
              <w:adjustRightInd w:val="0"/>
              <w:snapToGrid w:val="0"/>
              <w:jc w:val="left"/>
              <w:textAlignment w:val="center"/>
              <w:rPr>
                <w:rFonts w:ascii="宋体" w:hAnsi="宋体" w:cs="宋体"/>
              </w:rPr>
            </w:pPr>
            <w:r>
              <w:rPr>
                <w:rFonts w:hint="eastAsia" w:ascii="宋体" w:hAnsi="宋体" w:cs="宋体"/>
              </w:rPr>
              <w:t>一处扣0.5分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985AFE">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79A4B">
            <w:pPr>
              <w:widowControl/>
              <w:adjustRightInd w:val="0"/>
              <w:snapToGrid w:val="0"/>
              <w:jc w:val="left"/>
              <w:textAlignment w:val="center"/>
              <w:rPr>
                <w:rFonts w:ascii="宋体" w:hAnsi="宋体" w:cs="宋体"/>
              </w:rPr>
            </w:pPr>
          </w:p>
        </w:tc>
      </w:tr>
      <w:tr w14:paraId="63F99F47">
        <w:tblPrEx>
          <w:tblCellMar>
            <w:top w:w="0" w:type="dxa"/>
            <w:left w:w="0" w:type="dxa"/>
            <w:bottom w:w="0" w:type="dxa"/>
            <w:right w:w="0" w:type="dxa"/>
          </w:tblCellMar>
        </w:tblPrEx>
        <w:trPr>
          <w:trHeight w:val="680"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1CD0C">
            <w:pPr>
              <w:widowControl/>
              <w:adjustRightInd w:val="0"/>
              <w:snapToGrid w:val="0"/>
              <w:jc w:val="left"/>
              <w:textAlignment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BA67C2">
            <w:pPr>
              <w:widowControl/>
              <w:adjustRightInd w:val="0"/>
              <w:snapToGrid w:val="0"/>
              <w:jc w:val="left"/>
              <w:textAlignment w:val="center"/>
              <w:rPr>
                <w:rFonts w:ascii="宋体" w:hAnsi="宋体" w:cs="宋体"/>
              </w:rPr>
            </w:pPr>
          </w:p>
        </w:tc>
        <w:tc>
          <w:tcPr>
            <w:tcW w:w="540" w:type="dxa"/>
            <w:tcBorders>
              <w:top w:val="single" w:color="000000" w:sz="4" w:space="0"/>
              <w:left w:val="single" w:color="000000" w:sz="4" w:space="0"/>
              <w:bottom w:val="single" w:color="000000" w:sz="4" w:space="0"/>
              <w:right w:val="nil"/>
            </w:tcBorders>
            <w:tcMar>
              <w:top w:w="15" w:type="dxa"/>
              <w:left w:w="15" w:type="dxa"/>
              <w:right w:w="15" w:type="dxa"/>
            </w:tcMar>
            <w:vAlign w:val="center"/>
          </w:tcPr>
          <w:p w14:paraId="34F2306B">
            <w:pPr>
              <w:widowControl/>
              <w:adjustRightInd w:val="0"/>
              <w:snapToGrid w:val="0"/>
              <w:jc w:val="left"/>
              <w:textAlignment w:val="center"/>
              <w:rPr>
                <w:rFonts w:ascii="宋体" w:hAnsi="宋体" w:cs="宋体"/>
              </w:rPr>
            </w:pPr>
            <w:r>
              <w:rPr>
                <w:rFonts w:hint="eastAsia" w:ascii="宋体" w:hAnsi="宋体" w:cs="宋体"/>
              </w:rPr>
              <w:t>4</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89086F">
            <w:pPr>
              <w:widowControl/>
              <w:adjustRightInd w:val="0"/>
              <w:snapToGrid w:val="0"/>
              <w:jc w:val="left"/>
              <w:textAlignment w:val="center"/>
              <w:rPr>
                <w:rFonts w:ascii="宋体" w:hAnsi="宋体" w:cs="宋体"/>
              </w:rPr>
            </w:pPr>
            <w:r>
              <w:rPr>
                <w:rFonts w:hint="eastAsia" w:ascii="宋体" w:hAnsi="宋体" w:cs="宋体"/>
              </w:rPr>
              <w:t>灌木缺株率≥10%，缺植的苗木未按要求补回或补植的品种与原品种不一致的。</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C41B4F">
            <w:pPr>
              <w:widowControl/>
              <w:adjustRightInd w:val="0"/>
              <w:snapToGrid w:val="0"/>
              <w:jc w:val="left"/>
              <w:textAlignment w:val="center"/>
              <w:rPr>
                <w:rFonts w:ascii="宋体" w:hAnsi="宋体" w:cs="宋体"/>
              </w:rPr>
            </w:pPr>
            <w:r>
              <w:rPr>
                <w:rFonts w:hint="eastAsia" w:ascii="宋体" w:hAnsi="宋体" w:cs="宋体"/>
              </w:rPr>
              <w:t>5</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9A4A3">
            <w:pPr>
              <w:widowControl/>
              <w:adjustRightInd w:val="0"/>
              <w:snapToGrid w:val="0"/>
              <w:jc w:val="left"/>
              <w:textAlignment w:val="center"/>
              <w:rPr>
                <w:rFonts w:ascii="宋体" w:hAnsi="宋体" w:cs="宋体"/>
              </w:rPr>
            </w:pPr>
            <w:r>
              <w:rPr>
                <w:rFonts w:hint="eastAsia" w:ascii="宋体" w:hAnsi="宋体" w:cs="宋体"/>
              </w:rPr>
              <w:t>一处扣0.5分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DCCA66">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A03724">
            <w:pPr>
              <w:widowControl/>
              <w:adjustRightInd w:val="0"/>
              <w:snapToGrid w:val="0"/>
              <w:jc w:val="left"/>
              <w:textAlignment w:val="center"/>
              <w:rPr>
                <w:rFonts w:ascii="宋体" w:hAnsi="宋体" w:cs="宋体"/>
              </w:rPr>
            </w:pPr>
          </w:p>
        </w:tc>
      </w:tr>
      <w:tr w14:paraId="382B9853">
        <w:tblPrEx>
          <w:tblCellMar>
            <w:top w:w="0" w:type="dxa"/>
            <w:left w:w="0" w:type="dxa"/>
            <w:bottom w:w="0" w:type="dxa"/>
            <w:right w:w="0" w:type="dxa"/>
          </w:tblCellMar>
        </w:tblPrEx>
        <w:trPr>
          <w:trHeight w:val="360"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3CC78B">
            <w:pPr>
              <w:widowControl/>
              <w:adjustRightInd w:val="0"/>
              <w:snapToGrid w:val="0"/>
              <w:jc w:val="left"/>
              <w:textAlignment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179448">
            <w:pPr>
              <w:widowControl/>
              <w:adjustRightInd w:val="0"/>
              <w:snapToGrid w:val="0"/>
              <w:jc w:val="left"/>
              <w:textAlignment w:val="center"/>
              <w:rPr>
                <w:rFonts w:ascii="宋体" w:hAnsi="宋体" w:cs="宋体"/>
              </w:rPr>
            </w:pPr>
          </w:p>
        </w:tc>
        <w:tc>
          <w:tcPr>
            <w:tcW w:w="687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C244E7">
            <w:pPr>
              <w:widowControl/>
              <w:adjustRightInd w:val="0"/>
              <w:snapToGrid w:val="0"/>
              <w:jc w:val="left"/>
              <w:textAlignment w:val="center"/>
              <w:rPr>
                <w:rFonts w:ascii="宋体" w:hAnsi="宋体" w:cs="宋体"/>
              </w:rPr>
            </w:pPr>
            <w:r>
              <w:rPr>
                <w:rFonts w:hint="eastAsia" w:ascii="宋体" w:hAnsi="宋体" w:cs="宋体"/>
              </w:rPr>
              <w:t>得分小计</w:t>
            </w:r>
          </w:p>
        </w:tc>
        <w:tc>
          <w:tcPr>
            <w:tcW w:w="110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2F779">
            <w:pPr>
              <w:widowControl/>
              <w:adjustRightInd w:val="0"/>
              <w:snapToGrid w:val="0"/>
              <w:jc w:val="left"/>
              <w:textAlignment w:val="center"/>
              <w:rPr>
                <w:rFonts w:ascii="宋体" w:hAnsi="宋体" w:cs="宋体"/>
              </w:rPr>
            </w:pPr>
          </w:p>
        </w:tc>
      </w:tr>
      <w:tr w14:paraId="28BD9615">
        <w:tblPrEx>
          <w:tblCellMar>
            <w:top w:w="0" w:type="dxa"/>
            <w:left w:w="0" w:type="dxa"/>
            <w:bottom w:w="0" w:type="dxa"/>
            <w:right w:w="0" w:type="dxa"/>
          </w:tblCellMar>
        </w:tblPrEx>
        <w:trPr>
          <w:trHeight w:val="560" w:hRule="atLeast"/>
        </w:trPr>
        <w:tc>
          <w:tcPr>
            <w:tcW w:w="5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3F7EA">
            <w:pPr>
              <w:widowControl/>
              <w:adjustRightInd w:val="0"/>
              <w:snapToGrid w:val="0"/>
              <w:jc w:val="left"/>
              <w:textAlignment w:val="center"/>
              <w:rPr>
                <w:rFonts w:ascii="宋体" w:hAnsi="宋体" w:cs="宋体"/>
              </w:rPr>
            </w:pPr>
            <w:r>
              <w:rPr>
                <w:rFonts w:hint="eastAsia" w:ascii="宋体" w:hAnsi="宋体" w:cs="宋体"/>
              </w:rPr>
              <w:t>4</w:t>
            </w:r>
          </w:p>
        </w:tc>
        <w:tc>
          <w:tcPr>
            <w:tcW w:w="82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4C743">
            <w:pPr>
              <w:widowControl/>
              <w:adjustRightInd w:val="0"/>
              <w:snapToGrid w:val="0"/>
              <w:jc w:val="left"/>
              <w:textAlignment w:val="center"/>
              <w:rPr>
                <w:rFonts w:ascii="宋体" w:hAnsi="宋体" w:cs="宋体"/>
              </w:rPr>
            </w:pPr>
            <w:r>
              <w:rPr>
                <w:rFonts w:hint="eastAsia" w:ascii="宋体" w:hAnsi="宋体" w:cs="宋体"/>
              </w:rPr>
              <w:t>草坪和地被植物管理（18分）</w:t>
            </w: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9F428">
            <w:pPr>
              <w:widowControl/>
              <w:adjustRightInd w:val="0"/>
              <w:snapToGrid w:val="0"/>
              <w:jc w:val="left"/>
              <w:textAlignment w:val="center"/>
              <w:rPr>
                <w:rFonts w:ascii="宋体" w:hAnsi="宋体" w:cs="宋体"/>
              </w:rPr>
            </w:pPr>
            <w:r>
              <w:rPr>
                <w:rFonts w:hint="eastAsia" w:ascii="宋体" w:hAnsi="宋体" w:cs="宋体"/>
              </w:rPr>
              <w:t>1</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E313D1">
            <w:pPr>
              <w:widowControl/>
              <w:adjustRightInd w:val="0"/>
              <w:snapToGrid w:val="0"/>
              <w:jc w:val="left"/>
              <w:textAlignment w:val="center"/>
              <w:rPr>
                <w:rFonts w:ascii="宋体" w:hAnsi="宋体" w:cs="宋体"/>
              </w:rPr>
            </w:pPr>
            <w:r>
              <w:rPr>
                <w:rFonts w:hint="eastAsia" w:ascii="宋体" w:hAnsi="宋体" w:cs="宋体"/>
              </w:rPr>
              <w:t>草坪杂草明显，杂草率未控制在8%以下。草坪和地被未修边，漫出路缘</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139854">
            <w:pPr>
              <w:widowControl/>
              <w:adjustRightInd w:val="0"/>
              <w:snapToGrid w:val="0"/>
              <w:jc w:val="left"/>
              <w:textAlignment w:val="center"/>
              <w:rPr>
                <w:rFonts w:ascii="宋体" w:hAnsi="宋体" w:cs="宋体"/>
              </w:rPr>
            </w:pPr>
            <w:r>
              <w:rPr>
                <w:rFonts w:hint="eastAsia" w:ascii="宋体" w:hAnsi="宋体" w:cs="宋体"/>
              </w:rPr>
              <w:t>6</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6E4903">
            <w:pPr>
              <w:widowControl/>
              <w:adjustRightInd w:val="0"/>
              <w:snapToGrid w:val="0"/>
              <w:jc w:val="left"/>
              <w:textAlignment w:val="center"/>
              <w:rPr>
                <w:rFonts w:ascii="宋体" w:hAnsi="宋体" w:cs="宋体"/>
              </w:rPr>
            </w:pPr>
            <w:r>
              <w:rPr>
                <w:rFonts w:hint="eastAsia" w:ascii="宋体" w:hAnsi="宋体" w:cs="宋体"/>
              </w:rPr>
              <w:t>一处扣0.5分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46D69">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816FBF">
            <w:pPr>
              <w:widowControl/>
              <w:adjustRightInd w:val="0"/>
              <w:snapToGrid w:val="0"/>
              <w:jc w:val="left"/>
              <w:textAlignment w:val="center"/>
              <w:rPr>
                <w:rFonts w:ascii="宋体" w:hAnsi="宋体" w:cs="宋体"/>
              </w:rPr>
            </w:pPr>
          </w:p>
        </w:tc>
      </w:tr>
      <w:tr w14:paraId="7AFE63D9">
        <w:tblPrEx>
          <w:tblCellMar>
            <w:top w:w="0" w:type="dxa"/>
            <w:left w:w="0" w:type="dxa"/>
            <w:bottom w:w="0" w:type="dxa"/>
            <w:right w:w="0" w:type="dxa"/>
          </w:tblCellMar>
        </w:tblPrEx>
        <w:trPr>
          <w:trHeight w:val="432"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9EBCA6">
            <w:pPr>
              <w:widowControl/>
              <w:adjustRightInd w:val="0"/>
              <w:snapToGrid w:val="0"/>
              <w:jc w:val="left"/>
              <w:textAlignment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F50B4D">
            <w:pPr>
              <w:widowControl/>
              <w:adjustRightInd w:val="0"/>
              <w:snapToGrid w:val="0"/>
              <w:jc w:val="left"/>
              <w:textAlignment w:val="center"/>
              <w:rPr>
                <w:rFonts w:ascii="宋体" w:hAnsi="宋体" w:cs="宋体"/>
              </w:rPr>
            </w:pP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9FFD44">
            <w:pPr>
              <w:widowControl/>
              <w:adjustRightInd w:val="0"/>
              <w:snapToGrid w:val="0"/>
              <w:jc w:val="left"/>
              <w:textAlignment w:val="center"/>
              <w:rPr>
                <w:rFonts w:ascii="宋体" w:hAnsi="宋体" w:cs="宋体"/>
              </w:rPr>
            </w:pPr>
            <w:r>
              <w:rPr>
                <w:rFonts w:hint="eastAsia" w:ascii="宋体" w:hAnsi="宋体" w:cs="宋体"/>
              </w:rPr>
              <w:t>2</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7AFF0C">
            <w:pPr>
              <w:widowControl/>
              <w:adjustRightInd w:val="0"/>
              <w:snapToGrid w:val="0"/>
              <w:jc w:val="left"/>
              <w:textAlignment w:val="center"/>
              <w:rPr>
                <w:rFonts w:ascii="宋体" w:hAnsi="宋体" w:cs="宋体"/>
              </w:rPr>
            </w:pPr>
            <w:r>
              <w:rPr>
                <w:rFonts w:hint="eastAsia" w:ascii="宋体" w:hAnsi="宋体" w:cs="宋体"/>
              </w:rPr>
              <w:t>绿地发现蚁窝或鼠洞，绿地低洼积水</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1342F7">
            <w:pPr>
              <w:widowControl/>
              <w:adjustRightInd w:val="0"/>
              <w:snapToGrid w:val="0"/>
              <w:jc w:val="left"/>
              <w:textAlignment w:val="center"/>
              <w:rPr>
                <w:rFonts w:ascii="宋体" w:hAnsi="宋体" w:cs="宋体"/>
              </w:rPr>
            </w:pPr>
            <w:r>
              <w:rPr>
                <w:rFonts w:hint="eastAsia" w:ascii="宋体" w:hAnsi="宋体" w:cs="宋体"/>
              </w:rPr>
              <w:t>3</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0DC9B">
            <w:pPr>
              <w:widowControl/>
              <w:adjustRightInd w:val="0"/>
              <w:snapToGrid w:val="0"/>
              <w:jc w:val="left"/>
              <w:textAlignment w:val="center"/>
              <w:rPr>
                <w:rFonts w:ascii="宋体" w:hAnsi="宋体" w:cs="宋体"/>
              </w:rPr>
            </w:pPr>
            <w:r>
              <w:rPr>
                <w:rFonts w:hint="eastAsia" w:ascii="宋体" w:hAnsi="宋体" w:cs="宋体"/>
              </w:rPr>
              <w:t>一处扣0.5分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B700E2">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9078F">
            <w:pPr>
              <w:widowControl/>
              <w:adjustRightInd w:val="0"/>
              <w:snapToGrid w:val="0"/>
              <w:jc w:val="left"/>
              <w:textAlignment w:val="center"/>
              <w:rPr>
                <w:rFonts w:ascii="宋体" w:hAnsi="宋体" w:cs="宋体"/>
              </w:rPr>
            </w:pPr>
          </w:p>
        </w:tc>
      </w:tr>
      <w:tr w14:paraId="5FA3981B">
        <w:tblPrEx>
          <w:tblCellMar>
            <w:top w:w="0" w:type="dxa"/>
            <w:left w:w="0" w:type="dxa"/>
            <w:bottom w:w="0" w:type="dxa"/>
            <w:right w:w="0" w:type="dxa"/>
          </w:tblCellMar>
        </w:tblPrEx>
        <w:trPr>
          <w:trHeight w:val="1460"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D45076">
            <w:pPr>
              <w:widowControl/>
              <w:adjustRightInd w:val="0"/>
              <w:snapToGrid w:val="0"/>
              <w:jc w:val="left"/>
              <w:textAlignment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7610E2">
            <w:pPr>
              <w:widowControl/>
              <w:adjustRightInd w:val="0"/>
              <w:snapToGrid w:val="0"/>
              <w:jc w:val="left"/>
              <w:textAlignment w:val="center"/>
              <w:rPr>
                <w:rFonts w:ascii="宋体" w:hAnsi="宋体" w:cs="宋体"/>
              </w:rPr>
            </w:pP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6E91A1">
            <w:pPr>
              <w:widowControl/>
              <w:adjustRightInd w:val="0"/>
              <w:snapToGrid w:val="0"/>
              <w:jc w:val="left"/>
              <w:textAlignment w:val="center"/>
              <w:rPr>
                <w:rFonts w:ascii="宋体" w:hAnsi="宋体" w:cs="宋体"/>
              </w:rPr>
            </w:pPr>
            <w:r>
              <w:rPr>
                <w:rFonts w:hint="eastAsia" w:ascii="宋体" w:hAnsi="宋体" w:cs="宋体"/>
              </w:rPr>
              <w:t>3</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841E76">
            <w:pPr>
              <w:widowControl/>
              <w:adjustRightInd w:val="0"/>
              <w:snapToGrid w:val="0"/>
              <w:jc w:val="left"/>
              <w:textAlignment w:val="center"/>
              <w:rPr>
                <w:rFonts w:ascii="宋体" w:hAnsi="宋体" w:cs="宋体"/>
              </w:rPr>
            </w:pPr>
            <w:r>
              <w:rPr>
                <w:rFonts w:hint="eastAsia" w:ascii="宋体" w:hAnsi="宋体" w:cs="宋体"/>
              </w:rPr>
              <w:t>未及时防治病虫害，出现明显危害症状的；违反农药管理规定，使用高毒害残留农药的，或施药方式不当造成药害的。</w:t>
            </w:r>
            <w:r>
              <w:rPr>
                <w:rFonts w:hint="eastAsia" w:ascii="宋体" w:hAnsi="宋体" w:cs="宋体"/>
              </w:rPr>
              <w:br w:type="textWrapping"/>
            </w:r>
            <w:r>
              <w:rPr>
                <w:rFonts w:hint="eastAsia" w:ascii="宋体" w:hAnsi="宋体" w:cs="宋体"/>
              </w:rPr>
              <w:t>地被因缺水，出现明显枯黄或萎蔫或死亡；地被等园林植物每年施肥1次</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6F953C">
            <w:pPr>
              <w:widowControl/>
              <w:adjustRightInd w:val="0"/>
              <w:snapToGrid w:val="0"/>
              <w:jc w:val="left"/>
              <w:textAlignment w:val="center"/>
              <w:rPr>
                <w:rFonts w:ascii="宋体" w:hAnsi="宋体" w:cs="宋体"/>
              </w:rPr>
            </w:pPr>
            <w:r>
              <w:rPr>
                <w:rFonts w:hint="eastAsia" w:ascii="宋体" w:hAnsi="宋体" w:cs="宋体"/>
              </w:rPr>
              <w:t>3</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4C68DE">
            <w:pPr>
              <w:widowControl/>
              <w:adjustRightInd w:val="0"/>
              <w:snapToGrid w:val="0"/>
              <w:jc w:val="left"/>
              <w:textAlignment w:val="center"/>
              <w:rPr>
                <w:rFonts w:ascii="宋体" w:hAnsi="宋体" w:cs="宋体"/>
              </w:rPr>
            </w:pPr>
            <w:r>
              <w:rPr>
                <w:rFonts w:hint="eastAsia" w:ascii="宋体" w:hAnsi="宋体" w:cs="宋体"/>
              </w:rPr>
              <w:t>一处扣0.5分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1A4493">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E6E1A">
            <w:pPr>
              <w:widowControl/>
              <w:adjustRightInd w:val="0"/>
              <w:snapToGrid w:val="0"/>
              <w:jc w:val="left"/>
              <w:textAlignment w:val="center"/>
              <w:rPr>
                <w:rFonts w:ascii="宋体" w:hAnsi="宋体" w:cs="宋体"/>
              </w:rPr>
            </w:pPr>
          </w:p>
        </w:tc>
      </w:tr>
      <w:tr w14:paraId="4FB3CE50">
        <w:tblPrEx>
          <w:tblCellMar>
            <w:top w:w="0" w:type="dxa"/>
            <w:left w:w="0" w:type="dxa"/>
            <w:bottom w:w="0" w:type="dxa"/>
            <w:right w:w="0" w:type="dxa"/>
          </w:tblCellMar>
        </w:tblPrEx>
        <w:trPr>
          <w:trHeight w:val="920"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075F11">
            <w:pPr>
              <w:widowControl/>
              <w:adjustRightInd w:val="0"/>
              <w:snapToGrid w:val="0"/>
              <w:ind w:firstLine="480"/>
              <w:jc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C915B9">
            <w:pPr>
              <w:widowControl/>
              <w:adjustRightInd w:val="0"/>
              <w:snapToGrid w:val="0"/>
              <w:ind w:firstLine="480"/>
              <w:jc w:val="center"/>
              <w:rPr>
                <w:rFonts w:ascii="宋体" w:hAnsi="宋体" w:cs="宋体"/>
              </w:rPr>
            </w:pP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557AF">
            <w:pPr>
              <w:widowControl/>
              <w:adjustRightInd w:val="0"/>
              <w:snapToGrid w:val="0"/>
              <w:textAlignment w:val="center"/>
              <w:rPr>
                <w:rFonts w:ascii="宋体" w:hAnsi="宋体" w:cs="宋体"/>
              </w:rPr>
            </w:pPr>
            <w:r>
              <w:rPr>
                <w:rFonts w:hint="eastAsia" w:ascii="宋体" w:hAnsi="宋体" w:cs="宋体"/>
                <w:kern w:val="0"/>
              </w:rPr>
              <w:t>4</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E31E11">
            <w:pPr>
              <w:widowControl/>
              <w:adjustRightInd w:val="0"/>
              <w:snapToGrid w:val="0"/>
              <w:jc w:val="left"/>
              <w:textAlignment w:val="center"/>
              <w:rPr>
                <w:rFonts w:ascii="宋体" w:hAnsi="宋体" w:cs="宋体"/>
              </w:rPr>
            </w:pPr>
            <w:r>
              <w:rPr>
                <w:rFonts w:hint="eastAsia" w:ascii="宋体" w:hAnsi="宋体" w:cs="宋体"/>
              </w:rPr>
              <w:t>绿地有明显裸露，草坪覆盖率≤90%，地被覆盖率≤85%的。缺植的苗木未按要求补回或补植的品种与原品种不一致的。</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A6C9C9">
            <w:pPr>
              <w:widowControl/>
              <w:adjustRightInd w:val="0"/>
              <w:snapToGrid w:val="0"/>
              <w:jc w:val="left"/>
              <w:textAlignment w:val="center"/>
              <w:rPr>
                <w:rFonts w:ascii="宋体" w:hAnsi="宋体" w:cs="宋体"/>
              </w:rPr>
            </w:pPr>
            <w:r>
              <w:rPr>
                <w:rFonts w:hint="eastAsia" w:ascii="宋体" w:hAnsi="宋体" w:cs="宋体"/>
              </w:rPr>
              <w:t>6</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79DF2">
            <w:pPr>
              <w:widowControl/>
              <w:adjustRightInd w:val="0"/>
              <w:snapToGrid w:val="0"/>
              <w:jc w:val="left"/>
              <w:textAlignment w:val="center"/>
              <w:rPr>
                <w:rFonts w:ascii="宋体" w:hAnsi="宋体" w:cs="宋体"/>
              </w:rPr>
            </w:pPr>
            <w:r>
              <w:rPr>
                <w:rFonts w:hint="eastAsia" w:ascii="宋体" w:hAnsi="宋体" w:cs="宋体"/>
              </w:rPr>
              <w:t>一处扣0.5分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7ECB9">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EB1292">
            <w:pPr>
              <w:widowControl/>
              <w:adjustRightInd w:val="0"/>
              <w:snapToGrid w:val="0"/>
              <w:jc w:val="left"/>
              <w:textAlignment w:val="center"/>
              <w:rPr>
                <w:rFonts w:ascii="宋体" w:hAnsi="宋体" w:cs="宋体"/>
              </w:rPr>
            </w:pPr>
          </w:p>
        </w:tc>
      </w:tr>
      <w:tr w14:paraId="129C02C6">
        <w:tblPrEx>
          <w:tblCellMar>
            <w:top w:w="0" w:type="dxa"/>
            <w:left w:w="0" w:type="dxa"/>
            <w:bottom w:w="0" w:type="dxa"/>
            <w:right w:w="0" w:type="dxa"/>
          </w:tblCellMar>
        </w:tblPrEx>
        <w:trPr>
          <w:trHeight w:val="360"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FFBED9">
            <w:pPr>
              <w:widowControl/>
              <w:adjustRightInd w:val="0"/>
              <w:snapToGrid w:val="0"/>
              <w:ind w:firstLine="480"/>
              <w:jc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DDFA34">
            <w:pPr>
              <w:widowControl/>
              <w:adjustRightInd w:val="0"/>
              <w:snapToGrid w:val="0"/>
              <w:ind w:firstLine="480"/>
              <w:jc w:val="center"/>
              <w:rPr>
                <w:rFonts w:ascii="宋体" w:hAnsi="宋体" w:cs="宋体"/>
              </w:rPr>
            </w:pPr>
          </w:p>
        </w:tc>
        <w:tc>
          <w:tcPr>
            <w:tcW w:w="687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79C32E">
            <w:pPr>
              <w:widowControl/>
              <w:adjustRightInd w:val="0"/>
              <w:snapToGrid w:val="0"/>
              <w:jc w:val="left"/>
              <w:textAlignment w:val="center"/>
              <w:rPr>
                <w:rFonts w:ascii="宋体" w:hAnsi="宋体" w:cs="宋体"/>
              </w:rPr>
            </w:pPr>
            <w:r>
              <w:rPr>
                <w:rFonts w:hint="eastAsia" w:ascii="宋体" w:hAnsi="宋体" w:cs="宋体"/>
              </w:rPr>
              <w:t>得分小计</w:t>
            </w:r>
          </w:p>
        </w:tc>
        <w:tc>
          <w:tcPr>
            <w:tcW w:w="110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C22E9B">
            <w:pPr>
              <w:widowControl/>
              <w:adjustRightInd w:val="0"/>
              <w:snapToGrid w:val="0"/>
              <w:jc w:val="left"/>
              <w:textAlignment w:val="center"/>
              <w:rPr>
                <w:rFonts w:ascii="宋体" w:hAnsi="宋体" w:cs="宋体"/>
              </w:rPr>
            </w:pPr>
          </w:p>
        </w:tc>
      </w:tr>
      <w:tr w14:paraId="6125CE1E">
        <w:tblPrEx>
          <w:tblCellMar>
            <w:top w:w="0" w:type="dxa"/>
            <w:left w:w="0" w:type="dxa"/>
            <w:bottom w:w="0" w:type="dxa"/>
            <w:right w:w="0" w:type="dxa"/>
          </w:tblCellMar>
        </w:tblPrEx>
        <w:trPr>
          <w:trHeight w:val="282" w:hRule="atLeast"/>
        </w:trPr>
        <w:tc>
          <w:tcPr>
            <w:tcW w:w="5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DD5636">
            <w:pPr>
              <w:widowControl/>
              <w:adjustRightInd w:val="0"/>
              <w:snapToGrid w:val="0"/>
              <w:ind w:firstLine="480"/>
              <w:jc w:val="center"/>
              <w:textAlignment w:val="center"/>
              <w:rPr>
                <w:rFonts w:ascii="宋体" w:hAnsi="宋体" w:cs="宋体"/>
              </w:rPr>
            </w:pPr>
            <w:r>
              <w:rPr>
                <w:rFonts w:hint="eastAsia" w:ascii="宋体" w:hAnsi="宋体" w:cs="宋体"/>
                <w:kern w:val="0"/>
              </w:rPr>
              <w:t>5</w:t>
            </w:r>
          </w:p>
        </w:tc>
        <w:tc>
          <w:tcPr>
            <w:tcW w:w="82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1299E5">
            <w:pPr>
              <w:widowControl/>
              <w:adjustRightInd w:val="0"/>
              <w:snapToGrid w:val="0"/>
              <w:ind w:firstLine="480"/>
              <w:jc w:val="center"/>
              <w:textAlignment w:val="center"/>
              <w:rPr>
                <w:rFonts w:ascii="宋体" w:hAnsi="宋体" w:cs="宋体"/>
              </w:rPr>
            </w:pPr>
            <w:r>
              <w:rPr>
                <w:rFonts w:hint="eastAsia" w:ascii="宋体" w:hAnsi="宋体" w:cs="宋体"/>
                <w:kern w:val="0"/>
              </w:rPr>
              <w:t>园林垃圾（5分）</w:t>
            </w: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200A67">
            <w:pPr>
              <w:widowControl/>
              <w:adjustRightInd w:val="0"/>
              <w:snapToGrid w:val="0"/>
              <w:textAlignment w:val="center"/>
              <w:rPr>
                <w:rFonts w:ascii="宋体" w:hAnsi="宋体" w:cs="宋体"/>
              </w:rPr>
            </w:pPr>
            <w:r>
              <w:rPr>
                <w:rFonts w:hint="eastAsia" w:ascii="宋体" w:hAnsi="宋体" w:cs="宋体"/>
                <w:kern w:val="0"/>
              </w:rPr>
              <w:t>1</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CF155">
            <w:pPr>
              <w:widowControl/>
              <w:adjustRightInd w:val="0"/>
              <w:snapToGrid w:val="0"/>
              <w:jc w:val="left"/>
              <w:textAlignment w:val="center"/>
              <w:rPr>
                <w:rFonts w:ascii="宋体" w:hAnsi="宋体" w:cs="宋体"/>
              </w:rPr>
            </w:pPr>
            <w:r>
              <w:rPr>
                <w:rFonts w:hint="eastAsia" w:ascii="宋体" w:hAnsi="宋体" w:cs="宋体"/>
              </w:rPr>
              <w:t>焚烧垃圾</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458F3">
            <w:pPr>
              <w:widowControl/>
              <w:adjustRightInd w:val="0"/>
              <w:snapToGrid w:val="0"/>
              <w:jc w:val="left"/>
              <w:textAlignment w:val="center"/>
              <w:rPr>
                <w:rFonts w:ascii="宋体" w:hAnsi="宋体" w:cs="宋体"/>
              </w:rPr>
            </w:pPr>
            <w:r>
              <w:rPr>
                <w:rFonts w:hint="eastAsia" w:ascii="宋体" w:hAnsi="宋体" w:cs="宋体"/>
              </w:rPr>
              <w:t>1</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50E323">
            <w:pPr>
              <w:widowControl/>
              <w:adjustRightInd w:val="0"/>
              <w:snapToGrid w:val="0"/>
              <w:jc w:val="left"/>
              <w:textAlignment w:val="center"/>
              <w:rPr>
                <w:rFonts w:ascii="宋体" w:hAnsi="宋体" w:cs="宋体"/>
              </w:rPr>
            </w:pPr>
            <w:r>
              <w:rPr>
                <w:rFonts w:hint="eastAsia" w:ascii="宋体" w:hAnsi="宋体" w:cs="宋体"/>
              </w:rPr>
              <w:t>一次扣0.5分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98829D">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92A5A4">
            <w:pPr>
              <w:widowControl/>
              <w:adjustRightInd w:val="0"/>
              <w:snapToGrid w:val="0"/>
              <w:jc w:val="left"/>
              <w:textAlignment w:val="center"/>
              <w:rPr>
                <w:rFonts w:ascii="宋体" w:hAnsi="宋体" w:cs="宋体"/>
              </w:rPr>
            </w:pPr>
          </w:p>
        </w:tc>
      </w:tr>
      <w:tr w14:paraId="581C6484">
        <w:tblPrEx>
          <w:tblCellMar>
            <w:top w:w="0" w:type="dxa"/>
            <w:left w:w="0" w:type="dxa"/>
            <w:bottom w:w="0" w:type="dxa"/>
            <w:right w:w="0" w:type="dxa"/>
          </w:tblCellMar>
        </w:tblPrEx>
        <w:trPr>
          <w:trHeight w:val="821"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7FC982">
            <w:pPr>
              <w:widowControl/>
              <w:adjustRightInd w:val="0"/>
              <w:snapToGrid w:val="0"/>
              <w:ind w:firstLine="480"/>
              <w:jc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B13CF6">
            <w:pPr>
              <w:widowControl/>
              <w:adjustRightInd w:val="0"/>
              <w:snapToGrid w:val="0"/>
              <w:ind w:firstLine="480"/>
              <w:jc w:val="center"/>
              <w:rPr>
                <w:rFonts w:ascii="宋体" w:hAnsi="宋体" w:cs="宋体"/>
              </w:rPr>
            </w:pP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60A229">
            <w:pPr>
              <w:widowControl/>
              <w:adjustRightInd w:val="0"/>
              <w:snapToGrid w:val="0"/>
              <w:textAlignment w:val="center"/>
              <w:rPr>
                <w:rFonts w:ascii="宋体" w:hAnsi="宋体" w:cs="宋体"/>
              </w:rPr>
            </w:pPr>
            <w:r>
              <w:rPr>
                <w:rFonts w:hint="eastAsia" w:ascii="宋体" w:hAnsi="宋体" w:cs="宋体"/>
                <w:kern w:val="0"/>
              </w:rPr>
              <w:t>2</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047B6D">
            <w:pPr>
              <w:widowControl/>
              <w:adjustRightInd w:val="0"/>
              <w:snapToGrid w:val="0"/>
              <w:jc w:val="left"/>
              <w:textAlignment w:val="center"/>
              <w:rPr>
                <w:rFonts w:ascii="宋体" w:hAnsi="宋体" w:cs="宋体"/>
              </w:rPr>
            </w:pPr>
            <w:r>
              <w:rPr>
                <w:rFonts w:hint="eastAsia" w:ascii="宋体" w:hAnsi="宋体" w:cs="宋体"/>
              </w:rPr>
              <w:t>管养作业后散落的园林垃圾未及时清扫或清运，园林垃圾没有做到日产日清或乱堆放</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730DAD">
            <w:pPr>
              <w:widowControl/>
              <w:adjustRightInd w:val="0"/>
              <w:snapToGrid w:val="0"/>
              <w:jc w:val="left"/>
              <w:textAlignment w:val="center"/>
              <w:rPr>
                <w:rFonts w:ascii="宋体" w:hAnsi="宋体" w:cs="宋体"/>
              </w:rPr>
            </w:pPr>
            <w:r>
              <w:rPr>
                <w:rFonts w:hint="eastAsia" w:ascii="宋体" w:hAnsi="宋体" w:cs="宋体"/>
              </w:rPr>
              <w:t>2</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B6935D">
            <w:pPr>
              <w:widowControl/>
              <w:adjustRightInd w:val="0"/>
              <w:snapToGrid w:val="0"/>
              <w:jc w:val="left"/>
              <w:textAlignment w:val="center"/>
              <w:rPr>
                <w:rFonts w:ascii="宋体" w:hAnsi="宋体" w:cs="宋体"/>
              </w:rPr>
            </w:pPr>
            <w:r>
              <w:rPr>
                <w:rFonts w:hint="eastAsia" w:ascii="宋体" w:hAnsi="宋体" w:cs="宋体"/>
              </w:rPr>
              <w:t>一次扣0.5分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2538B5">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D9ACC">
            <w:pPr>
              <w:widowControl/>
              <w:adjustRightInd w:val="0"/>
              <w:snapToGrid w:val="0"/>
              <w:jc w:val="left"/>
              <w:textAlignment w:val="center"/>
              <w:rPr>
                <w:rFonts w:ascii="宋体" w:hAnsi="宋体" w:cs="宋体"/>
              </w:rPr>
            </w:pPr>
          </w:p>
        </w:tc>
      </w:tr>
      <w:tr w14:paraId="4DD133C0">
        <w:tblPrEx>
          <w:tblCellMar>
            <w:top w:w="0" w:type="dxa"/>
            <w:left w:w="0" w:type="dxa"/>
            <w:bottom w:w="0" w:type="dxa"/>
            <w:right w:w="0" w:type="dxa"/>
          </w:tblCellMar>
        </w:tblPrEx>
        <w:trPr>
          <w:trHeight w:val="904"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056B89">
            <w:pPr>
              <w:widowControl/>
              <w:adjustRightInd w:val="0"/>
              <w:snapToGrid w:val="0"/>
              <w:ind w:firstLine="480"/>
              <w:jc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C10F2D">
            <w:pPr>
              <w:widowControl/>
              <w:adjustRightInd w:val="0"/>
              <w:snapToGrid w:val="0"/>
              <w:ind w:firstLine="480"/>
              <w:jc w:val="center"/>
              <w:rPr>
                <w:rFonts w:ascii="宋体" w:hAnsi="宋体" w:cs="宋体"/>
              </w:rPr>
            </w:pP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EE9818">
            <w:pPr>
              <w:widowControl/>
              <w:adjustRightInd w:val="0"/>
              <w:snapToGrid w:val="0"/>
              <w:textAlignment w:val="center"/>
              <w:rPr>
                <w:rFonts w:ascii="宋体" w:hAnsi="宋体" w:cs="宋体"/>
              </w:rPr>
            </w:pPr>
            <w:r>
              <w:rPr>
                <w:rFonts w:hint="eastAsia" w:ascii="宋体" w:hAnsi="宋体" w:cs="宋体"/>
                <w:kern w:val="0"/>
              </w:rPr>
              <w:t>3</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119102">
            <w:pPr>
              <w:widowControl/>
              <w:adjustRightInd w:val="0"/>
              <w:snapToGrid w:val="0"/>
              <w:jc w:val="left"/>
              <w:textAlignment w:val="center"/>
              <w:rPr>
                <w:rFonts w:ascii="宋体" w:hAnsi="宋体" w:cs="宋体"/>
              </w:rPr>
            </w:pPr>
            <w:r>
              <w:rPr>
                <w:rFonts w:hint="eastAsia" w:ascii="宋体" w:hAnsi="宋体" w:cs="宋体"/>
              </w:rPr>
              <w:t>车辆进行养护作业不规范，如沿途漏洒园林垃圾、把泥沙冲出路面、浇水洒到行人等。</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9E3E3C">
            <w:pPr>
              <w:widowControl/>
              <w:adjustRightInd w:val="0"/>
              <w:snapToGrid w:val="0"/>
              <w:jc w:val="left"/>
              <w:textAlignment w:val="center"/>
              <w:rPr>
                <w:rFonts w:ascii="宋体" w:hAnsi="宋体" w:cs="宋体"/>
              </w:rPr>
            </w:pPr>
            <w:r>
              <w:rPr>
                <w:rFonts w:hint="eastAsia" w:ascii="宋体" w:hAnsi="宋体" w:cs="宋体"/>
              </w:rPr>
              <w:t>2</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9520E">
            <w:pPr>
              <w:widowControl/>
              <w:adjustRightInd w:val="0"/>
              <w:snapToGrid w:val="0"/>
              <w:jc w:val="left"/>
              <w:textAlignment w:val="center"/>
              <w:rPr>
                <w:rFonts w:ascii="宋体" w:hAnsi="宋体" w:cs="宋体"/>
              </w:rPr>
            </w:pPr>
            <w:r>
              <w:rPr>
                <w:rFonts w:hint="eastAsia" w:ascii="宋体" w:hAnsi="宋体" w:cs="宋体"/>
              </w:rPr>
              <w:t>一次扣0.5分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E3C343">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E6578">
            <w:pPr>
              <w:widowControl/>
              <w:adjustRightInd w:val="0"/>
              <w:snapToGrid w:val="0"/>
              <w:jc w:val="left"/>
              <w:textAlignment w:val="center"/>
              <w:rPr>
                <w:rFonts w:ascii="宋体" w:hAnsi="宋体" w:cs="宋体"/>
              </w:rPr>
            </w:pPr>
          </w:p>
        </w:tc>
      </w:tr>
      <w:tr w14:paraId="1A7593CE">
        <w:tblPrEx>
          <w:tblCellMar>
            <w:top w:w="0" w:type="dxa"/>
            <w:left w:w="0" w:type="dxa"/>
            <w:bottom w:w="0" w:type="dxa"/>
            <w:right w:w="0" w:type="dxa"/>
          </w:tblCellMar>
        </w:tblPrEx>
        <w:trPr>
          <w:trHeight w:val="380"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90B5EF">
            <w:pPr>
              <w:widowControl/>
              <w:adjustRightInd w:val="0"/>
              <w:snapToGrid w:val="0"/>
              <w:ind w:firstLine="480"/>
              <w:jc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1D679C">
            <w:pPr>
              <w:widowControl/>
              <w:adjustRightInd w:val="0"/>
              <w:snapToGrid w:val="0"/>
              <w:ind w:firstLine="480"/>
              <w:jc w:val="center"/>
              <w:rPr>
                <w:rFonts w:ascii="宋体" w:hAnsi="宋体" w:cs="宋体"/>
              </w:rPr>
            </w:pPr>
          </w:p>
        </w:tc>
        <w:tc>
          <w:tcPr>
            <w:tcW w:w="687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D8D84">
            <w:pPr>
              <w:widowControl/>
              <w:adjustRightInd w:val="0"/>
              <w:snapToGrid w:val="0"/>
              <w:jc w:val="left"/>
              <w:textAlignment w:val="center"/>
              <w:rPr>
                <w:rFonts w:ascii="宋体" w:hAnsi="宋体" w:cs="宋体"/>
              </w:rPr>
            </w:pPr>
            <w:r>
              <w:rPr>
                <w:rFonts w:hint="eastAsia" w:ascii="宋体" w:hAnsi="宋体" w:cs="宋体"/>
              </w:rPr>
              <w:t>得分小计</w:t>
            </w:r>
          </w:p>
        </w:tc>
        <w:tc>
          <w:tcPr>
            <w:tcW w:w="110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23BD0B">
            <w:pPr>
              <w:widowControl/>
              <w:adjustRightInd w:val="0"/>
              <w:snapToGrid w:val="0"/>
              <w:jc w:val="left"/>
              <w:textAlignment w:val="center"/>
              <w:rPr>
                <w:rFonts w:ascii="宋体" w:hAnsi="宋体" w:cs="宋体"/>
              </w:rPr>
            </w:pPr>
          </w:p>
        </w:tc>
      </w:tr>
      <w:tr w14:paraId="0F8F89A6">
        <w:tblPrEx>
          <w:tblCellMar>
            <w:top w:w="0" w:type="dxa"/>
            <w:left w:w="0" w:type="dxa"/>
            <w:bottom w:w="0" w:type="dxa"/>
            <w:right w:w="0" w:type="dxa"/>
          </w:tblCellMar>
        </w:tblPrEx>
        <w:trPr>
          <w:trHeight w:val="806" w:hRule="atLeast"/>
        </w:trPr>
        <w:tc>
          <w:tcPr>
            <w:tcW w:w="5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0B169E">
            <w:pPr>
              <w:widowControl/>
              <w:adjustRightInd w:val="0"/>
              <w:snapToGrid w:val="0"/>
              <w:textAlignment w:val="center"/>
              <w:rPr>
                <w:rFonts w:ascii="宋体" w:hAnsi="宋体" w:cs="宋体"/>
              </w:rPr>
            </w:pPr>
            <w:r>
              <w:rPr>
                <w:rFonts w:hint="eastAsia" w:ascii="宋体" w:hAnsi="宋体" w:cs="宋体"/>
                <w:kern w:val="0"/>
              </w:rPr>
              <w:t>6</w:t>
            </w:r>
          </w:p>
        </w:tc>
        <w:tc>
          <w:tcPr>
            <w:tcW w:w="82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85F5C">
            <w:pPr>
              <w:widowControl/>
              <w:adjustRightInd w:val="0"/>
              <w:snapToGrid w:val="0"/>
              <w:textAlignment w:val="center"/>
              <w:rPr>
                <w:rFonts w:ascii="宋体" w:hAnsi="宋体" w:cs="宋体"/>
              </w:rPr>
            </w:pPr>
            <w:r>
              <w:rPr>
                <w:rFonts w:hint="eastAsia" w:ascii="宋体" w:hAnsi="宋体" w:cs="宋体"/>
                <w:kern w:val="0"/>
              </w:rPr>
              <w:t>园林设施及绿地保护（6分）</w:t>
            </w: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320849">
            <w:pPr>
              <w:widowControl/>
              <w:adjustRightInd w:val="0"/>
              <w:snapToGrid w:val="0"/>
              <w:textAlignment w:val="center"/>
              <w:rPr>
                <w:rFonts w:ascii="宋体" w:hAnsi="宋体" w:cs="宋体"/>
              </w:rPr>
            </w:pPr>
            <w:r>
              <w:rPr>
                <w:rFonts w:hint="eastAsia" w:ascii="宋体" w:hAnsi="宋体" w:cs="宋体"/>
                <w:kern w:val="0"/>
              </w:rPr>
              <w:t>1</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F4CA99">
            <w:pPr>
              <w:widowControl/>
              <w:adjustRightInd w:val="0"/>
              <w:snapToGrid w:val="0"/>
              <w:jc w:val="left"/>
              <w:textAlignment w:val="center"/>
              <w:rPr>
                <w:rFonts w:ascii="宋体" w:hAnsi="宋体" w:cs="宋体"/>
              </w:rPr>
            </w:pPr>
            <w:r>
              <w:rPr>
                <w:rFonts w:hint="eastAsia" w:ascii="宋体" w:hAnsi="宋体" w:cs="宋体"/>
              </w:rPr>
              <w:t>广场、园路、园林设施存在污水、污渍、沙土堆积</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6274BE">
            <w:pPr>
              <w:widowControl/>
              <w:adjustRightInd w:val="0"/>
              <w:snapToGrid w:val="0"/>
              <w:jc w:val="left"/>
              <w:textAlignment w:val="center"/>
              <w:rPr>
                <w:rFonts w:ascii="宋体" w:hAnsi="宋体" w:cs="宋体"/>
              </w:rPr>
            </w:pPr>
            <w:r>
              <w:rPr>
                <w:rFonts w:hint="eastAsia" w:ascii="宋体" w:hAnsi="宋体" w:cs="宋体"/>
              </w:rPr>
              <w:t>2</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9D27F2">
            <w:pPr>
              <w:widowControl/>
              <w:adjustRightInd w:val="0"/>
              <w:snapToGrid w:val="0"/>
              <w:jc w:val="left"/>
              <w:textAlignment w:val="center"/>
              <w:rPr>
                <w:rFonts w:ascii="宋体" w:hAnsi="宋体" w:cs="宋体"/>
              </w:rPr>
            </w:pPr>
            <w:r>
              <w:rPr>
                <w:rFonts w:hint="eastAsia" w:ascii="宋体" w:hAnsi="宋体" w:cs="宋体"/>
              </w:rPr>
              <w:t>一处扣0.5分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B1791">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06B3AB">
            <w:pPr>
              <w:widowControl/>
              <w:adjustRightInd w:val="0"/>
              <w:snapToGrid w:val="0"/>
              <w:jc w:val="left"/>
              <w:textAlignment w:val="center"/>
              <w:rPr>
                <w:rFonts w:ascii="宋体" w:hAnsi="宋体" w:cs="宋体"/>
              </w:rPr>
            </w:pPr>
          </w:p>
        </w:tc>
      </w:tr>
      <w:tr w14:paraId="086CF366">
        <w:tblPrEx>
          <w:tblCellMar>
            <w:top w:w="0" w:type="dxa"/>
            <w:left w:w="0" w:type="dxa"/>
            <w:bottom w:w="0" w:type="dxa"/>
            <w:right w:w="0" w:type="dxa"/>
          </w:tblCellMar>
        </w:tblPrEx>
        <w:trPr>
          <w:trHeight w:val="424"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07489C">
            <w:pPr>
              <w:widowControl/>
              <w:adjustRightInd w:val="0"/>
              <w:snapToGrid w:val="0"/>
              <w:ind w:firstLine="480"/>
              <w:jc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F9562">
            <w:pPr>
              <w:widowControl/>
              <w:adjustRightInd w:val="0"/>
              <w:snapToGrid w:val="0"/>
              <w:ind w:firstLine="480"/>
              <w:jc w:val="center"/>
              <w:rPr>
                <w:rFonts w:ascii="宋体" w:hAnsi="宋体" w:cs="宋体"/>
              </w:rPr>
            </w:pP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C80DE">
            <w:pPr>
              <w:widowControl/>
              <w:adjustRightInd w:val="0"/>
              <w:snapToGrid w:val="0"/>
              <w:textAlignment w:val="center"/>
              <w:rPr>
                <w:rFonts w:ascii="宋体" w:hAnsi="宋体" w:cs="宋体"/>
              </w:rPr>
            </w:pPr>
            <w:r>
              <w:rPr>
                <w:rFonts w:hint="eastAsia" w:ascii="宋体" w:hAnsi="宋体" w:cs="宋体"/>
                <w:kern w:val="0"/>
              </w:rPr>
              <w:t>2</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4C0887">
            <w:pPr>
              <w:widowControl/>
              <w:adjustRightInd w:val="0"/>
              <w:snapToGrid w:val="0"/>
              <w:jc w:val="left"/>
              <w:textAlignment w:val="center"/>
              <w:rPr>
                <w:rFonts w:ascii="宋体" w:hAnsi="宋体" w:cs="宋体"/>
              </w:rPr>
            </w:pPr>
            <w:r>
              <w:rPr>
                <w:rFonts w:hint="eastAsia" w:ascii="宋体" w:hAnsi="宋体" w:cs="宋体"/>
              </w:rPr>
              <w:t>园林设施未及时维修，有破损缺失，园林设施的安全隐患未及时消除或采取有效防患措施的</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16A0F">
            <w:pPr>
              <w:widowControl/>
              <w:adjustRightInd w:val="0"/>
              <w:snapToGrid w:val="0"/>
              <w:jc w:val="left"/>
              <w:textAlignment w:val="center"/>
              <w:rPr>
                <w:rFonts w:ascii="宋体" w:hAnsi="宋体" w:cs="宋体"/>
              </w:rPr>
            </w:pPr>
            <w:r>
              <w:rPr>
                <w:rFonts w:hint="eastAsia" w:ascii="宋体" w:hAnsi="宋体" w:cs="宋体"/>
              </w:rPr>
              <w:t>2</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68B51A">
            <w:pPr>
              <w:widowControl/>
              <w:adjustRightInd w:val="0"/>
              <w:snapToGrid w:val="0"/>
              <w:jc w:val="left"/>
              <w:textAlignment w:val="center"/>
              <w:rPr>
                <w:rFonts w:ascii="宋体" w:hAnsi="宋体" w:cs="宋体"/>
              </w:rPr>
            </w:pPr>
            <w:r>
              <w:rPr>
                <w:rFonts w:hint="eastAsia" w:ascii="宋体" w:hAnsi="宋体" w:cs="宋体"/>
              </w:rPr>
              <w:t>一处扣0.5分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F1A2AC">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9CC67A">
            <w:pPr>
              <w:widowControl/>
              <w:adjustRightInd w:val="0"/>
              <w:snapToGrid w:val="0"/>
              <w:jc w:val="left"/>
              <w:textAlignment w:val="center"/>
              <w:rPr>
                <w:rFonts w:ascii="宋体" w:hAnsi="宋体" w:cs="宋体"/>
              </w:rPr>
            </w:pPr>
          </w:p>
        </w:tc>
      </w:tr>
      <w:tr w14:paraId="2261A3CF">
        <w:tblPrEx>
          <w:tblCellMar>
            <w:top w:w="0" w:type="dxa"/>
            <w:left w:w="0" w:type="dxa"/>
            <w:bottom w:w="0" w:type="dxa"/>
            <w:right w:w="0" w:type="dxa"/>
          </w:tblCellMar>
        </w:tblPrEx>
        <w:trPr>
          <w:trHeight w:val="2040"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46014D">
            <w:pPr>
              <w:widowControl/>
              <w:adjustRightInd w:val="0"/>
              <w:snapToGrid w:val="0"/>
              <w:ind w:firstLine="480"/>
              <w:jc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E2C68">
            <w:pPr>
              <w:widowControl/>
              <w:adjustRightInd w:val="0"/>
              <w:snapToGrid w:val="0"/>
              <w:ind w:firstLine="480"/>
              <w:jc w:val="center"/>
              <w:rPr>
                <w:rFonts w:ascii="宋体" w:hAnsi="宋体" w:cs="宋体"/>
              </w:rPr>
            </w:pP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DD3D2C">
            <w:pPr>
              <w:widowControl/>
              <w:adjustRightInd w:val="0"/>
              <w:snapToGrid w:val="0"/>
              <w:textAlignment w:val="center"/>
              <w:rPr>
                <w:rFonts w:ascii="宋体" w:hAnsi="宋体" w:cs="宋体"/>
              </w:rPr>
            </w:pPr>
            <w:r>
              <w:rPr>
                <w:rFonts w:hint="eastAsia" w:ascii="宋体" w:hAnsi="宋体" w:cs="宋体"/>
                <w:kern w:val="0"/>
              </w:rPr>
              <w:t>3</w:t>
            </w:r>
          </w:p>
        </w:tc>
        <w:tc>
          <w:tcPr>
            <w:tcW w:w="4305" w:type="dxa"/>
            <w:tcBorders>
              <w:top w:val="single" w:color="000000" w:sz="4" w:space="0"/>
              <w:left w:val="nil"/>
              <w:bottom w:val="single" w:color="000000" w:sz="4" w:space="0"/>
              <w:right w:val="nil"/>
            </w:tcBorders>
            <w:tcMar>
              <w:top w:w="15" w:type="dxa"/>
              <w:left w:w="15" w:type="dxa"/>
              <w:right w:w="15" w:type="dxa"/>
            </w:tcMar>
            <w:vAlign w:val="center"/>
          </w:tcPr>
          <w:p w14:paraId="366AFBF8">
            <w:pPr>
              <w:widowControl/>
              <w:adjustRightInd w:val="0"/>
              <w:snapToGrid w:val="0"/>
              <w:jc w:val="left"/>
              <w:textAlignment w:val="center"/>
              <w:rPr>
                <w:rFonts w:ascii="宋体" w:hAnsi="宋体" w:cs="宋体"/>
              </w:rPr>
            </w:pPr>
            <w:r>
              <w:rPr>
                <w:rFonts w:hint="eastAsia" w:ascii="宋体" w:hAnsi="宋体" w:cs="宋体"/>
              </w:rPr>
              <w:t>绿地内堆放杂物，有车辆驶入和停放，设摊买卖，在非运动草地上进行有损花草树木的体育活动，在树上张挂标语，晾晒衣物，未及时制止并上报的。</w:t>
            </w:r>
            <w:r>
              <w:rPr>
                <w:rFonts w:hint="eastAsia" w:ascii="宋体" w:hAnsi="宋体" w:cs="宋体"/>
              </w:rPr>
              <w:br w:type="textWrapping"/>
            </w:r>
            <w:r>
              <w:rPr>
                <w:rFonts w:hint="eastAsia" w:ascii="宋体" w:hAnsi="宋体" w:cs="宋体"/>
              </w:rPr>
              <w:t>对违法占绿、破坏绿地或树木被盗、被砍、人为破坏或对经批准占用绿地的单位的不文明施工行为未及时制止并上报的。</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5407D5">
            <w:pPr>
              <w:widowControl/>
              <w:adjustRightInd w:val="0"/>
              <w:snapToGrid w:val="0"/>
              <w:jc w:val="left"/>
              <w:textAlignment w:val="center"/>
              <w:rPr>
                <w:rFonts w:ascii="宋体" w:hAnsi="宋体" w:cs="宋体"/>
              </w:rPr>
            </w:pPr>
            <w:r>
              <w:rPr>
                <w:rFonts w:hint="eastAsia" w:ascii="宋体" w:hAnsi="宋体" w:cs="宋体"/>
              </w:rPr>
              <w:t>2</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9F8FA7">
            <w:pPr>
              <w:widowControl/>
              <w:adjustRightInd w:val="0"/>
              <w:snapToGrid w:val="0"/>
              <w:jc w:val="left"/>
              <w:textAlignment w:val="center"/>
              <w:rPr>
                <w:rFonts w:ascii="宋体" w:hAnsi="宋体" w:cs="宋体"/>
              </w:rPr>
            </w:pPr>
            <w:r>
              <w:rPr>
                <w:rFonts w:hint="eastAsia" w:ascii="宋体" w:hAnsi="宋体" w:cs="宋体"/>
              </w:rPr>
              <w:t>一处扣0.5分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C1A7A5">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3E917">
            <w:pPr>
              <w:widowControl/>
              <w:adjustRightInd w:val="0"/>
              <w:snapToGrid w:val="0"/>
              <w:jc w:val="left"/>
              <w:textAlignment w:val="center"/>
              <w:rPr>
                <w:rFonts w:ascii="宋体" w:hAnsi="宋体" w:cs="宋体"/>
              </w:rPr>
            </w:pPr>
          </w:p>
        </w:tc>
      </w:tr>
      <w:tr w14:paraId="409C012A">
        <w:tblPrEx>
          <w:tblCellMar>
            <w:top w:w="0" w:type="dxa"/>
            <w:left w:w="0" w:type="dxa"/>
            <w:bottom w:w="0" w:type="dxa"/>
            <w:right w:w="0" w:type="dxa"/>
          </w:tblCellMar>
        </w:tblPrEx>
        <w:trPr>
          <w:trHeight w:val="380"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C7090D">
            <w:pPr>
              <w:widowControl/>
              <w:adjustRightInd w:val="0"/>
              <w:snapToGrid w:val="0"/>
              <w:ind w:firstLine="480"/>
              <w:jc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0360C9">
            <w:pPr>
              <w:widowControl/>
              <w:adjustRightInd w:val="0"/>
              <w:snapToGrid w:val="0"/>
              <w:ind w:firstLine="480"/>
              <w:jc w:val="center"/>
              <w:rPr>
                <w:rFonts w:ascii="宋体" w:hAnsi="宋体" w:cs="宋体"/>
              </w:rPr>
            </w:pPr>
          </w:p>
        </w:tc>
        <w:tc>
          <w:tcPr>
            <w:tcW w:w="687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83E9A">
            <w:pPr>
              <w:widowControl/>
              <w:adjustRightInd w:val="0"/>
              <w:snapToGrid w:val="0"/>
              <w:jc w:val="left"/>
              <w:textAlignment w:val="center"/>
              <w:rPr>
                <w:rFonts w:ascii="宋体" w:hAnsi="宋体" w:cs="宋体"/>
              </w:rPr>
            </w:pPr>
            <w:r>
              <w:rPr>
                <w:rFonts w:hint="eastAsia" w:ascii="宋体" w:hAnsi="宋体" w:cs="宋体"/>
              </w:rPr>
              <w:t>得分小计</w:t>
            </w:r>
          </w:p>
        </w:tc>
        <w:tc>
          <w:tcPr>
            <w:tcW w:w="110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F48B58">
            <w:pPr>
              <w:widowControl/>
              <w:adjustRightInd w:val="0"/>
              <w:snapToGrid w:val="0"/>
              <w:jc w:val="left"/>
              <w:textAlignment w:val="center"/>
              <w:rPr>
                <w:rFonts w:ascii="宋体" w:hAnsi="宋体" w:cs="宋体"/>
              </w:rPr>
            </w:pPr>
          </w:p>
        </w:tc>
      </w:tr>
      <w:tr w14:paraId="0A76763D">
        <w:tblPrEx>
          <w:tblCellMar>
            <w:top w:w="0" w:type="dxa"/>
            <w:left w:w="0" w:type="dxa"/>
            <w:bottom w:w="0" w:type="dxa"/>
            <w:right w:w="0" w:type="dxa"/>
          </w:tblCellMar>
        </w:tblPrEx>
        <w:trPr>
          <w:trHeight w:val="840" w:hRule="atLeast"/>
        </w:trPr>
        <w:tc>
          <w:tcPr>
            <w:tcW w:w="5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29EE94">
            <w:pPr>
              <w:widowControl/>
              <w:adjustRightInd w:val="0"/>
              <w:snapToGrid w:val="0"/>
              <w:ind w:firstLine="480"/>
              <w:jc w:val="center"/>
              <w:textAlignment w:val="center"/>
              <w:rPr>
                <w:rFonts w:ascii="宋体" w:hAnsi="宋体" w:cs="宋体"/>
              </w:rPr>
            </w:pPr>
            <w:r>
              <w:rPr>
                <w:rFonts w:hint="eastAsia" w:ascii="宋体" w:hAnsi="宋体" w:cs="宋体"/>
                <w:kern w:val="0"/>
              </w:rPr>
              <w:t>7</w:t>
            </w:r>
          </w:p>
        </w:tc>
        <w:tc>
          <w:tcPr>
            <w:tcW w:w="82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2A3F0">
            <w:pPr>
              <w:widowControl/>
              <w:adjustRightInd w:val="0"/>
              <w:snapToGrid w:val="0"/>
              <w:textAlignment w:val="center"/>
              <w:rPr>
                <w:rFonts w:ascii="宋体" w:hAnsi="宋体" w:cs="宋体"/>
              </w:rPr>
            </w:pPr>
            <w:r>
              <w:rPr>
                <w:rFonts w:hint="eastAsia" w:ascii="宋体" w:hAnsi="宋体" w:cs="宋体"/>
                <w:kern w:val="0"/>
              </w:rPr>
              <w:t>安全生产及防风应急工作（20分）</w:t>
            </w: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A9D36">
            <w:pPr>
              <w:widowControl/>
              <w:adjustRightInd w:val="0"/>
              <w:snapToGrid w:val="0"/>
              <w:textAlignment w:val="center"/>
              <w:rPr>
                <w:rFonts w:ascii="宋体" w:hAnsi="宋体" w:cs="宋体"/>
              </w:rPr>
            </w:pPr>
            <w:r>
              <w:rPr>
                <w:rFonts w:hint="eastAsia" w:ascii="宋体" w:hAnsi="宋体" w:cs="宋体"/>
                <w:kern w:val="0"/>
              </w:rPr>
              <w:t>1</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21730">
            <w:pPr>
              <w:widowControl/>
              <w:adjustRightInd w:val="0"/>
              <w:snapToGrid w:val="0"/>
              <w:jc w:val="left"/>
              <w:textAlignment w:val="center"/>
              <w:rPr>
                <w:rFonts w:ascii="宋体" w:hAnsi="宋体" w:cs="宋体"/>
              </w:rPr>
            </w:pPr>
            <w:r>
              <w:rPr>
                <w:rFonts w:hint="eastAsia" w:ascii="宋体" w:hAnsi="宋体" w:cs="宋体"/>
              </w:rPr>
              <w:t>养护操作时违反安全规范，未按规范操作机械设备，无安全防护措施、安全措施不规范等。</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48B6B">
            <w:pPr>
              <w:widowControl/>
              <w:adjustRightInd w:val="0"/>
              <w:snapToGrid w:val="0"/>
              <w:jc w:val="left"/>
              <w:textAlignment w:val="center"/>
              <w:rPr>
                <w:rFonts w:ascii="宋体" w:hAnsi="宋体" w:cs="宋体"/>
              </w:rPr>
            </w:pPr>
            <w:r>
              <w:rPr>
                <w:rFonts w:hint="eastAsia" w:ascii="宋体" w:hAnsi="宋体" w:cs="宋体"/>
              </w:rPr>
              <w:t>10</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A213DA">
            <w:pPr>
              <w:widowControl/>
              <w:adjustRightInd w:val="0"/>
              <w:snapToGrid w:val="0"/>
              <w:jc w:val="left"/>
              <w:textAlignment w:val="center"/>
              <w:rPr>
                <w:rFonts w:ascii="宋体" w:hAnsi="宋体" w:cs="宋体"/>
              </w:rPr>
            </w:pPr>
            <w:r>
              <w:rPr>
                <w:rFonts w:hint="eastAsia" w:ascii="宋体" w:hAnsi="宋体" w:cs="宋体"/>
              </w:rPr>
              <w:t>一次扣2分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47016D">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7DFA5C">
            <w:pPr>
              <w:widowControl/>
              <w:adjustRightInd w:val="0"/>
              <w:snapToGrid w:val="0"/>
              <w:jc w:val="left"/>
              <w:textAlignment w:val="center"/>
              <w:rPr>
                <w:rFonts w:ascii="宋体" w:hAnsi="宋体" w:cs="宋体"/>
              </w:rPr>
            </w:pPr>
          </w:p>
        </w:tc>
      </w:tr>
      <w:tr w14:paraId="18E1D677">
        <w:tblPrEx>
          <w:tblCellMar>
            <w:top w:w="0" w:type="dxa"/>
            <w:left w:w="0" w:type="dxa"/>
            <w:bottom w:w="0" w:type="dxa"/>
            <w:right w:w="0" w:type="dxa"/>
          </w:tblCellMar>
        </w:tblPrEx>
        <w:trPr>
          <w:trHeight w:val="840"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C1063">
            <w:pPr>
              <w:widowControl/>
              <w:adjustRightInd w:val="0"/>
              <w:snapToGrid w:val="0"/>
              <w:ind w:firstLine="480"/>
              <w:jc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A9ED8">
            <w:pPr>
              <w:widowControl/>
              <w:adjustRightInd w:val="0"/>
              <w:snapToGrid w:val="0"/>
              <w:ind w:firstLine="480"/>
              <w:jc w:val="center"/>
              <w:rPr>
                <w:rFonts w:ascii="宋体" w:hAnsi="宋体" w:cs="宋体"/>
              </w:rPr>
            </w:pP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E7CC69">
            <w:pPr>
              <w:widowControl/>
              <w:adjustRightInd w:val="0"/>
              <w:snapToGrid w:val="0"/>
              <w:textAlignment w:val="center"/>
              <w:rPr>
                <w:rFonts w:ascii="宋体" w:hAnsi="宋体" w:cs="宋体"/>
              </w:rPr>
            </w:pPr>
            <w:r>
              <w:rPr>
                <w:rFonts w:hint="eastAsia" w:ascii="宋体" w:hAnsi="宋体" w:cs="宋体"/>
                <w:kern w:val="0"/>
              </w:rPr>
              <w:t>2</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5929B4">
            <w:pPr>
              <w:widowControl/>
              <w:adjustRightInd w:val="0"/>
              <w:snapToGrid w:val="0"/>
              <w:jc w:val="left"/>
              <w:textAlignment w:val="center"/>
              <w:rPr>
                <w:rFonts w:ascii="宋体" w:hAnsi="宋体" w:cs="宋体"/>
              </w:rPr>
            </w:pPr>
            <w:r>
              <w:rPr>
                <w:rFonts w:hint="eastAsia" w:ascii="宋体" w:hAnsi="宋体" w:cs="宋体"/>
              </w:rPr>
              <w:t>发生台风、暴雨等自然灾害，不配合或不服从抢险工作安排的。有紧急情况不积极组织抢险，造成交通阻塞或损失加大的。</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A6CEA">
            <w:pPr>
              <w:widowControl/>
              <w:adjustRightInd w:val="0"/>
              <w:snapToGrid w:val="0"/>
              <w:jc w:val="left"/>
              <w:textAlignment w:val="center"/>
              <w:rPr>
                <w:rFonts w:ascii="宋体" w:hAnsi="宋体" w:cs="宋体"/>
              </w:rPr>
            </w:pPr>
            <w:r>
              <w:rPr>
                <w:rFonts w:hint="eastAsia" w:ascii="宋体" w:hAnsi="宋体" w:cs="宋体"/>
              </w:rPr>
              <w:t>10</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AF2854">
            <w:pPr>
              <w:widowControl/>
              <w:adjustRightInd w:val="0"/>
              <w:snapToGrid w:val="0"/>
              <w:jc w:val="left"/>
              <w:textAlignment w:val="center"/>
              <w:rPr>
                <w:rFonts w:ascii="宋体" w:hAnsi="宋体" w:cs="宋体"/>
              </w:rPr>
            </w:pPr>
            <w:r>
              <w:rPr>
                <w:rFonts w:hint="eastAsia" w:ascii="宋体" w:hAnsi="宋体" w:cs="宋体"/>
              </w:rPr>
              <w:t>一次扣5分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673B5">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DC1F81">
            <w:pPr>
              <w:widowControl/>
              <w:adjustRightInd w:val="0"/>
              <w:snapToGrid w:val="0"/>
              <w:jc w:val="left"/>
              <w:textAlignment w:val="center"/>
              <w:rPr>
                <w:rFonts w:ascii="宋体" w:hAnsi="宋体" w:cs="宋体"/>
              </w:rPr>
            </w:pPr>
          </w:p>
        </w:tc>
      </w:tr>
      <w:tr w14:paraId="00A959BA">
        <w:tblPrEx>
          <w:tblCellMar>
            <w:top w:w="0" w:type="dxa"/>
            <w:left w:w="0" w:type="dxa"/>
            <w:bottom w:w="0" w:type="dxa"/>
            <w:right w:w="0" w:type="dxa"/>
          </w:tblCellMar>
        </w:tblPrEx>
        <w:trPr>
          <w:trHeight w:val="360"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019329">
            <w:pPr>
              <w:widowControl/>
              <w:adjustRightInd w:val="0"/>
              <w:snapToGrid w:val="0"/>
              <w:ind w:firstLine="480"/>
              <w:jc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D11205">
            <w:pPr>
              <w:widowControl/>
              <w:adjustRightInd w:val="0"/>
              <w:snapToGrid w:val="0"/>
              <w:ind w:firstLine="480"/>
              <w:jc w:val="center"/>
              <w:rPr>
                <w:rFonts w:ascii="宋体" w:hAnsi="宋体" w:cs="宋体"/>
              </w:rPr>
            </w:pPr>
          </w:p>
        </w:tc>
        <w:tc>
          <w:tcPr>
            <w:tcW w:w="687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420B72">
            <w:pPr>
              <w:widowControl/>
              <w:adjustRightInd w:val="0"/>
              <w:snapToGrid w:val="0"/>
              <w:jc w:val="left"/>
              <w:textAlignment w:val="center"/>
              <w:rPr>
                <w:rFonts w:ascii="宋体" w:hAnsi="宋体" w:cs="宋体"/>
              </w:rPr>
            </w:pPr>
            <w:r>
              <w:rPr>
                <w:rFonts w:hint="eastAsia" w:ascii="宋体" w:hAnsi="宋体" w:cs="宋体"/>
              </w:rPr>
              <w:t>得分小计</w:t>
            </w:r>
          </w:p>
        </w:tc>
        <w:tc>
          <w:tcPr>
            <w:tcW w:w="110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2A4F2">
            <w:pPr>
              <w:widowControl/>
              <w:adjustRightInd w:val="0"/>
              <w:snapToGrid w:val="0"/>
              <w:jc w:val="left"/>
              <w:textAlignment w:val="center"/>
              <w:rPr>
                <w:rFonts w:ascii="宋体" w:hAnsi="宋体" w:cs="宋体"/>
              </w:rPr>
            </w:pPr>
          </w:p>
        </w:tc>
      </w:tr>
      <w:tr w14:paraId="6EB04931">
        <w:tblPrEx>
          <w:tblCellMar>
            <w:top w:w="0" w:type="dxa"/>
            <w:left w:w="0" w:type="dxa"/>
            <w:bottom w:w="0" w:type="dxa"/>
            <w:right w:w="0" w:type="dxa"/>
          </w:tblCellMar>
        </w:tblPrEx>
        <w:trPr>
          <w:trHeight w:val="1140" w:hRule="atLeast"/>
        </w:trPr>
        <w:tc>
          <w:tcPr>
            <w:tcW w:w="5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29E31">
            <w:pPr>
              <w:widowControl/>
              <w:adjustRightInd w:val="0"/>
              <w:snapToGrid w:val="0"/>
              <w:ind w:firstLine="480"/>
              <w:jc w:val="center"/>
              <w:textAlignment w:val="center"/>
              <w:rPr>
                <w:rFonts w:ascii="宋体" w:hAnsi="宋体" w:cs="宋体"/>
              </w:rPr>
            </w:pPr>
            <w:r>
              <w:rPr>
                <w:rFonts w:hint="eastAsia" w:ascii="宋体" w:hAnsi="宋体" w:cs="宋体"/>
                <w:kern w:val="0"/>
              </w:rPr>
              <w:t>8</w:t>
            </w:r>
          </w:p>
        </w:tc>
        <w:tc>
          <w:tcPr>
            <w:tcW w:w="82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18EDD3">
            <w:pPr>
              <w:widowControl/>
              <w:adjustRightInd w:val="0"/>
              <w:snapToGrid w:val="0"/>
              <w:ind w:firstLine="480"/>
              <w:jc w:val="center"/>
              <w:textAlignment w:val="center"/>
              <w:rPr>
                <w:rFonts w:ascii="宋体" w:hAnsi="宋体" w:cs="宋体"/>
              </w:rPr>
            </w:pPr>
            <w:r>
              <w:rPr>
                <w:rFonts w:hint="eastAsia" w:ascii="宋体" w:hAnsi="宋体" w:cs="宋体"/>
                <w:kern w:val="0"/>
              </w:rPr>
              <w:t>其他（10分）</w:t>
            </w:r>
          </w:p>
        </w:tc>
        <w:tc>
          <w:tcPr>
            <w:tcW w:w="5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AE85E">
            <w:pPr>
              <w:widowControl/>
              <w:adjustRightInd w:val="0"/>
              <w:snapToGrid w:val="0"/>
              <w:textAlignment w:val="center"/>
              <w:rPr>
                <w:rFonts w:ascii="宋体" w:hAnsi="宋体" w:cs="宋体"/>
              </w:rPr>
            </w:pPr>
            <w:r>
              <w:rPr>
                <w:rFonts w:hint="eastAsia" w:ascii="宋体" w:hAnsi="宋体" w:cs="宋体"/>
                <w:kern w:val="0"/>
              </w:rPr>
              <w:t>1</w:t>
            </w:r>
          </w:p>
        </w:tc>
        <w:tc>
          <w:tcPr>
            <w:tcW w:w="43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F0DDBF">
            <w:pPr>
              <w:widowControl/>
              <w:adjustRightInd w:val="0"/>
              <w:snapToGrid w:val="0"/>
              <w:jc w:val="left"/>
              <w:textAlignment w:val="center"/>
              <w:rPr>
                <w:rFonts w:ascii="宋体" w:hAnsi="宋体" w:cs="宋体"/>
              </w:rPr>
            </w:pPr>
            <w:r>
              <w:rPr>
                <w:rFonts w:hint="eastAsia" w:ascii="宋体" w:hAnsi="宋体" w:cs="宋体"/>
              </w:rPr>
              <w:t>由于管理不到位，被媒体曝光或被上级领导检查批评的。不及时完成我局临时布置的环境整治工作任务的。</w:t>
            </w:r>
          </w:p>
        </w:tc>
        <w:tc>
          <w:tcPr>
            <w:tcW w:w="6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FCFF4">
            <w:pPr>
              <w:widowControl/>
              <w:adjustRightInd w:val="0"/>
              <w:snapToGrid w:val="0"/>
              <w:jc w:val="left"/>
              <w:textAlignment w:val="center"/>
              <w:rPr>
                <w:rFonts w:ascii="宋体" w:hAnsi="宋体" w:cs="宋体"/>
              </w:rPr>
            </w:pPr>
            <w:r>
              <w:rPr>
                <w:rFonts w:hint="eastAsia" w:ascii="宋体" w:hAnsi="宋体" w:cs="宋体"/>
              </w:rPr>
              <w:t>10</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010B50">
            <w:pPr>
              <w:widowControl/>
              <w:adjustRightInd w:val="0"/>
              <w:snapToGrid w:val="0"/>
              <w:jc w:val="left"/>
              <w:textAlignment w:val="center"/>
              <w:rPr>
                <w:rFonts w:ascii="宋体" w:hAnsi="宋体" w:cs="宋体"/>
              </w:rPr>
            </w:pPr>
            <w:r>
              <w:rPr>
                <w:rFonts w:hint="eastAsia" w:ascii="宋体" w:hAnsi="宋体" w:cs="宋体"/>
              </w:rPr>
              <w:t>一次扣5分</w:t>
            </w:r>
          </w:p>
        </w:tc>
        <w:tc>
          <w:tcPr>
            <w:tcW w:w="5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B33EB">
            <w:pPr>
              <w:widowControl/>
              <w:adjustRightInd w:val="0"/>
              <w:snapToGrid w:val="0"/>
              <w:jc w:val="left"/>
              <w:textAlignment w:val="center"/>
              <w:rPr>
                <w:rFonts w:ascii="宋体" w:hAnsi="宋体" w:cs="宋体"/>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7D16C">
            <w:pPr>
              <w:widowControl/>
              <w:adjustRightInd w:val="0"/>
              <w:snapToGrid w:val="0"/>
              <w:jc w:val="left"/>
              <w:textAlignment w:val="center"/>
              <w:rPr>
                <w:rFonts w:ascii="宋体" w:hAnsi="宋体" w:cs="宋体"/>
              </w:rPr>
            </w:pPr>
          </w:p>
        </w:tc>
      </w:tr>
      <w:tr w14:paraId="74E31D22">
        <w:tblPrEx>
          <w:tblCellMar>
            <w:top w:w="0" w:type="dxa"/>
            <w:left w:w="0" w:type="dxa"/>
            <w:bottom w:w="0" w:type="dxa"/>
            <w:right w:w="0" w:type="dxa"/>
          </w:tblCellMar>
        </w:tblPrEx>
        <w:trPr>
          <w:trHeight w:val="420" w:hRule="atLeast"/>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BA2CA8">
            <w:pPr>
              <w:widowControl/>
              <w:adjustRightInd w:val="0"/>
              <w:snapToGrid w:val="0"/>
              <w:ind w:firstLine="480"/>
              <w:jc w:val="center"/>
              <w:rPr>
                <w:rFonts w:ascii="宋体" w:hAnsi="宋体" w:cs="宋体"/>
              </w:rPr>
            </w:pPr>
          </w:p>
        </w:tc>
        <w:tc>
          <w:tcPr>
            <w:tcW w:w="8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9DC894">
            <w:pPr>
              <w:widowControl/>
              <w:adjustRightInd w:val="0"/>
              <w:snapToGrid w:val="0"/>
              <w:ind w:firstLine="480"/>
              <w:jc w:val="center"/>
              <w:rPr>
                <w:rFonts w:ascii="宋体" w:hAnsi="宋体" w:cs="宋体"/>
              </w:rPr>
            </w:pPr>
          </w:p>
        </w:tc>
        <w:tc>
          <w:tcPr>
            <w:tcW w:w="687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5974C">
            <w:pPr>
              <w:widowControl/>
              <w:adjustRightInd w:val="0"/>
              <w:snapToGrid w:val="0"/>
              <w:jc w:val="left"/>
              <w:textAlignment w:val="center"/>
              <w:rPr>
                <w:rFonts w:ascii="宋体" w:hAnsi="宋体" w:cs="宋体"/>
              </w:rPr>
            </w:pPr>
            <w:r>
              <w:rPr>
                <w:rFonts w:hint="eastAsia" w:ascii="宋体" w:hAnsi="宋体" w:cs="宋体"/>
              </w:rPr>
              <w:t>得分小计</w:t>
            </w:r>
          </w:p>
        </w:tc>
        <w:tc>
          <w:tcPr>
            <w:tcW w:w="110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1EDD6">
            <w:pPr>
              <w:widowControl/>
              <w:adjustRightInd w:val="0"/>
              <w:snapToGrid w:val="0"/>
              <w:jc w:val="left"/>
              <w:textAlignment w:val="center"/>
              <w:rPr>
                <w:rFonts w:ascii="宋体" w:hAnsi="宋体" w:cs="宋体"/>
              </w:rPr>
            </w:pPr>
          </w:p>
        </w:tc>
      </w:tr>
      <w:tr w14:paraId="094EC5D0">
        <w:tblPrEx>
          <w:tblCellMar>
            <w:top w:w="0" w:type="dxa"/>
            <w:left w:w="0" w:type="dxa"/>
            <w:bottom w:w="0" w:type="dxa"/>
            <w:right w:w="0" w:type="dxa"/>
          </w:tblCellMar>
        </w:tblPrEx>
        <w:trPr>
          <w:trHeight w:val="900" w:hRule="atLeast"/>
        </w:trPr>
        <w:tc>
          <w:tcPr>
            <w:tcW w:w="9343" w:type="dxa"/>
            <w:gridSpan w:val="8"/>
            <w:tcBorders>
              <w:top w:val="nil"/>
              <w:left w:val="nil"/>
              <w:bottom w:val="nil"/>
              <w:right w:val="nil"/>
            </w:tcBorders>
            <w:tcMar>
              <w:top w:w="15" w:type="dxa"/>
              <w:left w:w="15" w:type="dxa"/>
              <w:right w:w="15" w:type="dxa"/>
            </w:tcMar>
            <w:vAlign w:val="center"/>
          </w:tcPr>
          <w:p w14:paraId="51989D4B">
            <w:pPr>
              <w:widowControl/>
              <w:adjustRightInd w:val="0"/>
              <w:snapToGrid w:val="0"/>
              <w:ind w:firstLine="480"/>
              <w:jc w:val="left"/>
              <w:textAlignment w:val="center"/>
              <w:rPr>
                <w:rFonts w:ascii="宋体" w:hAnsi="宋体" w:cs="宋体"/>
              </w:rPr>
            </w:pPr>
            <w:r>
              <w:rPr>
                <w:rFonts w:hint="eastAsia" w:ascii="宋体" w:hAnsi="宋体" w:cs="宋体"/>
                <w:kern w:val="0"/>
              </w:rPr>
              <w:t>按百分制试行扣分考核，考评得分90分（含）以上的不扣减管养经费，89-85分（含）的扣减当月养护经费的3%，85分以下的在扣减3%的基础上每减少1分扣减当月养护经费的1%。服务期内有2次考核低于60分的中止合同。</w:t>
            </w:r>
          </w:p>
        </w:tc>
      </w:tr>
      <w:tr w14:paraId="22DE2505">
        <w:tblPrEx>
          <w:tblCellMar>
            <w:top w:w="0" w:type="dxa"/>
            <w:left w:w="0" w:type="dxa"/>
            <w:bottom w:w="0" w:type="dxa"/>
            <w:right w:w="0" w:type="dxa"/>
          </w:tblCellMar>
        </w:tblPrEx>
        <w:trPr>
          <w:trHeight w:val="460" w:hRule="atLeast"/>
        </w:trPr>
        <w:tc>
          <w:tcPr>
            <w:tcW w:w="1906" w:type="dxa"/>
            <w:gridSpan w:val="3"/>
            <w:tcBorders>
              <w:top w:val="nil"/>
              <w:left w:val="nil"/>
              <w:bottom w:val="nil"/>
              <w:right w:val="nil"/>
            </w:tcBorders>
            <w:tcMar>
              <w:top w:w="15" w:type="dxa"/>
              <w:left w:w="15" w:type="dxa"/>
              <w:right w:w="15" w:type="dxa"/>
            </w:tcMar>
            <w:vAlign w:val="center"/>
          </w:tcPr>
          <w:p w14:paraId="51979F86">
            <w:pPr>
              <w:widowControl/>
              <w:adjustRightInd w:val="0"/>
              <w:snapToGrid w:val="0"/>
              <w:rPr>
                <w:rFonts w:ascii="宋体" w:hAnsi="宋体" w:cs="宋体"/>
              </w:rPr>
            </w:pPr>
            <w:r>
              <w:rPr>
                <w:rFonts w:hint="eastAsia" w:ascii="宋体" w:hAnsi="宋体" w:cs="宋体"/>
                <w:kern w:val="0"/>
              </w:rPr>
              <w:t>考评人员签名：</w:t>
            </w:r>
          </w:p>
        </w:tc>
        <w:tc>
          <w:tcPr>
            <w:tcW w:w="4305" w:type="dxa"/>
            <w:tcBorders>
              <w:top w:val="nil"/>
              <w:left w:val="nil"/>
              <w:bottom w:val="nil"/>
              <w:right w:val="nil"/>
            </w:tcBorders>
            <w:tcMar>
              <w:top w:w="15" w:type="dxa"/>
              <w:left w:w="15" w:type="dxa"/>
              <w:right w:w="15" w:type="dxa"/>
            </w:tcMar>
            <w:vAlign w:val="center"/>
          </w:tcPr>
          <w:p w14:paraId="35B0B4F2">
            <w:pPr>
              <w:widowControl/>
              <w:adjustRightInd w:val="0"/>
              <w:snapToGrid w:val="0"/>
              <w:ind w:firstLine="480"/>
              <w:rPr>
                <w:rFonts w:ascii="宋体" w:hAnsi="宋体" w:cs="宋体"/>
              </w:rPr>
            </w:pPr>
          </w:p>
        </w:tc>
        <w:tc>
          <w:tcPr>
            <w:tcW w:w="2025" w:type="dxa"/>
            <w:gridSpan w:val="2"/>
            <w:tcBorders>
              <w:top w:val="nil"/>
              <w:left w:val="nil"/>
              <w:bottom w:val="nil"/>
              <w:right w:val="nil"/>
            </w:tcBorders>
            <w:tcMar>
              <w:top w:w="15" w:type="dxa"/>
              <w:left w:w="15" w:type="dxa"/>
              <w:right w:w="15" w:type="dxa"/>
            </w:tcMar>
            <w:vAlign w:val="center"/>
          </w:tcPr>
          <w:p w14:paraId="11170C42">
            <w:pPr>
              <w:widowControl/>
              <w:adjustRightInd w:val="0"/>
              <w:snapToGrid w:val="0"/>
              <w:ind w:firstLine="480"/>
              <w:jc w:val="center"/>
              <w:textAlignment w:val="center"/>
              <w:rPr>
                <w:rFonts w:ascii="宋体" w:hAnsi="宋体" w:cs="宋体"/>
              </w:rPr>
            </w:pPr>
            <w:r>
              <w:rPr>
                <w:rFonts w:hint="eastAsia" w:ascii="宋体" w:hAnsi="宋体" w:cs="宋体"/>
                <w:kern w:val="0"/>
              </w:rPr>
              <w:t>得分合计：</w:t>
            </w:r>
          </w:p>
        </w:tc>
        <w:tc>
          <w:tcPr>
            <w:tcW w:w="552" w:type="dxa"/>
            <w:tcBorders>
              <w:top w:val="nil"/>
              <w:left w:val="nil"/>
              <w:bottom w:val="nil"/>
              <w:right w:val="nil"/>
            </w:tcBorders>
            <w:tcMar>
              <w:top w:w="15" w:type="dxa"/>
              <w:left w:w="15" w:type="dxa"/>
              <w:right w:w="15" w:type="dxa"/>
            </w:tcMar>
            <w:vAlign w:val="center"/>
          </w:tcPr>
          <w:p w14:paraId="6653E01E">
            <w:pPr>
              <w:widowControl/>
              <w:adjustRightInd w:val="0"/>
              <w:snapToGrid w:val="0"/>
              <w:ind w:firstLine="480"/>
              <w:rPr>
                <w:rFonts w:ascii="宋体" w:hAnsi="宋体" w:cs="宋体"/>
              </w:rPr>
            </w:pPr>
          </w:p>
        </w:tc>
        <w:tc>
          <w:tcPr>
            <w:tcW w:w="555" w:type="dxa"/>
            <w:tcBorders>
              <w:top w:val="nil"/>
              <w:left w:val="nil"/>
              <w:bottom w:val="nil"/>
              <w:right w:val="nil"/>
            </w:tcBorders>
            <w:tcMar>
              <w:top w:w="15" w:type="dxa"/>
              <w:left w:w="15" w:type="dxa"/>
              <w:right w:w="15" w:type="dxa"/>
            </w:tcMar>
            <w:vAlign w:val="center"/>
          </w:tcPr>
          <w:p w14:paraId="21F1DB49">
            <w:pPr>
              <w:widowControl/>
              <w:adjustRightInd w:val="0"/>
              <w:snapToGrid w:val="0"/>
              <w:ind w:firstLine="480"/>
              <w:rPr>
                <w:rFonts w:ascii="宋体" w:hAnsi="宋体" w:cs="宋体"/>
              </w:rPr>
            </w:pPr>
          </w:p>
        </w:tc>
      </w:tr>
    </w:tbl>
    <w:p w14:paraId="6D36CE86">
      <w:pPr>
        <w:adjustRightInd w:val="0"/>
        <w:snapToGrid w:val="0"/>
        <w:spacing w:line="360" w:lineRule="auto"/>
        <w:outlineLvl w:val="1"/>
        <w:rPr>
          <w:rFonts w:ascii="仿宋" w:hAnsi="仿宋" w:eastAsia="仿宋" w:cs="仿宋"/>
          <w:b/>
          <w:bCs/>
          <w:spacing w:val="-2"/>
          <w:position w:val="2"/>
        </w:rPr>
      </w:pPr>
      <w:r>
        <w:rPr>
          <w:rFonts w:hint="eastAsia" w:ascii="仿宋" w:hAnsi="仿宋" w:eastAsia="仿宋" w:cs="仿宋"/>
          <w:b/>
          <w:bCs/>
          <w:spacing w:val="-2"/>
          <w:position w:val="2"/>
        </w:rPr>
        <w:t>二、商务要求</w:t>
      </w:r>
    </w:p>
    <w:p w14:paraId="44297348">
      <w:pPr>
        <w:adjustRightInd w:val="0"/>
        <w:snapToGrid w:val="0"/>
        <w:spacing w:line="360" w:lineRule="auto"/>
        <w:ind w:firstLine="238" w:firstLineChars="100"/>
        <w:rPr>
          <w:rFonts w:ascii="仿宋" w:hAnsi="仿宋" w:eastAsia="仿宋" w:cs="仿宋"/>
          <w:spacing w:val="-1"/>
        </w:rPr>
      </w:pPr>
      <w:r>
        <w:rPr>
          <w:rFonts w:hint="eastAsia" w:ascii="仿宋" w:hAnsi="仿宋" w:eastAsia="仿宋" w:cs="仿宋"/>
          <w:spacing w:val="-1"/>
        </w:rPr>
        <w:t>(一) 服务期限</w:t>
      </w:r>
    </w:p>
    <w:p w14:paraId="18D47829">
      <w:pPr>
        <w:spacing w:line="360" w:lineRule="auto"/>
        <w:ind w:firstLine="480" w:firstLineChars="200"/>
        <w:jc w:val="left"/>
        <w:rPr>
          <w:rFonts w:ascii="仿宋" w:hAnsi="仿宋" w:eastAsia="仿宋"/>
        </w:rPr>
      </w:pPr>
      <w:r>
        <w:rPr>
          <w:rFonts w:hint="eastAsia" w:ascii="仿宋" w:hAnsi="仿宋" w:eastAsia="仿宋"/>
        </w:rPr>
        <w:t>8个月，最终以合同签订为准。</w:t>
      </w:r>
    </w:p>
    <w:p w14:paraId="0275485A">
      <w:pPr>
        <w:adjustRightInd w:val="0"/>
        <w:snapToGrid w:val="0"/>
        <w:spacing w:line="360" w:lineRule="auto"/>
        <w:ind w:firstLine="238" w:firstLineChars="100"/>
        <w:rPr>
          <w:rFonts w:ascii="仿宋" w:hAnsi="仿宋" w:eastAsia="仿宋" w:cs="仿宋"/>
          <w:spacing w:val="-1"/>
        </w:rPr>
      </w:pPr>
      <w:r>
        <w:rPr>
          <w:rFonts w:hint="eastAsia" w:ascii="仿宋" w:hAnsi="仿宋" w:eastAsia="仿宋" w:cs="仿宋"/>
          <w:spacing w:val="-1"/>
        </w:rPr>
        <w:t>(二) 服务地点</w:t>
      </w:r>
    </w:p>
    <w:p w14:paraId="2D0EB733">
      <w:pPr>
        <w:spacing w:line="360" w:lineRule="auto"/>
        <w:ind w:firstLine="480" w:firstLineChars="200"/>
        <w:jc w:val="left"/>
        <w:rPr>
          <w:rFonts w:ascii="仿宋" w:hAnsi="仿宋" w:eastAsia="仿宋"/>
        </w:rPr>
      </w:pPr>
      <w:r>
        <w:rPr>
          <w:rFonts w:hint="eastAsia" w:ascii="仿宋" w:hAnsi="仿宋" w:eastAsia="仿宋"/>
        </w:rPr>
        <w:t>海口市美兰区</w:t>
      </w:r>
    </w:p>
    <w:p w14:paraId="7131FE4C">
      <w:pPr>
        <w:adjustRightInd w:val="0"/>
        <w:snapToGrid w:val="0"/>
        <w:spacing w:line="360" w:lineRule="auto"/>
        <w:ind w:firstLine="238" w:firstLineChars="100"/>
        <w:rPr>
          <w:rFonts w:ascii="仿宋" w:hAnsi="仿宋" w:eastAsia="仿宋" w:cs="仿宋"/>
          <w:spacing w:val="-1"/>
        </w:rPr>
      </w:pPr>
      <w:r>
        <w:rPr>
          <w:rFonts w:hint="eastAsia" w:ascii="仿宋" w:hAnsi="仿宋" w:eastAsia="仿宋" w:cs="仿宋"/>
          <w:spacing w:val="-1"/>
        </w:rPr>
        <w:t>(三) 付款条件</w:t>
      </w:r>
    </w:p>
    <w:p w14:paraId="1AF60408">
      <w:pPr>
        <w:spacing w:line="360" w:lineRule="auto"/>
        <w:ind w:firstLine="480" w:firstLineChars="200"/>
        <w:jc w:val="left"/>
        <w:rPr>
          <w:rFonts w:ascii="仿宋" w:hAnsi="仿宋" w:eastAsia="仿宋"/>
        </w:rPr>
      </w:pPr>
      <w:r>
        <w:rPr>
          <w:rFonts w:hint="eastAsia" w:ascii="仿宋" w:hAnsi="仿宋" w:eastAsia="仿宋"/>
        </w:rPr>
        <w:t>采购人每月对成交人上月绿化管养工作情况进行检查考评，经检查合格后，成交人提供报账资料及发票后，采购人按规定向财政部门提交付款申请，通过银行转账支付绿化管养费。扣除考核评分扣减金额后，按月拨付余下管养经费。</w:t>
      </w:r>
    </w:p>
    <w:p w14:paraId="4C01D2FE">
      <w:pPr>
        <w:adjustRightInd w:val="0"/>
        <w:snapToGrid w:val="0"/>
        <w:spacing w:line="360" w:lineRule="auto"/>
        <w:ind w:firstLine="238" w:firstLineChars="100"/>
        <w:rPr>
          <w:rFonts w:ascii="仿宋" w:hAnsi="仿宋" w:eastAsia="仿宋" w:cs="仿宋"/>
          <w:spacing w:val="-1"/>
        </w:rPr>
      </w:pPr>
      <w:r>
        <w:rPr>
          <w:rFonts w:hint="eastAsia" w:ascii="仿宋" w:hAnsi="仿宋" w:eastAsia="仿宋" w:cs="仿宋"/>
          <w:spacing w:val="-1"/>
        </w:rPr>
        <w:t>(四) 报价要求</w:t>
      </w:r>
    </w:p>
    <w:p w14:paraId="2455E2B5">
      <w:pPr>
        <w:spacing w:line="360" w:lineRule="auto"/>
        <w:ind w:firstLine="480" w:firstLineChars="200"/>
        <w:jc w:val="left"/>
        <w:rPr>
          <w:rFonts w:ascii="仿宋" w:hAnsi="仿宋" w:eastAsia="仿宋"/>
        </w:rPr>
      </w:pPr>
      <w:r>
        <w:rPr>
          <w:rFonts w:hint="eastAsia" w:ascii="仿宋" w:hAnsi="仿宋" w:eastAsia="仿宋"/>
        </w:rPr>
        <w:t>本项目报价总价应包括区管道路绿化及公共绿地养护过程中发生的人工费、材料费、机械费、燃油费、管理费、措施费、利润、道路绿化及公共绿地设施（包括但不限于：铺装硬化、凉亭廊架、健身器材、坐凳座椅护栏、浇灌系统、其他情况）维修更换、管养树木公众责任险、人员保险和意外险、税金以及与本项目有关的其它所有费用全包价。供应商在报价时充分考虑在项目实施过程中的各种风险，确定成交后，在风险范围内成交价格不作任何调整。报价总价风险：</w:t>
      </w:r>
    </w:p>
    <w:p w14:paraId="743F36CB">
      <w:pPr>
        <w:spacing w:line="360" w:lineRule="auto"/>
        <w:ind w:firstLine="480" w:firstLineChars="200"/>
        <w:jc w:val="left"/>
        <w:rPr>
          <w:rFonts w:ascii="仿宋" w:hAnsi="仿宋" w:eastAsia="仿宋"/>
        </w:rPr>
      </w:pPr>
      <w:r>
        <w:rPr>
          <w:rFonts w:hint="eastAsia" w:ascii="仿宋" w:hAnsi="仿宋" w:eastAsia="仿宋"/>
        </w:rPr>
        <w:t>1) 供应商依据磋商文件提供的养护内容及施工现场情况自行考虑风险因素计算报价总价，一旦成交，报价总价将不会因人工、材料及机械市场价格的变化因素而得到调整。</w:t>
      </w:r>
    </w:p>
    <w:p w14:paraId="1129ACEE">
      <w:pPr>
        <w:spacing w:line="360" w:lineRule="auto"/>
        <w:ind w:firstLine="480" w:firstLineChars="200"/>
        <w:jc w:val="left"/>
        <w:rPr>
          <w:rFonts w:ascii="仿宋" w:hAnsi="仿宋" w:eastAsia="仿宋"/>
        </w:rPr>
      </w:pPr>
      <w:r>
        <w:rPr>
          <w:rFonts w:hint="eastAsia" w:ascii="仿宋" w:hAnsi="仿宋" w:eastAsia="仿宋"/>
        </w:rPr>
        <w:t>2) 响应价格应包括区管道路绿化及公共绿地养护过程中发生的人工费、材料费、机械费、燃油费、管理费、措施费、利润、道路绿化及公共绿地设施（包括但不限于：铺装硬化、凉亭廊架、健身器材、坐凳座椅护栏、浇灌系统、其他情况）维修更换、管养树木公众责任险、人员保险和意外险、税金以及与本项目有关的其它所有费用全包价，供应商漏报或不报，采购人将视为有关费用已包括在工程量清单项目的其它单价及合价中而不予支付。</w:t>
      </w:r>
    </w:p>
    <w:p w14:paraId="258D06A3">
      <w:pPr>
        <w:adjustRightInd w:val="0"/>
        <w:snapToGrid w:val="0"/>
        <w:spacing w:line="360" w:lineRule="auto"/>
        <w:ind w:firstLine="238" w:firstLineChars="100"/>
        <w:rPr>
          <w:rFonts w:ascii="仿宋" w:hAnsi="仿宋" w:eastAsia="仿宋" w:cs="仿宋"/>
          <w:spacing w:val="-1"/>
        </w:rPr>
      </w:pPr>
      <w:r>
        <w:rPr>
          <w:rFonts w:hint="eastAsia" w:ascii="仿宋" w:hAnsi="仿宋" w:eastAsia="仿宋" w:cs="仿宋"/>
          <w:spacing w:val="-1"/>
        </w:rPr>
        <w:t>(五) 承包方式及内容</w:t>
      </w:r>
    </w:p>
    <w:p w14:paraId="7C023068">
      <w:pPr>
        <w:spacing w:line="360" w:lineRule="auto"/>
        <w:ind w:firstLine="480" w:firstLineChars="200"/>
        <w:jc w:val="left"/>
        <w:rPr>
          <w:rFonts w:ascii="仿宋" w:hAnsi="仿宋" w:eastAsia="仿宋"/>
        </w:rPr>
      </w:pPr>
      <w:r>
        <w:rPr>
          <w:rFonts w:hint="eastAsia" w:ascii="仿宋" w:hAnsi="仿宋" w:eastAsia="仿宋"/>
        </w:rPr>
        <w:t>1.本项目采用全包干的方式，即绿化管理管养任务包干、责任包干、经费包干的方式实行全承包：采购人将绿化管理管养任务及相应的经费按进度交给成交人，成交人按采购人的管理管养要求和标准组织管理管养工作，并接受采购人的指导、监督和检查考评。</w:t>
      </w:r>
    </w:p>
    <w:p w14:paraId="1C123D0C">
      <w:pPr>
        <w:spacing w:line="360" w:lineRule="auto"/>
        <w:ind w:firstLine="480" w:firstLineChars="200"/>
        <w:jc w:val="left"/>
        <w:rPr>
          <w:rFonts w:ascii="仿宋" w:hAnsi="仿宋" w:eastAsia="仿宋"/>
        </w:rPr>
      </w:pPr>
      <w:r>
        <w:rPr>
          <w:rFonts w:hint="eastAsia" w:ascii="仿宋" w:hAnsi="仿宋" w:eastAsia="仿宋"/>
        </w:rPr>
        <w:t>2.在合同期内，因国家建设需要征用、临时占用绿地或采购人管理需要调整成交人管养绿化地段和管养级别等原因，管养的数量将可能会有所增减。管养费用根据实际接管数量进行相应增减，成交人须无条件服从，该地段管养人员由成交人自行安排，由此造成的经济损失，采购人不负赔偿责任。</w:t>
      </w:r>
    </w:p>
    <w:p w14:paraId="2A2B8C90">
      <w:pPr>
        <w:autoSpaceDE w:val="0"/>
        <w:autoSpaceDN w:val="0"/>
        <w:adjustRightInd w:val="0"/>
        <w:ind w:firstLine="480" w:firstLineChars="200"/>
        <w:jc w:val="left"/>
        <w:rPr>
          <w:rFonts w:ascii="仿宋" w:hAnsi="仿宋" w:eastAsia="仿宋"/>
        </w:rPr>
      </w:pPr>
      <w:r>
        <w:rPr>
          <w:rFonts w:hint="eastAsia" w:ascii="仿宋" w:hAnsi="仿宋" w:eastAsia="仿宋"/>
        </w:rPr>
        <w:t>（六）考评方法及标准：由采购人组织，中标供应商配合进行，按中标供应商的响应文件、签订的采购合同及国家、行业相关技术规范进行考评打分。</w:t>
      </w:r>
    </w:p>
    <w:p w14:paraId="4494D4B2">
      <w:pPr>
        <w:spacing w:line="360" w:lineRule="auto"/>
        <w:ind w:firstLine="562"/>
        <w:rPr>
          <w:rFonts w:ascii="仿宋" w:hAnsi="仿宋" w:eastAsia="仿宋"/>
        </w:rPr>
      </w:pPr>
      <w:r>
        <w:rPr>
          <w:rFonts w:hint="eastAsia"/>
          <w:b/>
          <w:bCs/>
        </w:rPr>
        <w:t>注：</w:t>
      </w:r>
    </w:p>
    <w:p w14:paraId="04580654">
      <w:pPr>
        <w:spacing w:line="360" w:lineRule="auto"/>
        <w:ind w:firstLine="562"/>
        <w:rPr>
          <w:rFonts w:ascii="宋体" w:hAnsi="宋体" w:eastAsia="仿宋_GB2312" w:cs="宋体"/>
          <w:b/>
          <w:bCs/>
        </w:rPr>
      </w:pPr>
      <w:r>
        <w:rPr>
          <w:rFonts w:hint="eastAsia"/>
          <w:b/>
          <w:bCs/>
        </w:rPr>
        <w:t>采购需求中标“★”项其内容为实质性响应内容，供应商应逐条响应，不响应或负偏离应视为无效响应。</w:t>
      </w:r>
    </w:p>
    <w:p w14:paraId="56ED220E">
      <w:pPr>
        <w:widowControl/>
        <w:jc w:val="left"/>
        <w:rPr>
          <w:rFonts w:ascii="仿宋" w:hAnsi="仿宋" w:eastAsia="仿宋" w:cs="仿宋"/>
          <w:sz w:val="32"/>
          <w:szCs w:val="32"/>
        </w:rPr>
      </w:pPr>
      <w:r>
        <w:rPr>
          <w:rFonts w:ascii="仿宋" w:hAnsi="仿宋" w:eastAsia="仿宋" w:cs="仿宋"/>
          <w:sz w:val="32"/>
          <w:szCs w:val="32"/>
        </w:rPr>
        <w:br w:type="page"/>
      </w:r>
    </w:p>
    <w:p w14:paraId="4475AE49">
      <w:pPr>
        <w:adjustRightInd w:val="0"/>
        <w:snapToGrid w:val="0"/>
        <w:spacing w:line="560" w:lineRule="exact"/>
        <w:ind w:firstLine="556"/>
        <w:jc w:val="center"/>
        <w:rPr>
          <w:rFonts w:asciiTheme="majorEastAsia" w:hAnsiTheme="majorEastAsia" w:eastAsiaTheme="majorEastAsia" w:cstheme="majorEastAsia"/>
          <w:b/>
          <w:bCs/>
          <w:spacing w:val="-2"/>
          <w:position w:val="2"/>
          <w:szCs w:val="32"/>
        </w:rPr>
      </w:pPr>
      <w:r>
        <w:rPr>
          <w:rFonts w:hint="eastAsia" w:asciiTheme="majorEastAsia" w:hAnsiTheme="majorEastAsia" w:eastAsiaTheme="majorEastAsia" w:cstheme="majorEastAsia"/>
          <w:b/>
          <w:bCs/>
          <w:spacing w:val="-2"/>
          <w:position w:val="2"/>
          <w:szCs w:val="32"/>
        </w:rPr>
        <w:t xml:space="preserve">第二部分 </w:t>
      </w:r>
      <w:r>
        <w:rPr>
          <w:rFonts w:asciiTheme="majorEastAsia" w:hAnsiTheme="majorEastAsia" w:eastAsiaTheme="majorEastAsia" w:cstheme="majorEastAsia"/>
          <w:b/>
          <w:bCs/>
          <w:spacing w:val="-2"/>
          <w:position w:val="2"/>
          <w:szCs w:val="32"/>
        </w:rPr>
        <w:t xml:space="preserve"> </w:t>
      </w:r>
      <w:r>
        <w:rPr>
          <w:rFonts w:hint="eastAsia" w:asciiTheme="majorEastAsia" w:hAnsiTheme="majorEastAsia" w:eastAsiaTheme="majorEastAsia" w:cstheme="majorEastAsia"/>
          <w:b/>
          <w:bCs/>
          <w:spacing w:val="-2"/>
          <w:position w:val="2"/>
          <w:szCs w:val="32"/>
        </w:rPr>
        <w:t>采购需求清单</w:t>
      </w:r>
    </w:p>
    <w:p w14:paraId="723DE36A">
      <w:pPr>
        <w:adjustRightInd w:val="0"/>
        <w:snapToGrid w:val="0"/>
        <w:spacing w:line="560" w:lineRule="exact"/>
        <w:ind w:firstLine="556"/>
        <w:jc w:val="center"/>
        <w:rPr>
          <w:rFonts w:ascii="宋体" w:cs="宋体"/>
          <w:kern w:val="0"/>
          <w:sz w:val="19"/>
          <w:szCs w:val="19"/>
        </w:rPr>
      </w:pPr>
      <w:r>
        <w:rPr>
          <w:rFonts w:hint="eastAsia" w:ascii="宋体" w:cs="宋体"/>
          <w:kern w:val="0"/>
          <w:sz w:val="19"/>
          <w:szCs w:val="19"/>
        </w:rPr>
        <w:t>后附工程量清单，请各供应商按工程量清单报价。</w:t>
      </w:r>
      <w:bookmarkEnd w:id="76"/>
      <w:bookmarkEnd w:id="77"/>
    </w:p>
    <w:p w14:paraId="2FD219BC">
      <w:pPr>
        <w:rPr>
          <w:rFonts w:ascii="宋体" w:cs="宋体"/>
          <w:kern w:val="0"/>
          <w:sz w:val="19"/>
          <w:szCs w:val="19"/>
        </w:rPr>
      </w:pPr>
      <w:r>
        <w:rPr>
          <w:rFonts w:hint="eastAsia" w:ascii="宋体" w:cs="宋体"/>
          <w:kern w:val="0"/>
          <w:sz w:val="19"/>
          <w:szCs w:val="19"/>
        </w:rPr>
        <w:drawing>
          <wp:inline distT="0" distB="0" distL="114300" distR="114300">
            <wp:extent cx="5687060" cy="8041640"/>
            <wp:effectExtent l="0" t="0" r="8890" b="16510"/>
            <wp:docPr id="9" name="图片 9" descr="2025年美兰区新增道路绿化管养-工程量清单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5年美兰区新增道路绿化管养-工程量清单_页面_03"/>
                    <pic:cNvPicPr>
                      <a:picLocks noChangeAspect="1"/>
                    </pic:cNvPicPr>
                  </pic:nvPicPr>
                  <pic:blipFill>
                    <a:blip r:embed="rId9"/>
                    <a:stretch>
                      <a:fillRect/>
                    </a:stretch>
                  </pic:blipFill>
                  <pic:spPr>
                    <a:xfrm>
                      <a:off x="0" y="0"/>
                      <a:ext cx="5687060" cy="8041640"/>
                    </a:xfrm>
                    <a:prstGeom prst="rect">
                      <a:avLst/>
                    </a:prstGeom>
                  </pic:spPr>
                </pic:pic>
              </a:graphicData>
            </a:graphic>
          </wp:inline>
        </w:drawing>
      </w:r>
      <w:r>
        <w:rPr>
          <w:rFonts w:hint="eastAsia" w:ascii="宋体" w:cs="宋体"/>
          <w:kern w:val="0"/>
          <w:sz w:val="19"/>
          <w:szCs w:val="19"/>
        </w:rPr>
        <w:drawing>
          <wp:inline distT="0" distB="0" distL="114300" distR="114300">
            <wp:extent cx="5687060" cy="8041640"/>
            <wp:effectExtent l="0" t="0" r="8890" b="16510"/>
            <wp:docPr id="10" name="图片 10" descr="2025年美兰区新增道路绿化管养-工程量清单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5年美兰区新增道路绿化管养-工程量清单_页面_04"/>
                    <pic:cNvPicPr>
                      <a:picLocks noChangeAspect="1"/>
                    </pic:cNvPicPr>
                  </pic:nvPicPr>
                  <pic:blipFill>
                    <a:blip r:embed="rId10"/>
                    <a:stretch>
                      <a:fillRect/>
                    </a:stretch>
                  </pic:blipFill>
                  <pic:spPr>
                    <a:xfrm>
                      <a:off x="0" y="0"/>
                      <a:ext cx="5687060" cy="8041640"/>
                    </a:xfrm>
                    <a:prstGeom prst="rect">
                      <a:avLst/>
                    </a:prstGeom>
                  </pic:spPr>
                </pic:pic>
              </a:graphicData>
            </a:graphic>
          </wp:inline>
        </w:drawing>
      </w:r>
      <w:r>
        <w:rPr>
          <w:rFonts w:hint="eastAsia" w:ascii="宋体" w:cs="宋体"/>
          <w:kern w:val="0"/>
          <w:sz w:val="19"/>
          <w:szCs w:val="19"/>
        </w:rPr>
        <w:drawing>
          <wp:inline distT="0" distB="0" distL="114300" distR="114300">
            <wp:extent cx="5687060" cy="8041640"/>
            <wp:effectExtent l="0" t="0" r="8890" b="16510"/>
            <wp:docPr id="11" name="图片 11" descr="2025年美兰区新增道路绿化管养-工程量清单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5年美兰区新增道路绿化管养-工程量清单_页面_05"/>
                    <pic:cNvPicPr>
                      <a:picLocks noChangeAspect="1"/>
                    </pic:cNvPicPr>
                  </pic:nvPicPr>
                  <pic:blipFill>
                    <a:blip r:embed="rId11"/>
                    <a:stretch>
                      <a:fillRect/>
                    </a:stretch>
                  </pic:blipFill>
                  <pic:spPr>
                    <a:xfrm>
                      <a:off x="0" y="0"/>
                      <a:ext cx="5687060" cy="8041640"/>
                    </a:xfrm>
                    <a:prstGeom prst="rect">
                      <a:avLst/>
                    </a:prstGeom>
                  </pic:spPr>
                </pic:pic>
              </a:graphicData>
            </a:graphic>
          </wp:inline>
        </w:drawing>
      </w:r>
      <w:r>
        <w:rPr>
          <w:rFonts w:hint="eastAsia" w:ascii="宋体" w:cs="宋体"/>
          <w:kern w:val="0"/>
          <w:sz w:val="19"/>
          <w:szCs w:val="19"/>
        </w:rPr>
        <w:drawing>
          <wp:inline distT="0" distB="0" distL="114300" distR="114300">
            <wp:extent cx="5687060" cy="8041640"/>
            <wp:effectExtent l="0" t="0" r="8890" b="16510"/>
            <wp:docPr id="12" name="图片 12" descr="2025年美兰区新增道路绿化管养-工程量清单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5年美兰区新增道路绿化管养-工程量清单_页面_06"/>
                    <pic:cNvPicPr>
                      <a:picLocks noChangeAspect="1"/>
                    </pic:cNvPicPr>
                  </pic:nvPicPr>
                  <pic:blipFill>
                    <a:blip r:embed="rId12"/>
                    <a:stretch>
                      <a:fillRect/>
                    </a:stretch>
                  </pic:blipFill>
                  <pic:spPr>
                    <a:xfrm>
                      <a:off x="0" y="0"/>
                      <a:ext cx="5687060" cy="8041640"/>
                    </a:xfrm>
                    <a:prstGeom prst="rect">
                      <a:avLst/>
                    </a:prstGeom>
                  </pic:spPr>
                </pic:pic>
              </a:graphicData>
            </a:graphic>
          </wp:inline>
        </w:drawing>
      </w:r>
      <w:r>
        <w:rPr>
          <w:rFonts w:hint="eastAsia" w:ascii="宋体" w:cs="宋体"/>
          <w:kern w:val="0"/>
          <w:sz w:val="19"/>
          <w:szCs w:val="19"/>
        </w:rPr>
        <w:drawing>
          <wp:inline distT="0" distB="0" distL="114300" distR="114300">
            <wp:extent cx="5687060" cy="8041640"/>
            <wp:effectExtent l="0" t="0" r="8890" b="16510"/>
            <wp:docPr id="13" name="图片 13" descr="2025年美兰区新增道路绿化管养-工程量清单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5年美兰区新增道路绿化管养-工程量清单_页面_07"/>
                    <pic:cNvPicPr>
                      <a:picLocks noChangeAspect="1"/>
                    </pic:cNvPicPr>
                  </pic:nvPicPr>
                  <pic:blipFill>
                    <a:blip r:embed="rId13"/>
                    <a:stretch>
                      <a:fillRect/>
                    </a:stretch>
                  </pic:blipFill>
                  <pic:spPr>
                    <a:xfrm>
                      <a:off x="0" y="0"/>
                      <a:ext cx="5687060" cy="8041640"/>
                    </a:xfrm>
                    <a:prstGeom prst="rect">
                      <a:avLst/>
                    </a:prstGeom>
                  </pic:spPr>
                </pic:pic>
              </a:graphicData>
            </a:graphic>
          </wp:inline>
        </w:drawing>
      </w:r>
      <w:r>
        <w:rPr>
          <w:rFonts w:hint="eastAsia" w:ascii="宋体" w:cs="宋体"/>
          <w:kern w:val="0"/>
          <w:sz w:val="19"/>
          <w:szCs w:val="19"/>
        </w:rPr>
        <w:drawing>
          <wp:inline distT="0" distB="0" distL="114300" distR="114300">
            <wp:extent cx="5687060" cy="8041640"/>
            <wp:effectExtent l="0" t="0" r="8890" b="16510"/>
            <wp:docPr id="14" name="图片 14" descr="2025年美兰区新增道路绿化管养-工程量清单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5年美兰区新增道路绿化管养-工程量清单_页面_08"/>
                    <pic:cNvPicPr>
                      <a:picLocks noChangeAspect="1"/>
                    </pic:cNvPicPr>
                  </pic:nvPicPr>
                  <pic:blipFill>
                    <a:blip r:embed="rId14"/>
                    <a:stretch>
                      <a:fillRect/>
                    </a:stretch>
                  </pic:blipFill>
                  <pic:spPr>
                    <a:xfrm>
                      <a:off x="0" y="0"/>
                      <a:ext cx="5687060" cy="8041640"/>
                    </a:xfrm>
                    <a:prstGeom prst="rect">
                      <a:avLst/>
                    </a:prstGeom>
                  </pic:spPr>
                </pic:pic>
              </a:graphicData>
            </a:graphic>
          </wp:inline>
        </w:drawing>
      </w:r>
      <w:r>
        <w:rPr>
          <w:rFonts w:hint="eastAsia" w:ascii="宋体" w:cs="宋体"/>
          <w:kern w:val="0"/>
          <w:sz w:val="19"/>
          <w:szCs w:val="19"/>
        </w:rPr>
        <w:drawing>
          <wp:inline distT="0" distB="0" distL="114300" distR="114300">
            <wp:extent cx="5687060" cy="8041640"/>
            <wp:effectExtent l="0" t="0" r="8890" b="16510"/>
            <wp:docPr id="15" name="图片 15" descr="2025年美兰区新增道路绿化管养-工程量清单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5年美兰区新增道路绿化管养-工程量清单_页面_09"/>
                    <pic:cNvPicPr>
                      <a:picLocks noChangeAspect="1"/>
                    </pic:cNvPicPr>
                  </pic:nvPicPr>
                  <pic:blipFill>
                    <a:blip r:embed="rId15"/>
                    <a:stretch>
                      <a:fillRect/>
                    </a:stretch>
                  </pic:blipFill>
                  <pic:spPr>
                    <a:xfrm>
                      <a:off x="0" y="0"/>
                      <a:ext cx="5687060" cy="8041640"/>
                    </a:xfrm>
                    <a:prstGeom prst="rect">
                      <a:avLst/>
                    </a:prstGeom>
                  </pic:spPr>
                </pic:pic>
              </a:graphicData>
            </a:graphic>
          </wp:inline>
        </w:drawing>
      </w:r>
      <w:r>
        <w:rPr>
          <w:rFonts w:hint="eastAsia" w:ascii="宋体" w:cs="宋体"/>
          <w:kern w:val="0"/>
          <w:sz w:val="19"/>
          <w:szCs w:val="19"/>
        </w:rPr>
        <w:drawing>
          <wp:inline distT="0" distB="0" distL="114300" distR="114300">
            <wp:extent cx="5687060" cy="8041640"/>
            <wp:effectExtent l="0" t="0" r="8890" b="16510"/>
            <wp:docPr id="16" name="图片 16" descr="2025年美兰区新增道路绿化管养-工程量清单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5年美兰区新增道路绿化管养-工程量清单_页面_10"/>
                    <pic:cNvPicPr>
                      <a:picLocks noChangeAspect="1"/>
                    </pic:cNvPicPr>
                  </pic:nvPicPr>
                  <pic:blipFill>
                    <a:blip r:embed="rId16"/>
                    <a:stretch>
                      <a:fillRect/>
                    </a:stretch>
                  </pic:blipFill>
                  <pic:spPr>
                    <a:xfrm>
                      <a:off x="0" y="0"/>
                      <a:ext cx="5687060" cy="8041640"/>
                    </a:xfrm>
                    <a:prstGeom prst="rect">
                      <a:avLst/>
                    </a:prstGeom>
                  </pic:spPr>
                </pic:pic>
              </a:graphicData>
            </a:graphic>
          </wp:inline>
        </w:drawing>
      </w:r>
      <w:r>
        <w:rPr>
          <w:rFonts w:hint="eastAsia" w:ascii="宋体" w:cs="宋体"/>
          <w:kern w:val="0"/>
          <w:sz w:val="19"/>
          <w:szCs w:val="19"/>
        </w:rPr>
        <w:drawing>
          <wp:inline distT="0" distB="0" distL="114300" distR="114300">
            <wp:extent cx="5687060" cy="8041640"/>
            <wp:effectExtent l="0" t="0" r="8890" b="16510"/>
            <wp:docPr id="17" name="图片 17" descr="2025年美兰区新增道路绿化管养-工程量清单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5年美兰区新增道路绿化管养-工程量清单_页面_11"/>
                    <pic:cNvPicPr>
                      <a:picLocks noChangeAspect="1"/>
                    </pic:cNvPicPr>
                  </pic:nvPicPr>
                  <pic:blipFill>
                    <a:blip r:embed="rId17"/>
                    <a:stretch>
                      <a:fillRect/>
                    </a:stretch>
                  </pic:blipFill>
                  <pic:spPr>
                    <a:xfrm>
                      <a:off x="0" y="0"/>
                      <a:ext cx="5687060" cy="8041640"/>
                    </a:xfrm>
                    <a:prstGeom prst="rect">
                      <a:avLst/>
                    </a:prstGeom>
                  </pic:spPr>
                </pic:pic>
              </a:graphicData>
            </a:graphic>
          </wp:inline>
        </w:drawing>
      </w:r>
      <w:r>
        <w:rPr>
          <w:rFonts w:hint="eastAsia" w:ascii="宋体" w:cs="宋体"/>
          <w:kern w:val="0"/>
          <w:sz w:val="19"/>
          <w:szCs w:val="19"/>
        </w:rPr>
        <w:drawing>
          <wp:inline distT="0" distB="0" distL="114300" distR="114300">
            <wp:extent cx="5687060" cy="8041640"/>
            <wp:effectExtent l="0" t="0" r="8890" b="16510"/>
            <wp:docPr id="18" name="图片 18" descr="2025年美兰区新增道路绿化管养-工程量清单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5年美兰区新增道路绿化管养-工程量清单_页面_12"/>
                    <pic:cNvPicPr>
                      <a:picLocks noChangeAspect="1"/>
                    </pic:cNvPicPr>
                  </pic:nvPicPr>
                  <pic:blipFill>
                    <a:blip r:embed="rId18"/>
                    <a:stretch>
                      <a:fillRect/>
                    </a:stretch>
                  </pic:blipFill>
                  <pic:spPr>
                    <a:xfrm>
                      <a:off x="0" y="0"/>
                      <a:ext cx="5687060" cy="8041640"/>
                    </a:xfrm>
                    <a:prstGeom prst="rect">
                      <a:avLst/>
                    </a:prstGeom>
                  </pic:spPr>
                </pic:pic>
              </a:graphicData>
            </a:graphic>
          </wp:inline>
        </w:drawing>
      </w:r>
      <w:r>
        <w:rPr>
          <w:rFonts w:hint="eastAsia" w:ascii="宋体" w:cs="宋体"/>
          <w:kern w:val="0"/>
          <w:sz w:val="19"/>
          <w:szCs w:val="19"/>
        </w:rPr>
        <w:drawing>
          <wp:inline distT="0" distB="0" distL="114300" distR="114300">
            <wp:extent cx="5687060" cy="8041640"/>
            <wp:effectExtent l="0" t="0" r="8890" b="16510"/>
            <wp:docPr id="19" name="图片 19" descr="2025年美兰区新增道路绿化管养-工程量清单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5年美兰区新增道路绿化管养-工程量清单_页面_13"/>
                    <pic:cNvPicPr>
                      <a:picLocks noChangeAspect="1"/>
                    </pic:cNvPicPr>
                  </pic:nvPicPr>
                  <pic:blipFill>
                    <a:blip r:embed="rId19"/>
                    <a:stretch>
                      <a:fillRect/>
                    </a:stretch>
                  </pic:blipFill>
                  <pic:spPr>
                    <a:xfrm>
                      <a:off x="0" y="0"/>
                      <a:ext cx="5687060" cy="8041640"/>
                    </a:xfrm>
                    <a:prstGeom prst="rect">
                      <a:avLst/>
                    </a:prstGeom>
                  </pic:spPr>
                </pic:pic>
              </a:graphicData>
            </a:graphic>
          </wp:inline>
        </w:drawing>
      </w:r>
      <w:r>
        <w:rPr>
          <w:rFonts w:hint="eastAsia" w:ascii="宋体" w:cs="宋体"/>
          <w:kern w:val="0"/>
          <w:sz w:val="19"/>
          <w:szCs w:val="19"/>
        </w:rPr>
        <w:drawing>
          <wp:inline distT="0" distB="0" distL="114300" distR="114300">
            <wp:extent cx="5687060" cy="8041640"/>
            <wp:effectExtent l="0" t="0" r="8890" b="16510"/>
            <wp:docPr id="20" name="图片 20" descr="2025年美兰区新增道路绿化管养-工程量清单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5年美兰区新增道路绿化管养-工程量清单_页面_14"/>
                    <pic:cNvPicPr>
                      <a:picLocks noChangeAspect="1"/>
                    </pic:cNvPicPr>
                  </pic:nvPicPr>
                  <pic:blipFill>
                    <a:blip r:embed="rId20"/>
                    <a:stretch>
                      <a:fillRect/>
                    </a:stretch>
                  </pic:blipFill>
                  <pic:spPr>
                    <a:xfrm>
                      <a:off x="0" y="0"/>
                      <a:ext cx="5687060" cy="8041640"/>
                    </a:xfrm>
                    <a:prstGeom prst="rect">
                      <a:avLst/>
                    </a:prstGeom>
                  </pic:spPr>
                </pic:pic>
              </a:graphicData>
            </a:graphic>
          </wp:inline>
        </w:drawing>
      </w:r>
      <w:r>
        <w:rPr>
          <w:rFonts w:hint="eastAsia" w:ascii="宋体" w:cs="宋体"/>
          <w:kern w:val="0"/>
          <w:sz w:val="19"/>
          <w:szCs w:val="19"/>
        </w:rPr>
        <w:drawing>
          <wp:inline distT="0" distB="0" distL="114300" distR="114300">
            <wp:extent cx="5687060" cy="8041640"/>
            <wp:effectExtent l="0" t="0" r="8890" b="16510"/>
            <wp:docPr id="21" name="图片 21" descr="2025年美兰区新增道路绿化管养-工程量清单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5年美兰区新增道路绿化管养-工程量清单_页面_15"/>
                    <pic:cNvPicPr>
                      <a:picLocks noChangeAspect="1"/>
                    </pic:cNvPicPr>
                  </pic:nvPicPr>
                  <pic:blipFill>
                    <a:blip r:embed="rId21"/>
                    <a:stretch>
                      <a:fillRect/>
                    </a:stretch>
                  </pic:blipFill>
                  <pic:spPr>
                    <a:xfrm>
                      <a:off x="0" y="0"/>
                      <a:ext cx="5687060" cy="8041640"/>
                    </a:xfrm>
                    <a:prstGeom prst="rect">
                      <a:avLst/>
                    </a:prstGeom>
                  </pic:spPr>
                </pic:pic>
              </a:graphicData>
            </a:graphic>
          </wp:inline>
        </w:drawing>
      </w:r>
      <w:r>
        <w:rPr>
          <w:rFonts w:hint="eastAsia" w:ascii="宋体" w:cs="宋体"/>
          <w:kern w:val="0"/>
          <w:sz w:val="19"/>
          <w:szCs w:val="19"/>
        </w:rPr>
        <w:drawing>
          <wp:inline distT="0" distB="0" distL="114300" distR="114300">
            <wp:extent cx="5687060" cy="8041640"/>
            <wp:effectExtent l="0" t="0" r="8890" b="16510"/>
            <wp:docPr id="22" name="图片 22" descr="2025年美兰区新增道路绿化管养-工程量清单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5年美兰区新增道路绿化管养-工程量清单_页面_16"/>
                    <pic:cNvPicPr>
                      <a:picLocks noChangeAspect="1"/>
                    </pic:cNvPicPr>
                  </pic:nvPicPr>
                  <pic:blipFill>
                    <a:blip r:embed="rId22"/>
                    <a:stretch>
                      <a:fillRect/>
                    </a:stretch>
                  </pic:blipFill>
                  <pic:spPr>
                    <a:xfrm>
                      <a:off x="0" y="0"/>
                      <a:ext cx="5687060" cy="8041640"/>
                    </a:xfrm>
                    <a:prstGeom prst="rect">
                      <a:avLst/>
                    </a:prstGeom>
                  </pic:spPr>
                </pic:pic>
              </a:graphicData>
            </a:graphic>
          </wp:inline>
        </w:drawing>
      </w:r>
      <w:r>
        <w:rPr>
          <w:rFonts w:hint="eastAsia" w:ascii="宋体" w:cs="宋体"/>
          <w:kern w:val="0"/>
          <w:sz w:val="19"/>
          <w:szCs w:val="19"/>
        </w:rPr>
        <w:br w:type="page"/>
      </w:r>
    </w:p>
    <w:p w14:paraId="594830A8">
      <w:pPr>
        <w:pStyle w:val="2"/>
      </w:pPr>
    </w:p>
    <w:p w14:paraId="64F10449">
      <w:pPr>
        <w:jc w:val="center"/>
        <w:rPr>
          <w:rFonts w:ascii="宋体" w:hAnsi="宋体" w:cs="宋体"/>
          <w:b/>
          <w:bCs/>
          <w:sz w:val="30"/>
          <w:szCs w:val="30"/>
        </w:rPr>
      </w:pPr>
      <w:r>
        <w:rPr>
          <w:rFonts w:hint="eastAsia" w:ascii="宋体" w:hAnsi="宋体" w:cs="宋体"/>
          <w:b/>
          <w:bCs/>
          <w:sz w:val="30"/>
          <w:szCs w:val="30"/>
        </w:rPr>
        <w:t>第四章  审查标准及评审标准</w:t>
      </w:r>
      <w:bookmarkEnd w:id="62"/>
      <w:bookmarkEnd w:id="78"/>
      <w:bookmarkEnd w:id="79"/>
      <w:bookmarkEnd w:id="80"/>
      <w:bookmarkEnd w:id="81"/>
      <w:bookmarkStart w:id="83" w:name="_Toc246826116"/>
    </w:p>
    <w:bookmarkEnd w:id="83"/>
    <w:p w14:paraId="7827C413">
      <w:pPr>
        <w:snapToGrid w:val="0"/>
        <w:spacing w:line="600" w:lineRule="exact"/>
        <w:jc w:val="left"/>
        <w:outlineLvl w:val="1"/>
        <w:rPr>
          <w:rFonts w:ascii="宋体" w:hAnsi="宋体" w:cs="宋体"/>
          <w:b/>
          <w:kern w:val="0"/>
        </w:rPr>
      </w:pPr>
      <w:r>
        <w:rPr>
          <w:rFonts w:hint="eastAsia" w:ascii="宋体" w:hAnsi="宋体" w:cs="宋体"/>
          <w:b/>
          <w:kern w:val="0"/>
        </w:rPr>
        <w:t>一、组建磋商小组</w:t>
      </w:r>
    </w:p>
    <w:p w14:paraId="1FBC18A9">
      <w:pPr>
        <w:spacing w:line="600" w:lineRule="exact"/>
        <w:ind w:firstLine="480" w:firstLineChars="200"/>
        <w:rPr>
          <w:rFonts w:ascii="宋体" w:hAnsi="宋体" w:cs="宋体"/>
        </w:rPr>
      </w:pPr>
      <w:r>
        <w:rPr>
          <w:rFonts w:hint="eastAsia" w:ascii="宋体" w:hAnsi="宋体" w:cs="宋体"/>
          <w:bCs/>
        </w:rPr>
        <w:t>采购代理机构根据有关法律法规和本磋商文件的规定，结合本磋商项目的特点组建磋商小组。磋商小组由3人组成，其中采购人代表0人，评审专家3人。</w:t>
      </w:r>
    </w:p>
    <w:p w14:paraId="538193BD">
      <w:pPr>
        <w:snapToGrid w:val="0"/>
        <w:spacing w:line="600" w:lineRule="exact"/>
        <w:jc w:val="left"/>
        <w:outlineLvl w:val="1"/>
        <w:rPr>
          <w:rFonts w:ascii="宋体" w:hAnsi="宋体" w:cs="宋体"/>
          <w:b/>
          <w:kern w:val="0"/>
        </w:rPr>
      </w:pPr>
      <w:bookmarkStart w:id="84" w:name="_Toc328815997"/>
      <w:r>
        <w:rPr>
          <w:rFonts w:hint="eastAsia" w:ascii="宋体" w:hAnsi="宋体" w:cs="宋体"/>
          <w:b/>
          <w:kern w:val="0"/>
        </w:rPr>
        <w:t>二、评审方法</w:t>
      </w:r>
    </w:p>
    <w:p w14:paraId="2139E8C8">
      <w:pPr>
        <w:snapToGrid w:val="0"/>
        <w:spacing w:line="600" w:lineRule="exact"/>
        <w:ind w:firstLine="480" w:firstLineChars="200"/>
        <w:rPr>
          <w:rFonts w:ascii="宋体" w:hAnsi="宋体" w:cs="宋体"/>
        </w:rPr>
      </w:pPr>
      <w:r>
        <w:rPr>
          <w:rFonts w:hint="eastAsia" w:ascii="宋体" w:hAnsi="宋体" w:cs="宋体"/>
        </w:rPr>
        <w:t>1、评审方法采用综合评分法。</w:t>
      </w:r>
    </w:p>
    <w:p w14:paraId="58DED9E3">
      <w:pPr>
        <w:adjustRightInd w:val="0"/>
        <w:snapToGrid w:val="0"/>
        <w:spacing w:line="600" w:lineRule="exact"/>
        <w:ind w:firstLine="480" w:firstLineChars="200"/>
        <w:jc w:val="left"/>
        <w:rPr>
          <w:rFonts w:ascii="宋体" w:hAnsi="宋体" w:cs="宋体"/>
        </w:rPr>
      </w:pPr>
      <w:r>
        <w:rPr>
          <w:rFonts w:hint="eastAsia" w:ascii="宋体" w:hAnsi="宋体" w:cs="宋体"/>
        </w:rPr>
        <w:t>2、综合评分法评审步骤：先进行资格符合性的初步审查，再进行技术、商务及价格的详细评审。只有通过</w:t>
      </w:r>
      <w:r>
        <w:rPr>
          <w:rFonts w:hint="eastAsia" w:ascii="宋体" w:hAnsi="宋体" w:cs="宋体"/>
          <w:bCs/>
        </w:rPr>
        <w:t>初步审查</w:t>
      </w:r>
      <w:r>
        <w:rPr>
          <w:rFonts w:hint="eastAsia" w:ascii="宋体" w:hAnsi="宋体" w:cs="宋体"/>
        </w:rPr>
        <w:t>的供应商才能进入详细的评审。</w:t>
      </w:r>
      <w:r>
        <w:rPr>
          <w:rFonts w:hint="eastAsia" w:ascii="宋体" w:hAnsi="宋体" w:cs="宋体"/>
          <w:bCs/>
        </w:rPr>
        <w:t>审查</w:t>
      </w:r>
      <w:r>
        <w:rPr>
          <w:rFonts w:hint="eastAsia" w:ascii="宋体" w:hAnsi="宋体" w:cs="宋体"/>
        </w:rPr>
        <w:t>内容凡涉及到提供合同、资质证书或认证等证明材料的，须提供清晰可见的复印件加盖供应商单位公章。</w:t>
      </w:r>
    </w:p>
    <w:p w14:paraId="66398063">
      <w:pPr>
        <w:adjustRightInd w:val="0"/>
        <w:snapToGrid w:val="0"/>
        <w:spacing w:line="600" w:lineRule="exact"/>
        <w:ind w:firstLine="480" w:firstLineChars="200"/>
        <w:jc w:val="left"/>
        <w:rPr>
          <w:rFonts w:ascii="宋体" w:hAnsi="宋体" w:cs="宋体"/>
        </w:rPr>
      </w:pPr>
      <w:r>
        <w:rPr>
          <w:rFonts w:hint="eastAsia" w:ascii="宋体" w:hAnsi="宋体" w:cs="宋体"/>
        </w:rPr>
        <w:t>3、综合评分及其统计：按照磋商程序、评分标准以及权重分配的规定，磋商小组成员分别就各个供应商的技术状况、商务状况及其对磋商文件要求的响应情况进行评议和比较，评出其技术评分和商务评分。然后，评出价格得分。将技术评分、商务评分和价格评分相加得出综合得分，综合得分按由高到低顺序排列。综合得分相同的，按最后报价由低到高顺序排列。综合得分和最后报价均相同的，按技术指标由优至劣顺序排列。综合得分最高的供应商为第一成交候选供应商，综合得分次高的供应商为第二成交候选供应商，依此类推。</w:t>
      </w:r>
    </w:p>
    <w:p w14:paraId="65BE45D4">
      <w:pPr>
        <w:snapToGrid w:val="0"/>
        <w:spacing w:line="600" w:lineRule="exact"/>
        <w:jc w:val="left"/>
        <w:outlineLvl w:val="1"/>
        <w:rPr>
          <w:rFonts w:ascii="宋体" w:hAnsi="宋体" w:cs="宋体"/>
          <w:b/>
          <w:kern w:val="0"/>
        </w:rPr>
      </w:pPr>
      <w:r>
        <w:rPr>
          <w:rFonts w:hint="eastAsia" w:ascii="宋体" w:hAnsi="宋体" w:cs="宋体"/>
          <w:b/>
          <w:kern w:val="0"/>
        </w:rPr>
        <w:t>三、初步审查</w:t>
      </w:r>
    </w:p>
    <w:p w14:paraId="16B7B8D5">
      <w:pPr>
        <w:spacing w:line="600" w:lineRule="exact"/>
        <w:ind w:firstLine="480" w:firstLineChars="200"/>
        <w:rPr>
          <w:rFonts w:ascii="宋体" w:hAnsi="宋体" w:cs="宋体"/>
          <w:bCs/>
        </w:rPr>
      </w:pPr>
      <w:r>
        <w:rPr>
          <w:rFonts w:hint="eastAsia" w:ascii="宋体" w:hAnsi="宋体" w:cs="宋体"/>
          <w:bCs/>
        </w:rPr>
        <w:t>1、磋商小组根据“初步审查表”对响应文件进行评审，只有对表中所列各项作出实质性响应的响应文件才能通过审查。对是否实质性响应磋商文件的要求有争议的响应内容，磋商小组将以记名方式表决，得票超过半数的供应商有资格进入磋商和最终报价，否则将视为无效响应。</w:t>
      </w:r>
    </w:p>
    <w:p w14:paraId="13C4B67A">
      <w:pPr>
        <w:spacing w:line="600" w:lineRule="exact"/>
        <w:ind w:firstLine="480" w:firstLineChars="200"/>
        <w:rPr>
          <w:rFonts w:ascii="宋体" w:hAnsi="宋体" w:cs="宋体"/>
          <w:bCs/>
        </w:rPr>
      </w:pPr>
      <w:r>
        <w:rPr>
          <w:rFonts w:hint="eastAsia" w:ascii="宋体" w:hAnsi="宋体" w:cs="宋体"/>
          <w:bCs/>
        </w:rPr>
        <w:t>2、响应文件的澄清：</w:t>
      </w:r>
    </w:p>
    <w:p w14:paraId="2789925C">
      <w:pPr>
        <w:spacing w:line="600" w:lineRule="exact"/>
        <w:ind w:firstLine="480" w:firstLineChars="200"/>
        <w:rPr>
          <w:rFonts w:ascii="宋体" w:hAnsi="宋体" w:cs="宋体"/>
          <w:bCs/>
        </w:rPr>
      </w:pPr>
      <w:r>
        <w:rPr>
          <w:rFonts w:hint="eastAsia" w:ascii="宋体" w:hAnsi="宋体" w:cs="宋体"/>
          <w:bCs/>
        </w:rPr>
        <w:t>2.1在评审期间，磋商小组有权要求供应商对其响应文件中含义不明确、同类问题表述不一致或者有明显文字和计算错误的内容进行澄清。供应商应派授权代表和技术人员按磋商小组通知的时间和地点接受询标。</w:t>
      </w:r>
    </w:p>
    <w:p w14:paraId="6F52847B">
      <w:pPr>
        <w:spacing w:line="600" w:lineRule="exact"/>
        <w:ind w:firstLine="480" w:firstLineChars="200"/>
        <w:rPr>
          <w:rFonts w:ascii="宋体" w:hAnsi="宋体" w:cs="宋体"/>
          <w:bCs/>
        </w:rPr>
      </w:pPr>
      <w:r>
        <w:rPr>
          <w:rFonts w:hint="eastAsia" w:ascii="宋体" w:hAnsi="宋体" w:cs="宋体"/>
          <w:bCs/>
        </w:rPr>
        <w:t>2.2磋商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14:paraId="60840CBC">
      <w:pPr>
        <w:spacing w:line="600" w:lineRule="exact"/>
        <w:ind w:firstLine="480" w:firstLineChars="200"/>
        <w:rPr>
          <w:rFonts w:ascii="宋体" w:hAnsi="宋体" w:cs="宋体"/>
          <w:bCs/>
        </w:rPr>
      </w:pPr>
      <w:r>
        <w:rPr>
          <w:rFonts w:hint="eastAsia" w:ascii="宋体" w:hAnsi="宋体" w:cs="宋体"/>
          <w:bCs/>
        </w:rPr>
        <w:t>2.3供应商不按磋商小组规定的时间和地点作书面澄清，将视为放弃该权利。</w:t>
      </w:r>
    </w:p>
    <w:p w14:paraId="54FF84DA">
      <w:pPr>
        <w:spacing w:line="600" w:lineRule="exact"/>
        <w:ind w:firstLine="480" w:firstLineChars="200"/>
        <w:rPr>
          <w:rFonts w:ascii="宋体" w:hAnsi="宋体" w:cs="宋体"/>
          <w:bCs/>
        </w:rPr>
      </w:pPr>
      <w:r>
        <w:rPr>
          <w:rFonts w:hint="eastAsia" w:ascii="宋体" w:hAnsi="宋体" w:cs="宋体"/>
          <w:bCs/>
        </w:rPr>
        <w:t>2.4 并非每个供应商都将被询标。</w:t>
      </w:r>
    </w:p>
    <w:p w14:paraId="46F71036">
      <w:pPr>
        <w:spacing w:line="600" w:lineRule="exact"/>
        <w:ind w:firstLine="480" w:firstLineChars="200"/>
        <w:rPr>
          <w:rFonts w:ascii="宋体" w:hAnsi="宋体" w:cs="宋体"/>
          <w:bCs/>
        </w:rPr>
      </w:pPr>
      <w:r>
        <w:rPr>
          <w:rFonts w:hint="eastAsia" w:ascii="宋体" w:hAnsi="宋体" w:cs="宋体"/>
          <w:bCs/>
        </w:rPr>
        <w:t>3、无效响应的认定：</w:t>
      </w:r>
    </w:p>
    <w:p w14:paraId="4E1427A0">
      <w:pPr>
        <w:spacing w:line="600" w:lineRule="exact"/>
        <w:ind w:firstLine="480" w:firstLineChars="200"/>
        <w:rPr>
          <w:rFonts w:ascii="宋体" w:hAnsi="宋体" w:cs="宋体"/>
          <w:bCs/>
        </w:rPr>
      </w:pPr>
      <w:r>
        <w:rPr>
          <w:rFonts w:hint="eastAsia" w:ascii="宋体" w:hAnsi="宋体" w:cs="宋体"/>
          <w:bCs/>
        </w:rPr>
        <w:t>响应文件出现但不限于下列情况的将被认定为无效响应。</w:t>
      </w:r>
    </w:p>
    <w:p w14:paraId="271CF725">
      <w:pPr>
        <w:pStyle w:val="104"/>
        <w:numPr>
          <w:ilvl w:val="0"/>
          <w:numId w:val="2"/>
        </w:numPr>
        <w:spacing w:line="600" w:lineRule="exact"/>
        <w:ind w:firstLineChars="0"/>
        <w:rPr>
          <w:rFonts w:ascii="宋体" w:hAnsi="宋体" w:cs="宋体"/>
          <w:bCs/>
        </w:rPr>
      </w:pPr>
      <w:r>
        <w:rPr>
          <w:rFonts w:hint="eastAsia" w:ascii="宋体" w:hAnsi="宋体" w:cs="宋体"/>
          <w:bCs/>
        </w:rPr>
        <w:t>响应文件未按磋商文件要求签署、盖章、装订的；</w:t>
      </w:r>
    </w:p>
    <w:p w14:paraId="0138EA0A">
      <w:pPr>
        <w:pStyle w:val="104"/>
        <w:numPr>
          <w:ilvl w:val="0"/>
          <w:numId w:val="2"/>
        </w:numPr>
        <w:spacing w:line="600" w:lineRule="exact"/>
        <w:ind w:firstLineChars="0"/>
        <w:rPr>
          <w:rFonts w:ascii="宋体" w:hAnsi="宋体" w:cs="宋体"/>
          <w:bCs/>
        </w:rPr>
      </w:pPr>
      <w:r>
        <w:rPr>
          <w:rFonts w:hint="eastAsia" w:ascii="宋体" w:hAnsi="宋体" w:cs="宋体"/>
          <w:bCs/>
        </w:rPr>
        <w:t>不具备磋商文件中规定的资格要求的；</w:t>
      </w:r>
    </w:p>
    <w:p w14:paraId="0E377409">
      <w:pPr>
        <w:pStyle w:val="104"/>
        <w:numPr>
          <w:ilvl w:val="0"/>
          <w:numId w:val="2"/>
        </w:numPr>
        <w:spacing w:line="600" w:lineRule="exact"/>
        <w:ind w:firstLineChars="0"/>
        <w:rPr>
          <w:rFonts w:ascii="宋体" w:hAnsi="宋体" w:cs="宋体"/>
          <w:bCs/>
        </w:rPr>
      </w:pPr>
      <w:r>
        <w:rPr>
          <w:rFonts w:hint="eastAsia" w:ascii="宋体" w:hAnsi="宋体" w:cs="宋体"/>
          <w:bCs/>
        </w:rPr>
        <w:t>报价超过磋商文件中规定的预算金额或者最高限价的；</w:t>
      </w:r>
    </w:p>
    <w:p w14:paraId="4C977BA8">
      <w:pPr>
        <w:pStyle w:val="104"/>
        <w:numPr>
          <w:ilvl w:val="0"/>
          <w:numId w:val="2"/>
        </w:numPr>
        <w:spacing w:line="600" w:lineRule="exact"/>
        <w:ind w:firstLineChars="0"/>
        <w:rPr>
          <w:rFonts w:ascii="宋体" w:hAnsi="宋体" w:cs="宋体"/>
          <w:bCs/>
        </w:rPr>
      </w:pPr>
      <w:r>
        <w:rPr>
          <w:rFonts w:hint="eastAsia" w:ascii="宋体" w:hAnsi="宋体" w:cs="宋体"/>
          <w:bCs/>
        </w:rPr>
        <w:t>响应文件含有采购人不能接受的附加条件的；</w:t>
      </w:r>
    </w:p>
    <w:p w14:paraId="7BDAE2B6">
      <w:pPr>
        <w:pStyle w:val="104"/>
        <w:numPr>
          <w:ilvl w:val="0"/>
          <w:numId w:val="2"/>
        </w:numPr>
        <w:spacing w:line="600" w:lineRule="exact"/>
        <w:ind w:firstLineChars="0"/>
        <w:rPr>
          <w:rFonts w:ascii="宋体" w:hAnsi="宋体" w:cs="宋体"/>
          <w:bCs/>
        </w:rPr>
      </w:pPr>
      <w:r>
        <w:rPr>
          <w:rFonts w:hint="eastAsia" w:ascii="宋体" w:hAnsi="宋体" w:cs="宋体"/>
          <w:bCs/>
        </w:rPr>
        <w:t>响应的总报价金额</w:t>
      </w:r>
      <w:r>
        <w:rPr>
          <w:rFonts w:hint="eastAsia" w:ascii="宋体" w:hAnsi="宋体" w:cs="宋体"/>
          <w:szCs w:val="24"/>
        </w:rPr>
        <w:t>恶意报低价，且无法提供有效的合理报价证明材料；</w:t>
      </w:r>
    </w:p>
    <w:p w14:paraId="3F5D2B63">
      <w:pPr>
        <w:pStyle w:val="104"/>
        <w:numPr>
          <w:ilvl w:val="0"/>
          <w:numId w:val="2"/>
        </w:numPr>
        <w:spacing w:line="600" w:lineRule="exact"/>
        <w:ind w:firstLineChars="0"/>
        <w:rPr>
          <w:rFonts w:ascii="宋体" w:hAnsi="宋体" w:cs="宋体"/>
          <w:bCs/>
        </w:rPr>
      </w:pPr>
      <w:r>
        <w:rPr>
          <w:rFonts w:hint="eastAsia" w:ascii="宋体" w:hAnsi="宋体" w:cs="宋体"/>
          <w:bCs/>
        </w:rPr>
        <w:t>法律、法规和磋商文件规定的其他无效情形。</w:t>
      </w:r>
    </w:p>
    <w:p w14:paraId="0ABC26DF">
      <w:pPr>
        <w:spacing w:line="600" w:lineRule="exact"/>
        <w:ind w:firstLine="480" w:firstLineChars="200"/>
        <w:rPr>
          <w:rFonts w:ascii="宋体" w:hAnsi="宋体" w:cs="宋体"/>
          <w:bCs/>
        </w:rPr>
      </w:pPr>
      <w:r>
        <w:rPr>
          <w:rFonts w:hint="eastAsia" w:ascii="宋体" w:hAnsi="宋体" w:cs="宋体"/>
          <w:bCs/>
        </w:rPr>
        <w:t>4、已提交响应文件的供应商，在提交最终报价之前，可以根据磋商情况退出磋商。</w:t>
      </w:r>
    </w:p>
    <w:p w14:paraId="571D6CC6">
      <w:pPr>
        <w:spacing w:line="600" w:lineRule="exact"/>
        <w:ind w:firstLine="480" w:firstLineChars="200"/>
        <w:rPr>
          <w:rFonts w:ascii="宋体" w:hAnsi="宋体" w:cs="宋体"/>
          <w:bCs/>
        </w:rPr>
      </w:pPr>
      <w:r>
        <w:rPr>
          <w:rFonts w:hint="eastAsia" w:ascii="宋体" w:hAnsi="宋体" w:cs="宋体"/>
          <w:bCs/>
        </w:rPr>
        <w:t>5、判断响应文件的响应与否只根据响应文件本身，而不寻求外部证据。</w:t>
      </w:r>
    </w:p>
    <w:p w14:paraId="17539EAA">
      <w:pPr>
        <w:snapToGrid w:val="0"/>
        <w:spacing w:line="600" w:lineRule="exact"/>
        <w:jc w:val="left"/>
        <w:outlineLvl w:val="1"/>
        <w:rPr>
          <w:rFonts w:ascii="宋体" w:hAnsi="宋体" w:cs="宋体"/>
          <w:b/>
          <w:kern w:val="0"/>
        </w:rPr>
      </w:pPr>
      <w:r>
        <w:rPr>
          <w:rFonts w:hint="eastAsia" w:ascii="宋体" w:hAnsi="宋体" w:cs="宋体"/>
          <w:b/>
          <w:kern w:val="0"/>
        </w:rPr>
        <w:t>四、详细评审</w:t>
      </w:r>
    </w:p>
    <w:p w14:paraId="5C244A52">
      <w:pPr>
        <w:spacing w:line="600" w:lineRule="exact"/>
        <w:ind w:firstLine="480" w:firstLineChars="200"/>
        <w:rPr>
          <w:rFonts w:ascii="宋体" w:hAnsi="宋体" w:cs="宋体"/>
          <w:bCs/>
        </w:rPr>
      </w:pPr>
      <w:r>
        <w:rPr>
          <w:rFonts w:hint="eastAsia" w:ascii="宋体" w:hAnsi="宋体" w:cs="宋体"/>
          <w:bCs/>
        </w:rPr>
        <w:t>1、在磋商过程中，磋商小组可以根据磋商情况实质性变动采购需求中的技术、服务内容以及合同草案条款，但不得变动磋商文件中的其他内容。实质性变动的内容，须经采购人的代表确认。对磋商文件作出的实质性变动是磋商文件的有效组成部分，磋商小组应当及时以书面形式同时通知所有参加磋商的供应商。供应商应当按照磋商文件的变动情况和磋商小组的要求重新提交响应文件，并由其法定代表人或授权代表签字或者加盖公章。由授权代表签字的，应当附授权书。供应商为自然人的，应当由本人签字并附身份证明。</w:t>
      </w:r>
    </w:p>
    <w:p w14:paraId="07128FBD">
      <w:pPr>
        <w:spacing w:line="600" w:lineRule="exact"/>
        <w:ind w:firstLine="480" w:firstLineChars="200"/>
        <w:rPr>
          <w:rFonts w:ascii="宋体" w:hAnsi="宋体" w:cs="宋体"/>
          <w:bCs/>
        </w:rPr>
      </w:pPr>
      <w:r>
        <w:rPr>
          <w:rFonts w:hint="eastAsia" w:ascii="宋体" w:hAnsi="宋体" w:cs="宋体"/>
          <w:bCs/>
        </w:rPr>
        <w:t>2、磋商小组依次与通过步审查的供应商代表进行磋商，经磋商确定最终采购需求后，采购代理公司现场提供最终报价函给供应商代表现场填写最终报价提交，由磋商小组对提交最终报价的供应商的响应文件和最终评审报价进行综合评分。</w:t>
      </w:r>
    </w:p>
    <w:p w14:paraId="0CA995C3">
      <w:pPr>
        <w:spacing w:line="600" w:lineRule="exact"/>
        <w:ind w:firstLine="480" w:firstLineChars="200"/>
        <w:rPr>
          <w:rFonts w:ascii="宋体" w:hAnsi="宋体" w:cs="宋体"/>
          <w:bCs/>
        </w:rPr>
      </w:pPr>
      <w:r>
        <w:rPr>
          <w:rFonts w:hint="eastAsia" w:ascii="宋体" w:hAnsi="宋体" w:cs="宋体"/>
          <w:bCs/>
        </w:rPr>
        <w:t>3、磋商小组只对实质上响应磋商文件的响应进行评价和比较；评审应严格按照磋商文件的要求和条件进行。</w:t>
      </w:r>
    </w:p>
    <w:p w14:paraId="1BC91A5C">
      <w:pPr>
        <w:spacing w:line="600" w:lineRule="exact"/>
        <w:ind w:firstLine="480" w:firstLineChars="200"/>
        <w:rPr>
          <w:rFonts w:ascii="宋体" w:hAnsi="宋体" w:cs="宋体"/>
          <w:b/>
        </w:rPr>
      </w:pPr>
      <w:r>
        <w:rPr>
          <w:rFonts w:hint="eastAsia" w:ascii="宋体" w:hAnsi="宋体" w:cs="宋体"/>
          <w:bCs/>
        </w:rPr>
        <w:t>4、</w:t>
      </w:r>
      <w:r>
        <w:rPr>
          <w:rFonts w:hint="eastAsia" w:ascii="宋体" w:hAnsi="宋体" w:cs="宋体"/>
          <w:b/>
        </w:rPr>
        <w:t>根据《关于在相关自由贸易试验区和自由贸易港开展推动解决政府采购异常低价问题试点工作的通知》，政府采购评审中出现下列情形之一的，评审委员会应当启动异常低价投标（响应）审查程序： （1）合计响应报价低于全部通过符合性审查供应商响应报价平均值50%的，即合计响应报价&lt;全部通过符合性审查供应商响应报价平均值×50%。 （2）合计响应报价低于通过符合性审查且报价次低供应商响应报价50%的，即合计响应报价&lt;通过符合性审查且报价次低供应商响应报价×50%。 （3）合计响应报价低于最高限价45%的，即合计响应报价&lt;最高限价×45%。 （4）其他评审委员会认为供应商报价过低，有可能影响产品质量或者不能诚信履约的情形。 评审委员会启动异常低价投标（响应）审查后，应当要求相关供应商在评审现场合理的时间内提供书面说明及必要的证明材料，对投标（响应）价格作出解释。</w:t>
      </w:r>
    </w:p>
    <w:p w14:paraId="054B7D18">
      <w:pPr>
        <w:snapToGrid w:val="0"/>
        <w:spacing w:line="600" w:lineRule="exact"/>
        <w:jc w:val="left"/>
        <w:outlineLvl w:val="1"/>
        <w:rPr>
          <w:rFonts w:ascii="宋体" w:hAnsi="宋体" w:cs="宋体"/>
          <w:b/>
          <w:kern w:val="0"/>
        </w:rPr>
      </w:pPr>
      <w:r>
        <w:rPr>
          <w:rFonts w:hint="eastAsia" w:ascii="宋体" w:hAnsi="宋体" w:cs="宋体"/>
          <w:b/>
          <w:kern w:val="0"/>
        </w:rPr>
        <w:t>五、确定成交供应商</w:t>
      </w:r>
    </w:p>
    <w:p w14:paraId="12387C48">
      <w:pPr>
        <w:spacing w:line="600" w:lineRule="exact"/>
        <w:ind w:firstLine="480" w:firstLineChars="200"/>
        <w:rPr>
          <w:rFonts w:ascii="宋体" w:hAnsi="宋体" w:cs="宋体"/>
          <w:bCs/>
        </w:rPr>
      </w:pPr>
      <w:r>
        <w:rPr>
          <w:rFonts w:hint="eastAsia" w:ascii="宋体" w:hAnsi="宋体" w:cs="宋体"/>
          <w:bCs/>
        </w:rPr>
        <w:t>1、磋商小组应当根据评审情况，按照评审标准推荐成交候选人。</w:t>
      </w:r>
    </w:p>
    <w:p w14:paraId="395DBBAE">
      <w:pPr>
        <w:spacing w:line="600" w:lineRule="exact"/>
        <w:ind w:firstLine="480" w:firstLineChars="200"/>
        <w:rPr>
          <w:rFonts w:ascii="宋体" w:hAnsi="宋体" w:cs="宋体"/>
          <w:b/>
        </w:rPr>
      </w:pPr>
      <w:r>
        <w:rPr>
          <w:rFonts w:hint="eastAsia" w:ascii="宋体" w:hAnsi="宋体" w:cs="宋体"/>
          <w:bCs/>
        </w:rPr>
        <w:t>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bookmarkEnd w:id="84"/>
    </w:p>
    <w:p w14:paraId="68EBC355">
      <w:pPr>
        <w:snapToGrid w:val="0"/>
        <w:spacing w:line="600" w:lineRule="exact"/>
        <w:jc w:val="left"/>
        <w:rPr>
          <w:rFonts w:ascii="宋体" w:hAnsi="宋体" w:cs="宋体"/>
          <w:b/>
        </w:rPr>
      </w:pPr>
      <w:r>
        <w:rPr>
          <w:rFonts w:hint="eastAsia" w:ascii="宋体" w:hAnsi="宋体" w:cs="宋体"/>
          <w:b/>
        </w:rPr>
        <w:t>表1：初步审查表</w:t>
      </w:r>
    </w:p>
    <w:tbl>
      <w:tblPr>
        <w:tblStyle w:val="26"/>
        <w:tblpPr w:leftFromText="180" w:rightFromText="180" w:vertAnchor="text" w:tblpX="26" w:tblpY="1"/>
        <w:tblOverlap w:val="never"/>
        <w:tblW w:w="87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635"/>
        <w:gridCol w:w="2236"/>
        <w:gridCol w:w="5062"/>
        <w:gridCol w:w="840"/>
      </w:tblGrid>
      <w:tr w14:paraId="2799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413" w:hRule="atLeast"/>
          <w:tblHeader/>
        </w:trPr>
        <w:tc>
          <w:tcPr>
            <w:tcW w:w="635" w:type="dxa"/>
            <w:vAlign w:val="center"/>
          </w:tcPr>
          <w:p w14:paraId="42D4EEC4">
            <w:pPr>
              <w:snapToGrid w:val="0"/>
              <w:spacing w:line="600" w:lineRule="exact"/>
              <w:jc w:val="center"/>
              <w:rPr>
                <w:rFonts w:ascii="宋体" w:hAnsi="宋体" w:cs="宋体"/>
                <w:b/>
                <w:sz w:val="21"/>
                <w:szCs w:val="21"/>
              </w:rPr>
            </w:pPr>
            <w:bookmarkStart w:id="85" w:name="_Hlk496220134"/>
            <w:r>
              <w:rPr>
                <w:rFonts w:hint="eastAsia" w:ascii="宋体" w:hAnsi="宋体" w:cs="宋体"/>
                <w:b/>
                <w:sz w:val="21"/>
                <w:szCs w:val="21"/>
              </w:rPr>
              <w:t>序号</w:t>
            </w:r>
          </w:p>
        </w:tc>
        <w:tc>
          <w:tcPr>
            <w:tcW w:w="2236" w:type="dxa"/>
            <w:vAlign w:val="center"/>
          </w:tcPr>
          <w:p w14:paraId="2B8349A4">
            <w:pPr>
              <w:snapToGrid w:val="0"/>
              <w:spacing w:line="600" w:lineRule="exact"/>
              <w:rPr>
                <w:rFonts w:ascii="宋体" w:hAnsi="宋体" w:cs="宋体"/>
                <w:b/>
                <w:sz w:val="21"/>
                <w:szCs w:val="21"/>
              </w:rPr>
            </w:pPr>
            <w:r>
              <w:rPr>
                <w:rFonts w:hint="eastAsia" w:ascii="宋体" w:hAnsi="宋体" w:cs="宋体"/>
                <w:b/>
                <w:sz w:val="21"/>
                <w:szCs w:val="21"/>
              </w:rPr>
              <w:t>审查项目</w:t>
            </w:r>
          </w:p>
        </w:tc>
        <w:tc>
          <w:tcPr>
            <w:tcW w:w="5062" w:type="dxa"/>
            <w:vAlign w:val="center"/>
          </w:tcPr>
          <w:p w14:paraId="6258DDEB">
            <w:pPr>
              <w:snapToGrid w:val="0"/>
              <w:spacing w:line="600" w:lineRule="exact"/>
              <w:rPr>
                <w:rFonts w:ascii="宋体" w:hAnsi="宋体" w:cs="宋体"/>
                <w:b/>
                <w:sz w:val="21"/>
                <w:szCs w:val="21"/>
              </w:rPr>
            </w:pPr>
            <w:r>
              <w:rPr>
                <w:rFonts w:hint="eastAsia" w:ascii="宋体" w:hAnsi="宋体" w:cs="宋体"/>
                <w:b/>
                <w:sz w:val="21"/>
                <w:szCs w:val="21"/>
              </w:rPr>
              <w:t>评审标准</w:t>
            </w:r>
          </w:p>
        </w:tc>
        <w:tc>
          <w:tcPr>
            <w:tcW w:w="840" w:type="dxa"/>
            <w:vAlign w:val="center"/>
          </w:tcPr>
          <w:p w14:paraId="0B5333D5">
            <w:pPr>
              <w:snapToGrid w:val="0"/>
              <w:spacing w:line="600" w:lineRule="exact"/>
              <w:rPr>
                <w:rFonts w:ascii="宋体" w:hAnsi="宋体" w:cs="宋体"/>
                <w:b/>
                <w:sz w:val="21"/>
                <w:szCs w:val="21"/>
              </w:rPr>
            </w:pPr>
            <w:r>
              <w:rPr>
                <w:rFonts w:hint="eastAsia" w:ascii="宋体" w:hAnsi="宋体" w:cs="宋体"/>
                <w:b/>
                <w:sz w:val="21"/>
                <w:szCs w:val="21"/>
              </w:rPr>
              <w:t>供应商</w:t>
            </w:r>
          </w:p>
        </w:tc>
      </w:tr>
      <w:tr w14:paraId="7145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419" w:hRule="atLeast"/>
          <w:tblHeader/>
        </w:trPr>
        <w:tc>
          <w:tcPr>
            <w:tcW w:w="635" w:type="dxa"/>
            <w:vAlign w:val="center"/>
          </w:tcPr>
          <w:p w14:paraId="0E6B03C3">
            <w:pPr>
              <w:pStyle w:val="104"/>
              <w:numPr>
                <w:ilvl w:val="0"/>
                <w:numId w:val="3"/>
              </w:numPr>
              <w:snapToGrid w:val="0"/>
              <w:spacing w:line="600" w:lineRule="exact"/>
              <w:ind w:left="0" w:firstLine="0" w:firstLineChars="0"/>
              <w:jc w:val="center"/>
              <w:rPr>
                <w:rFonts w:ascii="宋体" w:hAnsi="宋体" w:cs="宋体"/>
                <w:szCs w:val="24"/>
              </w:rPr>
            </w:pPr>
          </w:p>
        </w:tc>
        <w:tc>
          <w:tcPr>
            <w:tcW w:w="2236" w:type="dxa"/>
            <w:vAlign w:val="center"/>
          </w:tcPr>
          <w:p w14:paraId="60F381FA">
            <w:pPr>
              <w:snapToGrid w:val="0"/>
              <w:spacing w:line="600" w:lineRule="exact"/>
              <w:rPr>
                <w:rFonts w:ascii="宋体" w:hAnsi="宋体" w:cs="宋体"/>
              </w:rPr>
            </w:pPr>
            <w:r>
              <w:rPr>
                <w:rFonts w:hint="eastAsia" w:ascii="宋体" w:hAnsi="宋体" w:cs="宋体"/>
              </w:rPr>
              <w:t>供应商的资格</w:t>
            </w:r>
          </w:p>
        </w:tc>
        <w:tc>
          <w:tcPr>
            <w:tcW w:w="5062" w:type="dxa"/>
            <w:vAlign w:val="center"/>
          </w:tcPr>
          <w:p w14:paraId="32F7D93C">
            <w:pPr>
              <w:snapToGrid w:val="0"/>
              <w:spacing w:line="600" w:lineRule="exact"/>
              <w:rPr>
                <w:rFonts w:ascii="宋体" w:hAnsi="宋体" w:cs="宋体"/>
              </w:rPr>
            </w:pPr>
            <w:r>
              <w:rPr>
                <w:rFonts w:hint="eastAsia" w:ascii="宋体" w:hAnsi="宋体" w:cs="宋体"/>
              </w:rPr>
              <w:t>符合供应商资格要求</w:t>
            </w:r>
          </w:p>
        </w:tc>
        <w:tc>
          <w:tcPr>
            <w:tcW w:w="840" w:type="dxa"/>
            <w:vAlign w:val="center"/>
          </w:tcPr>
          <w:p w14:paraId="3AB0C82B">
            <w:pPr>
              <w:snapToGrid w:val="0"/>
              <w:spacing w:line="600" w:lineRule="exact"/>
              <w:rPr>
                <w:rFonts w:ascii="宋体" w:hAnsi="宋体" w:cs="宋体"/>
                <w:b/>
              </w:rPr>
            </w:pPr>
          </w:p>
        </w:tc>
      </w:tr>
      <w:tr w14:paraId="6B77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96" w:hRule="atLeast"/>
          <w:tblHeader/>
        </w:trPr>
        <w:tc>
          <w:tcPr>
            <w:tcW w:w="635" w:type="dxa"/>
            <w:vAlign w:val="center"/>
          </w:tcPr>
          <w:p w14:paraId="365BEE6B">
            <w:pPr>
              <w:pStyle w:val="104"/>
              <w:numPr>
                <w:ilvl w:val="0"/>
                <w:numId w:val="3"/>
              </w:numPr>
              <w:snapToGrid w:val="0"/>
              <w:spacing w:line="600" w:lineRule="exact"/>
              <w:ind w:left="0" w:firstLine="0" w:firstLineChars="0"/>
              <w:jc w:val="center"/>
              <w:rPr>
                <w:rFonts w:ascii="宋体" w:hAnsi="宋体" w:cs="宋体"/>
                <w:szCs w:val="24"/>
              </w:rPr>
            </w:pPr>
          </w:p>
        </w:tc>
        <w:tc>
          <w:tcPr>
            <w:tcW w:w="2236" w:type="dxa"/>
            <w:vAlign w:val="center"/>
          </w:tcPr>
          <w:p w14:paraId="6AC4290B">
            <w:pPr>
              <w:snapToGrid w:val="0"/>
              <w:spacing w:line="600" w:lineRule="exact"/>
              <w:rPr>
                <w:rFonts w:ascii="宋体" w:hAnsi="宋体" w:cs="宋体"/>
              </w:rPr>
            </w:pPr>
            <w:r>
              <w:rPr>
                <w:rFonts w:hint="eastAsia" w:ascii="宋体" w:hAnsi="宋体" w:cs="宋体"/>
                <w:bCs/>
              </w:rPr>
              <w:t>响应文件的有效性、完整性</w:t>
            </w:r>
          </w:p>
        </w:tc>
        <w:tc>
          <w:tcPr>
            <w:tcW w:w="5062" w:type="dxa"/>
            <w:vAlign w:val="center"/>
          </w:tcPr>
          <w:p w14:paraId="2DECA889">
            <w:pPr>
              <w:snapToGrid w:val="0"/>
              <w:spacing w:line="600" w:lineRule="exact"/>
              <w:rPr>
                <w:rFonts w:ascii="宋体" w:hAnsi="宋体" w:cs="宋体"/>
              </w:rPr>
            </w:pPr>
            <w:r>
              <w:rPr>
                <w:rFonts w:hint="eastAsia" w:ascii="宋体" w:hAnsi="宋体" w:cs="宋体"/>
              </w:rPr>
              <w:t>符合磋商文件的格式和签署要求且内容完整无缺漏</w:t>
            </w:r>
          </w:p>
        </w:tc>
        <w:tc>
          <w:tcPr>
            <w:tcW w:w="840" w:type="dxa"/>
            <w:vAlign w:val="center"/>
          </w:tcPr>
          <w:p w14:paraId="0C4F0810">
            <w:pPr>
              <w:snapToGrid w:val="0"/>
              <w:spacing w:line="600" w:lineRule="exact"/>
              <w:ind w:firstLine="480" w:firstLineChars="200"/>
              <w:rPr>
                <w:rFonts w:ascii="宋体" w:hAnsi="宋体" w:cs="宋体"/>
                <w:kern w:val="0"/>
              </w:rPr>
            </w:pPr>
          </w:p>
        </w:tc>
      </w:tr>
      <w:tr w14:paraId="54D3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96" w:hRule="atLeast"/>
          <w:tblHeader/>
        </w:trPr>
        <w:tc>
          <w:tcPr>
            <w:tcW w:w="635" w:type="dxa"/>
            <w:vAlign w:val="center"/>
          </w:tcPr>
          <w:p w14:paraId="5E0B091F">
            <w:pPr>
              <w:pStyle w:val="104"/>
              <w:numPr>
                <w:ilvl w:val="0"/>
                <w:numId w:val="3"/>
              </w:numPr>
              <w:snapToGrid w:val="0"/>
              <w:spacing w:line="600" w:lineRule="exact"/>
              <w:ind w:left="0" w:firstLine="0" w:firstLineChars="0"/>
              <w:jc w:val="center"/>
              <w:rPr>
                <w:rFonts w:ascii="宋体" w:hAnsi="宋体" w:cs="宋体"/>
                <w:szCs w:val="24"/>
              </w:rPr>
            </w:pPr>
          </w:p>
        </w:tc>
        <w:tc>
          <w:tcPr>
            <w:tcW w:w="2236" w:type="dxa"/>
            <w:vAlign w:val="center"/>
          </w:tcPr>
          <w:p w14:paraId="2409331F">
            <w:pPr>
              <w:snapToGrid w:val="0"/>
              <w:spacing w:line="600" w:lineRule="exact"/>
              <w:rPr>
                <w:rFonts w:ascii="宋体" w:hAnsi="宋体" w:cs="宋体"/>
              </w:rPr>
            </w:pPr>
            <w:r>
              <w:rPr>
                <w:rFonts w:hint="eastAsia" w:ascii="宋体" w:hAnsi="宋体" w:cs="宋体"/>
              </w:rPr>
              <w:t>响应报价</w:t>
            </w:r>
          </w:p>
        </w:tc>
        <w:tc>
          <w:tcPr>
            <w:tcW w:w="5062" w:type="dxa"/>
            <w:vAlign w:val="center"/>
          </w:tcPr>
          <w:p w14:paraId="0EA9F3E3">
            <w:pPr>
              <w:snapToGrid w:val="0"/>
              <w:spacing w:line="600" w:lineRule="exact"/>
              <w:rPr>
                <w:rFonts w:ascii="宋体" w:hAnsi="宋体" w:cs="宋体"/>
              </w:rPr>
            </w:pPr>
            <w:r>
              <w:rPr>
                <w:rFonts w:hint="eastAsia" w:ascii="宋体" w:hAnsi="宋体" w:cs="宋体"/>
              </w:rPr>
              <w:t>对本项目的内容进行响应，未超过预算金额（最高限价），报价合理</w:t>
            </w:r>
          </w:p>
        </w:tc>
        <w:tc>
          <w:tcPr>
            <w:tcW w:w="840" w:type="dxa"/>
            <w:vAlign w:val="center"/>
          </w:tcPr>
          <w:p w14:paraId="7B8329A3">
            <w:pPr>
              <w:snapToGrid w:val="0"/>
              <w:spacing w:line="600" w:lineRule="exact"/>
              <w:ind w:firstLine="480" w:firstLineChars="200"/>
              <w:rPr>
                <w:rFonts w:ascii="宋体" w:hAnsi="宋体" w:cs="宋体"/>
                <w:kern w:val="0"/>
              </w:rPr>
            </w:pPr>
          </w:p>
        </w:tc>
      </w:tr>
      <w:tr w14:paraId="4345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96" w:hRule="atLeast"/>
          <w:tblHeader/>
        </w:trPr>
        <w:tc>
          <w:tcPr>
            <w:tcW w:w="635" w:type="dxa"/>
            <w:vAlign w:val="center"/>
          </w:tcPr>
          <w:p w14:paraId="7C85328F">
            <w:pPr>
              <w:pStyle w:val="104"/>
              <w:numPr>
                <w:ilvl w:val="0"/>
                <w:numId w:val="3"/>
              </w:numPr>
              <w:snapToGrid w:val="0"/>
              <w:spacing w:line="600" w:lineRule="exact"/>
              <w:ind w:left="0" w:firstLine="0" w:firstLineChars="0"/>
              <w:jc w:val="center"/>
              <w:rPr>
                <w:rFonts w:ascii="宋体" w:hAnsi="宋体" w:cs="宋体"/>
                <w:szCs w:val="24"/>
              </w:rPr>
            </w:pPr>
          </w:p>
        </w:tc>
        <w:tc>
          <w:tcPr>
            <w:tcW w:w="2236" w:type="dxa"/>
            <w:shd w:val="clear" w:color="auto" w:fill="auto"/>
            <w:vAlign w:val="center"/>
          </w:tcPr>
          <w:p w14:paraId="11C18485">
            <w:pPr>
              <w:snapToGrid w:val="0"/>
              <w:spacing w:line="600" w:lineRule="exact"/>
              <w:rPr>
                <w:rFonts w:ascii="宋体" w:hAnsi="宋体" w:cs="宋体"/>
              </w:rPr>
            </w:pPr>
            <w:r>
              <w:rPr>
                <w:rFonts w:hint="eastAsia" w:ascii="宋体" w:hAnsi="宋体" w:cs="宋体"/>
              </w:rPr>
              <w:t>磋商有效期</w:t>
            </w:r>
          </w:p>
        </w:tc>
        <w:tc>
          <w:tcPr>
            <w:tcW w:w="5062" w:type="dxa"/>
            <w:shd w:val="clear" w:color="auto" w:fill="auto"/>
            <w:vAlign w:val="center"/>
          </w:tcPr>
          <w:p w14:paraId="67D7F95A">
            <w:pPr>
              <w:snapToGrid w:val="0"/>
              <w:spacing w:line="600" w:lineRule="exact"/>
              <w:rPr>
                <w:rFonts w:ascii="宋体" w:hAnsi="宋体" w:cs="宋体"/>
              </w:rPr>
            </w:pPr>
            <w:r>
              <w:rPr>
                <w:rFonts w:hint="eastAsia" w:ascii="宋体" w:hAnsi="宋体" w:cs="宋体"/>
              </w:rPr>
              <w:t>满足磋商文件要求</w:t>
            </w:r>
          </w:p>
        </w:tc>
        <w:tc>
          <w:tcPr>
            <w:tcW w:w="840" w:type="dxa"/>
            <w:vAlign w:val="center"/>
          </w:tcPr>
          <w:p w14:paraId="756FBD26">
            <w:pPr>
              <w:snapToGrid w:val="0"/>
              <w:spacing w:line="600" w:lineRule="exact"/>
              <w:ind w:firstLine="480" w:firstLineChars="200"/>
              <w:rPr>
                <w:rFonts w:ascii="宋体" w:hAnsi="宋体" w:cs="宋体"/>
                <w:kern w:val="0"/>
              </w:rPr>
            </w:pPr>
          </w:p>
        </w:tc>
      </w:tr>
      <w:tr w14:paraId="1C16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416" w:hRule="atLeast"/>
          <w:tblHeader/>
        </w:trPr>
        <w:tc>
          <w:tcPr>
            <w:tcW w:w="635" w:type="dxa"/>
            <w:vAlign w:val="center"/>
          </w:tcPr>
          <w:p w14:paraId="6E3EDECC">
            <w:pPr>
              <w:pStyle w:val="104"/>
              <w:numPr>
                <w:ilvl w:val="0"/>
                <w:numId w:val="3"/>
              </w:numPr>
              <w:snapToGrid w:val="0"/>
              <w:spacing w:line="600" w:lineRule="exact"/>
              <w:ind w:left="0" w:firstLine="0" w:firstLineChars="0"/>
              <w:jc w:val="center"/>
              <w:rPr>
                <w:rFonts w:ascii="宋体" w:hAnsi="宋体" w:cs="宋体"/>
                <w:szCs w:val="24"/>
              </w:rPr>
            </w:pPr>
          </w:p>
        </w:tc>
        <w:tc>
          <w:tcPr>
            <w:tcW w:w="2236" w:type="dxa"/>
            <w:shd w:val="clear" w:color="auto" w:fill="auto"/>
            <w:vAlign w:val="center"/>
          </w:tcPr>
          <w:p w14:paraId="6A51A9BA">
            <w:pPr>
              <w:snapToGrid w:val="0"/>
              <w:spacing w:line="600" w:lineRule="exact"/>
              <w:rPr>
                <w:rFonts w:ascii="宋体" w:hAnsi="宋体" w:cs="宋体"/>
              </w:rPr>
            </w:pPr>
            <w:r>
              <w:rPr>
                <w:rFonts w:hint="eastAsia" w:ascii="宋体" w:hAnsi="宋体" w:cs="宋体"/>
              </w:rPr>
              <w:t>响应文件数量</w:t>
            </w:r>
          </w:p>
        </w:tc>
        <w:tc>
          <w:tcPr>
            <w:tcW w:w="5062" w:type="dxa"/>
            <w:shd w:val="clear" w:color="auto" w:fill="auto"/>
            <w:vAlign w:val="center"/>
          </w:tcPr>
          <w:p w14:paraId="2CF6EAEF">
            <w:pPr>
              <w:widowControl/>
              <w:tabs>
                <w:tab w:val="left" w:pos="360"/>
              </w:tabs>
              <w:snapToGrid w:val="0"/>
              <w:spacing w:line="600" w:lineRule="exact"/>
              <w:rPr>
                <w:rFonts w:ascii="宋体" w:hAnsi="宋体" w:cs="宋体"/>
              </w:rPr>
            </w:pPr>
            <w:r>
              <w:rPr>
                <w:rFonts w:hint="eastAsia" w:ascii="宋体" w:hAnsi="宋体" w:cs="宋体"/>
              </w:rPr>
              <w:t>满足磋商文件要求</w:t>
            </w:r>
          </w:p>
        </w:tc>
        <w:tc>
          <w:tcPr>
            <w:tcW w:w="840" w:type="dxa"/>
            <w:vAlign w:val="center"/>
          </w:tcPr>
          <w:p w14:paraId="46281166">
            <w:pPr>
              <w:snapToGrid w:val="0"/>
              <w:spacing w:line="600" w:lineRule="exact"/>
              <w:ind w:firstLine="480" w:firstLineChars="200"/>
              <w:rPr>
                <w:rFonts w:ascii="宋体" w:hAnsi="宋体" w:cs="宋体"/>
                <w:kern w:val="0"/>
              </w:rPr>
            </w:pPr>
          </w:p>
        </w:tc>
      </w:tr>
      <w:tr w14:paraId="607A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76" w:hRule="exact"/>
        </w:trPr>
        <w:tc>
          <w:tcPr>
            <w:tcW w:w="635" w:type="dxa"/>
            <w:vAlign w:val="center"/>
          </w:tcPr>
          <w:p w14:paraId="79EF1C72">
            <w:pPr>
              <w:pStyle w:val="104"/>
              <w:numPr>
                <w:ilvl w:val="0"/>
                <w:numId w:val="3"/>
              </w:numPr>
              <w:snapToGrid w:val="0"/>
              <w:spacing w:line="600" w:lineRule="exact"/>
              <w:ind w:left="0" w:firstLine="0" w:firstLineChars="0"/>
              <w:jc w:val="center"/>
              <w:rPr>
                <w:rFonts w:ascii="宋体" w:hAnsi="宋体" w:cs="宋体"/>
                <w:szCs w:val="24"/>
              </w:rPr>
            </w:pPr>
          </w:p>
        </w:tc>
        <w:tc>
          <w:tcPr>
            <w:tcW w:w="2236" w:type="dxa"/>
            <w:shd w:val="clear" w:color="auto" w:fill="auto"/>
            <w:vAlign w:val="center"/>
          </w:tcPr>
          <w:p w14:paraId="367663D5">
            <w:pPr>
              <w:snapToGrid w:val="0"/>
              <w:spacing w:line="600" w:lineRule="exact"/>
              <w:rPr>
                <w:rFonts w:ascii="宋体" w:hAnsi="宋体" w:cs="宋体"/>
              </w:rPr>
            </w:pPr>
            <w:r>
              <w:rPr>
                <w:rFonts w:hint="eastAsia" w:ascii="宋体" w:hAnsi="宋体" w:cs="宋体"/>
              </w:rPr>
              <w:t>保证金</w:t>
            </w:r>
          </w:p>
        </w:tc>
        <w:tc>
          <w:tcPr>
            <w:tcW w:w="5062" w:type="dxa"/>
            <w:shd w:val="clear" w:color="auto" w:fill="auto"/>
            <w:vAlign w:val="center"/>
          </w:tcPr>
          <w:p w14:paraId="32CEEC86">
            <w:pPr>
              <w:widowControl/>
              <w:tabs>
                <w:tab w:val="left" w:pos="360"/>
              </w:tabs>
              <w:snapToGrid w:val="0"/>
              <w:spacing w:line="600" w:lineRule="exact"/>
              <w:rPr>
                <w:rFonts w:ascii="宋体" w:hAnsi="宋体" w:cs="宋体"/>
              </w:rPr>
            </w:pPr>
            <w:r>
              <w:rPr>
                <w:rFonts w:hint="eastAsia" w:ascii="宋体" w:hAnsi="宋体" w:cs="宋体"/>
              </w:rPr>
              <w:t>满足磋商文件要求</w:t>
            </w:r>
          </w:p>
        </w:tc>
        <w:tc>
          <w:tcPr>
            <w:tcW w:w="840" w:type="dxa"/>
            <w:vAlign w:val="center"/>
          </w:tcPr>
          <w:p w14:paraId="7DF872C0">
            <w:pPr>
              <w:snapToGrid w:val="0"/>
              <w:spacing w:line="600" w:lineRule="exact"/>
              <w:ind w:firstLine="480" w:firstLineChars="200"/>
              <w:rPr>
                <w:rFonts w:ascii="宋体" w:hAnsi="宋体" w:cs="宋体"/>
                <w:kern w:val="0"/>
              </w:rPr>
            </w:pPr>
          </w:p>
        </w:tc>
      </w:tr>
      <w:tr w14:paraId="696D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70" w:hRule="exact"/>
        </w:trPr>
        <w:tc>
          <w:tcPr>
            <w:tcW w:w="635" w:type="dxa"/>
            <w:vAlign w:val="center"/>
          </w:tcPr>
          <w:p w14:paraId="0C7B7510">
            <w:pPr>
              <w:pStyle w:val="104"/>
              <w:numPr>
                <w:ilvl w:val="0"/>
                <w:numId w:val="3"/>
              </w:numPr>
              <w:snapToGrid w:val="0"/>
              <w:spacing w:line="600" w:lineRule="exact"/>
              <w:ind w:left="0" w:firstLine="0" w:firstLineChars="0"/>
              <w:jc w:val="center"/>
              <w:rPr>
                <w:rFonts w:ascii="宋体" w:hAnsi="宋体" w:cs="宋体"/>
                <w:szCs w:val="24"/>
              </w:rPr>
            </w:pPr>
          </w:p>
        </w:tc>
        <w:tc>
          <w:tcPr>
            <w:tcW w:w="2236" w:type="dxa"/>
            <w:vAlign w:val="center"/>
          </w:tcPr>
          <w:p w14:paraId="0B4B25AC">
            <w:pPr>
              <w:snapToGrid w:val="0"/>
              <w:spacing w:line="600" w:lineRule="exact"/>
              <w:rPr>
                <w:rFonts w:ascii="宋体" w:hAnsi="宋体" w:cs="宋体"/>
              </w:rPr>
            </w:pPr>
            <w:r>
              <w:rPr>
                <w:rFonts w:hint="eastAsia" w:ascii="宋体" w:hAnsi="宋体" w:cs="宋体"/>
              </w:rPr>
              <w:t>合同履行期限（服务期限及服务时长）</w:t>
            </w:r>
          </w:p>
        </w:tc>
        <w:tc>
          <w:tcPr>
            <w:tcW w:w="5062" w:type="dxa"/>
            <w:vAlign w:val="center"/>
          </w:tcPr>
          <w:p w14:paraId="4B44080D">
            <w:pPr>
              <w:widowControl/>
              <w:tabs>
                <w:tab w:val="left" w:pos="360"/>
              </w:tabs>
              <w:snapToGrid w:val="0"/>
              <w:spacing w:line="600" w:lineRule="exact"/>
              <w:rPr>
                <w:rFonts w:ascii="宋体" w:hAnsi="宋体" w:cs="宋体"/>
              </w:rPr>
            </w:pPr>
            <w:r>
              <w:rPr>
                <w:rFonts w:hint="eastAsia" w:ascii="宋体" w:hAnsi="宋体" w:cs="宋体"/>
              </w:rPr>
              <w:t>满足磋商文件要求</w:t>
            </w:r>
          </w:p>
        </w:tc>
        <w:tc>
          <w:tcPr>
            <w:tcW w:w="840" w:type="dxa"/>
            <w:vAlign w:val="center"/>
          </w:tcPr>
          <w:p w14:paraId="2D0F32F8">
            <w:pPr>
              <w:snapToGrid w:val="0"/>
              <w:spacing w:line="600" w:lineRule="exact"/>
              <w:ind w:firstLine="480" w:firstLineChars="200"/>
              <w:rPr>
                <w:rFonts w:ascii="宋体" w:hAnsi="宋体" w:cs="宋体"/>
                <w:kern w:val="0"/>
              </w:rPr>
            </w:pPr>
          </w:p>
        </w:tc>
      </w:tr>
      <w:tr w14:paraId="5649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706" w:hRule="exact"/>
        </w:trPr>
        <w:tc>
          <w:tcPr>
            <w:tcW w:w="635" w:type="dxa"/>
            <w:vAlign w:val="center"/>
          </w:tcPr>
          <w:p w14:paraId="0BD9EC7E">
            <w:pPr>
              <w:pStyle w:val="104"/>
              <w:numPr>
                <w:ilvl w:val="0"/>
                <w:numId w:val="3"/>
              </w:numPr>
              <w:snapToGrid w:val="0"/>
              <w:spacing w:line="600" w:lineRule="exact"/>
              <w:ind w:left="0" w:firstLine="0" w:firstLineChars="0"/>
              <w:jc w:val="center"/>
              <w:rPr>
                <w:rFonts w:ascii="宋体" w:hAnsi="宋体" w:cs="宋体"/>
                <w:szCs w:val="24"/>
              </w:rPr>
            </w:pPr>
          </w:p>
        </w:tc>
        <w:tc>
          <w:tcPr>
            <w:tcW w:w="2236" w:type="dxa"/>
            <w:vAlign w:val="center"/>
          </w:tcPr>
          <w:p w14:paraId="3B001332">
            <w:pPr>
              <w:snapToGrid w:val="0"/>
              <w:spacing w:line="600" w:lineRule="exact"/>
              <w:rPr>
                <w:rFonts w:ascii="宋体" w:hAnsi="宋体" w:cs="宋体"/>
              </w:rPr>
            </w:pPr>
            <w:r>
              <w:rPr>
                <w:rFonts w:hint="eastAsia" w:ascii="宋体" w:hAnsi="宋体" w:cs="宋体"/>
              </w:rPr>
              <w:t>其他</w:t>
            </w:r>
          </w:p>
        </w:tc>
        <w:tc>
          <w:tcPr>
            <w:tcW w:w="5062" w:type="dxa"/>
            <w:vAlign w:val="center"/>
          </w:tcPr>
          <w:p w14:paraId="0FA6E5F9">
            <w:pPr>
              <w:widowControl/>
              <w:tabs>
                <w:tab w:val="left" w:pos="360"/>
              </w:tabs>
              <w:snapToGrid w:val="0"/>
              <w:spacing w:line="600" w:lineRule="exact"/>
              <w:rPr>
                <w:rFonts w:ascii="宋体" w:hAnsi="宋体" w:cs="宋体"/>
              </w:rPr>
            </w:pPr>
            <w:r>
              <w:rPr>
                <w:rFonts w:hint="eastAsia" w:ascii="宋体" w:hAnsi="宋体" w:cs="宋体"/>
              </w:rPr>
              <w:t>无其他无效响应认定情况</w:t>
            </w:r>
          </w:p>
        </w:tc>
        <w:tc>
          <w:tcPr>
            <w:tcW w:w="840" w:type="dxa"/>
            <w:vAlign w:val="center"/>
          </w:tcPr>
          <w:p w14:paraId="2D8F2277">
            <w:pPr>
              <w:snapToGrid w:val="0"/>
              <w:spacing w:line="600" w:lineRule="exact"/>
              <w:ind w:firstLine="480" w:firstLineChars="200"/>
              <w:rPr>
                <w:rFonts w:ascii="宋体" w:hAnsi="宋体" w:cs="宋体"/>
                <w:kern w:val="0"/>
              </w:rPr>
            </w:pPr>
          </w:p>
        </w:tc>
      </w:tr>
      <w:tr w14:paraId="4882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936" w:hRule="exact"/>
        </w:trPr>
        <w:tc>
          <w:tcPr>
            <w:tcW w:w="7933" w:type="dxa"/>
            <w:gridSpan w:val="3"/>
            <w:vAlign w:val="center"/>
          </w:tcPr>
          <w:p w14:paraId="47832938">
            <w:pPr>
              <w:snapToGrid w:val="0"/>
              <w:spacing w:line="600" w:lineRule="exact"/>
              <w:rPr>
                <w:rFonts w:ascii="宋体" w:hAnsi="宋体" w:cs="宋体"/>
              </w:rPr>
            </w:pPr>
            <w:r>
              <w:rPr>
                <w:rFonts w:hint="eastAsia" w:ascii="宋体" w:hAnsi="宋体" w:cs="宋体"/>
              </w:rPr>
              <w:t>结         论</w:t>
            </w:r>
          </w:p>
        </w:tc>
        <w:tc>
          <w:tcPr>
            <w:tcW w:w="840" w:type="dxa"/>
            <w:vAlign w:val="center"/>
          </w:tcPr>
          <w:p w14:paraId="61015347">
            <w:pPr>
              <w:snapToGrid w:val="0"/>
              <w:spacing w:line="600" w:lineRule="exact"/>
              <w:ind w:firstLine="480" w:firstLineChars="200"/>
              <w:rPr>
                <w:rFonts w:ascii="宋体" w:hAnsi="宋体" w:cs="宋体"/>
                <w:kern w:val="0"/>
              </w:rPr>
            </w:pPr>
          </w:p>
        </w:tc>
      </w:tr>
      <w:bookmarkEnd w:id="85"/>
    </w:tbl>
    <w:p w14:paraId="16584B74">
      <w:pPr>
        <w:snapToGrid w:val="0"/>
        <w:spacing w:line="600" w:lineRule="exact"/>
        <w:ind w:firstLine="600" w:firstLineChars="250"/>
        <w:jc w:val="left"/>
        <w:rPr>
          <w:rFonts w:ascii="宋体" w:hAnsi="宋体" w:cs="宋体"/>
        </w:rPr>
      </w:pPr>
    </w:p>
    <w:p w14:paraId="0662BA50">
      <w:pPr>
        <w:snapToGrid w:val="0"/>
        <w:spacing w:line="600" w:lineRule="exact"/>
        <w:ind w:firstLine="600" w:firstLineChars="250"/>
        <w:jc w:val="left"/>
        <w:rPr>
          <w:rFonts w:ascii="宋体" w:hAnsi="宋体" w:cs="宋体"/>
        </w:rPr>
      </w:pPr>
      <w:r>
        <w:rPr>
          <w:rFonts w:hint="eastAsia" w:ascii="宋体" w:hAnsi="宋体" w:cs="宋体"/>
        </w:rPr>
        <w:t>注: 1、表中只需填写“√/通过”或“×/不通过”。</w:t>
      </w:r>
    </w:p>
    <w:p w14:paraId="5E4DC5DD">
      <w:pPr>
        <w:snapToGrid w:val="0"/>
        <w:spacing w:line="600" w:lineRule="exact"/>
        <w:ind w:firstLine="600" w:firstLineChars="250"/>
        <w:jc w:val="left"/>
        <w:rPr>
          <w:rFonts w:ascii="宋体" w:hAnsi="宋体" w:cs="宋体"/>
        </w:rPr>
      </w:pPr>
      <w:r>
        <w:rPr>
          <w:rFonts w:hint="eastAsia" w:ascii="宋体" w:hAnsi="宋体" w:cs="宋体"/>
        </w:rPr>
        <w:t>2、在结论中按“一项否决”的原则，只有全部是√/通过的，填写“合格”；只要其中有一项是×/不通过的，填写“不合格”。</w:t>
      </w:r>
    </w:p>
    <w:p w14:paraId="69EB8B43">
      <w:pPr>
        <w:widowControl/>
        <w:spacing w:line="600" w:lineRule="exact"/>
        <w:jc w:val="left"/>
        <w:rPr>
          <w:rFonts w:ascii="宋体" w:hAnsi="宋体" w:cs="宋体"/>
          <w:b/>
        </w:rPr>
      </w:pPr>
    </w:p>
    <w:p w14:paraId="263478E4">
      <w:pPr>
        <w:spacing w:line="600" w:lineRule="exact"/>
        <w:rPr>
          <w:rFonts w:ascii="宋体" w:hAnsi="宋体" w:cs="宋体"/>
          <w:b/>
        </w:rPr>
      </w:pPr>
      <w:r>
        <w:rPr>
          <w:rFonts w:hint="eastAsia" w:ascii="宋体" w:hAnsi="宋体" w:cs="宋体"/>
          <w:b/>
        </w:rPr>
        <w:br w:type="page"/>
      </w:r>
      <w:r>
        <w:rPr>
          <w:rFonts w:hint="eastAsia" w:ascii="宋体" w:hAnsi="宋体" w:cs="宋体"/>
          <w:b/>
        </w:rPr>
        <w:t>表2：技术、商务评分表</w:t>
      </w:r>
    </w:p>
    <w:p w14:paraId="6171BEFE">
      <w:pPr>
        <w:pStyle w:val="93"/>
        <w:spacing w:line="600" w:lineRule="exact"/>
        <w:ind w:firstLine="482"/>
        <w:rPr>
          <w:rFonts w:hAnsi="宋体"/>
          <w:b/>
        </w:rPr>
      </w:pPr>
    </w:p>
    <w:tbl>
      <w:tblPr>
        <w:tblStyle w:val="26"/>
        <w:tblW w:w="11266" w:type="dxa"/>
        <w:tblInd w:w="-890" w:type="dxa"/>
        <w:tblLayout w:type="fixed"/>
        <w:tblCellMar>
          <w:top w:w="0" w:type="dxa"/>
          <w:left w:w="108" w:type="dxa"/>
          <w:bottom w:w="0" w:type="dxa"/>
          <w:right w:w="108" w:type="dxa"/>
        </w:tblCellMar>
      </w:tblPr>
      <w:tblGrid>
        <w:gridCol w:w="400"/>
        <w:gridCol w:w="866"/>
        <w:gridCol w:w="9117"/>
        <w:gridCol w:w="883"/>
      </w:tblGrid>
      <w:tr w14:paraId="247DD44A">
        <w:tblPrEx>
          <w:tblCellMar>
            <w:top w:w="0" w:type="dxa"/>
            <w:left w:w="108" w:type="dxa"/>
            <w:bottom w:w="0" w:type="dxa"/>
            <w:right w:w="108" w:type="dxa"/>
          </w:tblCellMar>
        </w:tblPrEx>
        <w:trPr>
          <w:trHeight w:val="624" w:hRule="atLeast"/>
        </w:trPr>
        <w:tc>
          <w:tcPr>
            <w:tcW w:w="400" w:type="dxa"/>
            <w:vMerge w:val="restart"/>
            <w:tcBorders>
              <w:top w:val="single" w:color="auto" w:sz="4" w:space="0"/>
              <w:left w:val="single" w:color="auto" w:sz="4" w:space="0"/>
              <w:bottom w:val="single" w:color="000000" w:sz="4" w:space="0"/>
              <w:right w:val="single" w:color="auto" w:sz="4" w:space="0"/>
            </w:tcBorders>
            <w:vAlign w:val="center"/>
          </w:tcPr>
          <w:p w14:paraId="0A0CECF6">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序号</w:t>
            </w:r>
          </w:p>
        </w:tc>
        <w:tc>
          <w:tcPr>
            <w:tcW w:w="866" w:type="dxa"/>
            <w:vMerge w:val="restart"/>
            <w:tcBorders>
              <w:top w:val="single" w:color="auto" w:sz="4" w:space="0"/>
              <w:left w:val="single" w:color="auto" w:sz="4" w:space="0"/>
              <w:bottom w:val="single" w:color="000000" w:sz="4" w:space="0"/>
              <w:right w:val="single" w:color="auto" w:sz="4" w:space="0"/>
            </w:tcBorders>
            <w:vAlign w:val="center"/>
          </w:tcPr>
          <w:p w14:paraId="339BE504">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评审因素</w:t>
            </w:r>
          </w:p>
        </w:tc>
        <w:tc>
          <w:tcPr>
            <w:tcW w:w="9117" w:type="dxa"/>
            <w:vMerge w:val="restart"/>
            <w:tcBorders>
              <w:top w:val="single" w:color="auto" w:sz="4" w:space="0"/>
              <w:left w:val="single" w:color="auto" w:sz="4" w:space="0"/>
              <w:bottom w:val="single" w:color="000000" w:sz="4" w:space="0"/>
              <w:right w:val="single" w:color="auto" w:sz="4" w:space="0"/>
            </w:tcBorders>
            <w:vAlign w:val="center"/>
          </w:tcPr>
          <w:p w14:paraId="03DE7CD5">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评审标准</w:t>
            </w:r>
          </w:p>
        </w:tc>
        <w:tc>
          <w:tcPr>
            <w:tcW w:w="883" w:type="dxa"/>
            <w:vMerge w:val="restart"/>
            <w:tcBorders>
              <w:top w:val="single" w:color="auto" w:sz="4" w:space="0"/>
              <w:left w:val="single" w:color="auto" w:sz="4" w:space="0"/>
              <w:bottom w:val="single" w:color="000000" w:sz="4" w:space="0"/>
              <w:right w:val="single" w:color="auto" w:sz="4" w:space="0"/>
            </w:tcBorders>
            <w:vAlign w:val="center"/>
          </w:tcPr>
          <w:p w14:paraId="32A99C0B">
            <w:pPr>
              <w:widowControl/>
              <w:jc w:val="center"/>
              <w:rPr>
                <w:rFonts w:ascii="宋体" w:hAnsi="宋体" w:cs="宋体"/>
                <w:color w:val="auto"/>
                <w:kern w:val="0"/>
                <w:sz w:val="28"/>
                <w:szCs w:val="28"/>
              </w:rPr>
            </w:pPr>
            <w:r>
              <w:rPr>
                <w:rFonts w:hint="eastAsia" w:cs="宋体" w:asciiTheme="minorEastAsia" w:hAnsiTheme="minorEastAsia" w:eastAsiaTheme="minorEastAsia"/>
                <w:color w:val="auto"/>
                <w:kern w:val="0"/>
              </w:rPr>
              <w:t>分值</w:t>
            </w:r>
          </w:p>
        </w:tc>
      </w:tr>
      <w:tr w14:paraId="755E398F">
        <w:tblPrEx>
          <w:tblCellMar>
            <w:top w:w="0" w:type="dxa"/>
            <w:left w:w="108" w:type="dxa"/>
            <w:bottom w:w="0" w:type="dxa"/>
            <w:right w:w="108" w:type="dxa"/>
          </w:tblCellMar>
        </w:tblPrEx>
        <w:trPr>
          <w:trHeight w:val="312" w:hRule="atLeast"/>
        </w:trPr>
        <w:tc>
          <w:tcPr>
            <w:tcW w:w="400" w:type="dxa"/>
            <w:vMerge w:val="continue"/>
            <w:tcBorders>
              <w:top w:val="single" w:color="auto" w:sz="4" w:space="0"/>
              <w:left w:val="single" w:color="auto" w:sz="4" w:space="0"/>
              <w:bottom w:val="single" w:color="000000" w:sz="4" w:space="0"/>
              <w:right w:val="single" w:color="auto" w:sz="4" w:space="0"/>
            </w:tcBorders>
            <w:vAlign w:val="center"/>
          </w:tcPr>
          <w:p w14:paraId="4EB74E68">
            <w:pPr>
              <w:widowControl/>
              <w:jc w:val="left"/>
              <w:rPr>
                <w:rFonts w:cs="宋体" w:asciiTheme="minorEastAsia" w:hAnsiTheme="minorEastAsia" w:eastAsiaTheme="minorEastAsia"/>
                <w:color w:val="auto"/>
                <w:kern w:val="0"/>
                <w:szCs w:val="28"/>
              </w:rPr>
            </w:pPr>
          </w:p>
        </w:tc>
        <w:tc>
          <w:tcPr>
            <w:tcW w:w="866" w:type="dxa"/>
            <w:vMerge w:val="continue"/>
            <w:tcBorders>
              <w:top w:val="single" w:color="auto" w:sz="4" w:space="0"/>
              <w:left w:val="single" w:color="auto" w:sz="4" w:space="0"/>
              <w:bottom w:val="single" w:color="000000" w:sz="4" w:space="0"/>
              <w:right w:val="single" w:color="auto" w:sz="4" w:space="0"/>
            </w:tcBorders>
            <w:vAlign w:val="center"/>
          </w:tcPr>
          <w:p w14:paraId="1E86FDAB">
            <w:pPr>
              <w:widowControl/>
              <w:jc w:val="left"/>
              <w:rPr>
                <w:rFonts w:cs="宋体" w:asciiTheme="minorEastAsia" w:hAnsiTheme="minorEastAsia" w:eastAsiaTheme="minorEastAsia"/>
                <w:color w:val="auto"/>
                <w:kern w:val="0"/>
                <w:szCs w:val="28"/>
              </w:rPr>
            </w:pPr>
          </w:p>
        </w:tc>
        <w:tc>
          <w:tcPr>
            <w:tcW w:w="9117" w:type="dxa"/>
            <w:vMerge w:val="continue"/>
            <w:tcBorders>
              <w:top w:val="single" w:color="auto" w:sz="4" w:space="0"/>
              <w:left w:val="single" w:color="auto" w:sz="4" w:space="0"/>
              <w:bottom w:val="single" w:color="000000" w:sz="4" w:space="0"/>
              <w:right w:val="single" w:color="auto" w:sz="4" w:space="0"/>
            </w:tcBorders>
            <w:vAlign w:val="center"/>
          </w:tcPr>
          <w:p w14:paraId="77EDFEAD">
            <w:pPr>
              <w:widowControl/>
              <w:jc w:val="left"/>
              <w:rPr>
                <w:rFonts w:cs="宋体" w:asciiTheme="minorEastAsia" w:hAnsiTheme="minorEastAsia" w:eastAsiaTheme="minorEastAsia"/>
                <w:color w:val="auto"/>
                <w:kern w:val="0"/>
                <w:szCs w:val="28"/>
              </w:rPr>
            </w:pPr>
          </w:p>
        </w:tc>
        <w:tc>
          <w:tcPr>
            <w:tcW w:w="883" w:type="dxa"/>
            <w:vMerge w:val="continue"/>
            <w:tcBorders>
              <w:top w:val="single" w:color="auto" w:sz="4" w:space="0"/>
              <w:left w:val="single" w:color="auto" w:sz="4" w:space="0"/>
              <w:bottom w:val="single" w:color="000000" w:sz="4" w:space="0"/>
              <w:right w:val="single" w:color="auto" w:sz="4" w:space="0"/>
            </w:tcBorders>
            <w:vAlign w:val="center"/>
          </w:tcPr>
          <w:p w14:paraId="6F5BF83F">
            <w:pPr>
              <w:widowControl/>
              <w:jc w:val="left"/>
              <w:rPr>
                <w:rFonts w:ascii="宋体" w:hAnsi="宋体" w:cs="宋体"/>
                <w:color w:val="auto"/>
                <w:kern w:val="0"/>
                <w:sz w:val="28"/>
                <w:szCs w:val="28"/>
              </w:rPr>
            </w:pPr>
          </w:p>
        </w:tc>
      </w:tr>
      <w:tr w14:paraId="0AA5883E">
        <w:tblPrEx>
          <w:tblCellMar>
            <w:top w:w="0" w:type="dxa"/>
            <w:left w:w="108" w:type="dxa"/>
            <w:bottom w:w="0" w:type="dxa"/>
            <w:right w:w="108" w:type="dxa"/>
          </w:tblCellMar>
        </w:tblPrEx>
        <w:trPr>
          <w:trHeight w:val="90" w:hRule="atLeast"/>
        </w:trPr>
        <w:tc>
          <w:tcPr>
            <w:tcW w:w="400" w:type="dxa"/>
            <w:tcBorders>
              <w:top w:val="nil"/>
              <w:left w:val="single" w:color="auto" w:sz="4" w:space="0"/>
              <w:bottom w:val="single" w:color="auto" w:sz="4" w:space="0"/>
              <w:right w:val="single" w:color="auto" w:sz="4" w:space="0"/>
            </w:tcBorders>
            <w:vAlign w:val="center"/>
          </w:tcPr>
          <w:p w14:paraId="3E0F4322">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1</w:t>
            </w:r>
          </w:p>
        </w:tc>
        <w:tc>
          <w:tcPr>
            <w:tcW w:w="866" w:type="dxa"/>
            <w:tcBorders>
              <w:top w:val="nil"/>
              <w:left w:val="nil"/>
              <w:bottom w:val="single" w:color="auto" w:sz="4" w:space="0"/>
              <w:right w:val="single" w:color="auto" w:sz="4" w:space="0"/>
            </w:tcBorders>
            <w:vAlign w:val="center"/>
          </w:tcPr>
          <w:p w14:paraId="408212E4">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项目理解</w:t>
            </w:r>
          </w:p>
        </w:tc>
        <w:tc>
          <w:tcPr>
            <w:tcW w:w="9117" w:type="dxa"/>
            <w:tcBorders>
              <w:top w:val="nil"/>
              <w:left w:val="nil"/>
              <w:bottom w:val="single" w:color="auto" w:sz="4" w:space="0"/>
              <w:right w:val="single" w:color="auto" w:sz="4" w:space="0"/>
            </w:tcBorders>
            <w:vAlign w:val="center"/>
          </w:tcPr>
          <w:p w14:paraId="06C5D78E">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根据投标人提供的对项目背景和意义、项目情况的了解及分析，进行综合评价：</w:t>
            </w:r>
          </w:p>
          <w:p w14:paraId="5FBFCBFF">
            <w:pPr>
              <w:widowControl/>
              <w:tabs>
                <w:tab w:val="left" w:pos="312"/>
              </w:tabs>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1</w:t>
            </w:r>
            <w:r>
              <w:rPr>
                <w:rFonts w:cs="宋体" w:asciiTheme="minorEastAsia" w:hAnsiTheme="minorEastAsia" w:eastAsiaTheme="minorEastAsia"/>
                <w:color w:val="auto"/>
                <w:kern w:val="0"/>
              </w:rPr>
              <w:t>.</w:t>
            </w:r>
            <w:r>
              <w:rPr>
                <w:rFonts w:hint="eastAsia" w:cs="宋体" w:asciiTheme="minorEastAsia" w:hAnsiTheme="minorEastAsia" w:eastAsiaTheme="minorEastAsia"/>
                <w:color w:val="auto"/>
                <w:kern w:val="0"/>
              </w:rPr>
              <w:t>项目背景和意义、项目情况掌握得全面、分析透彻准确得</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.1-</w:t>
            </w:r>
            <w:r>
              <w:rPr>
                <w:rFonts w:hint="eastAsia" w:cs="宋体" w:asciiTheme="minorEastAsia" w:hAnsiTheme="minorEastAsia" w:eastAsiaTheme="minorEastAsia"/>
                <w:color w:val="auto"/>
                <w:kern w:val="0"/>
                <w:lang w:val="en-US" w:eastAsia="zh-CN"/>
              </w:rPr>
              <w:t>7</w:t>
            </w:r>
            <w:r>
              <w:rPr>
                <w:rFonts w:hint="eastAsia" w:cs="宋体" w:asciiTheme="minorEastAsia" w:hAnsiTheme="minorEastAsia" w:eastAsiaTheme="minorEastAsia"/>
                <w:color w:val="auto"/>
                <w:kern w:val="0"/>
              </w:rPr>
              <w:t>分；</w:t>
            </w:r>
          </w:p>
          <w:p w14:paraId="0D036B8A">
            <w:pPr>
              <w:widowControl/>
              <w:jc w:val="lef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2.</w:t>
            </w:r>
            <w:r>
              <w:rPr>
                <w:rFonts w:hint="eastAsia" w:cs="宋体" w:asciiTheme="minorEastAsia" w:hAnsiTheme="minorEastAsia" w:eastAsiaTheme="minorEastAsia"/>
                <w:color w:val="auto"/>
                <w:kern w:val="0"/>
              </w:rPr>
              <w:t>项目背景和意义、项目情况基本上能掌握、分析基本上合理得</w:t>
            </w:r>
            <w:r>
              <w:rPr>
                <w:rFonts w:hint="eastAsia" w:cs="宋体" w:asciiTheme="minorEastAsia" w:hAnsiTheme="minorEastAsia" w:eastAsiaTheme="minorEastAsia"/>
                <w:color w:val="auto"/>
                <w:kern w:val="0"/>
                <w:lang w:val="en-US" w:eastAsia="zh-CN"/>
              </w:rPr>
              <w:t>3</w:t>
            </w:r>
            <w:r>
              <w:rPr>
                <w:rFonts w:hint="eastAsia" w:cs="宋体" w:asciiTheme="minorEastAsia" w:hAnsiTheme="minorEastAsia" w:eastAsiaTheme="minorEastAsia"/>
                <w:color w:val="auto"/>
                <w:kern w:val="0"/>
              </w:rPr>
              <w:t>.1-</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 xml:space="preserve">.0分； </w:t>
            </w:r>
          </w:p>
          <w:p w14:paraId="4BF7D3F2">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3.项目背景和意义、项目情况掌握得不全面、分析有一定的缺陷得</w:t>
            </w:r>
            <w:r>
              <w:rPr>
                <w:rFonts w:hint="eastAsia" w:cs="宋体" w:asciiTheme="minorEastAsia" w:hAnsiTheme="minorEastAsia" w:eastAsiaTheme="minorEastAsia"/>
                <w:color w:val="auto"/>
                <w:kern w:val="0"/>
                <w:lang w:val="en-US" w:eastAsia="zh-CN"/>
              </w:rPr>
              <w:t>0.1</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3.0</w:t>
            </w:r>
            <w:r>
              <w:rPr>
                <w:rFonts w:hint="eastAsia" w:cs="宋体" w:asciiTheme="minorEastAsia" w:hAnsiTheme="minorEastAsia" w:eastAsiaTheme="minorEastAsia"/>
                <w:color w:val="auto"/>
                <w:kern w:val="0"/>
              </w:rPr>
              <w:t>分；</w:t>
            </w:r>
          </w:p>
          <w:p w14:paraId="5ED298A0">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xml:space="preserve">4.不提供不得分。 </w:t>
            </w:r>
          </w:p>
        </w:tc>
        <w:tc>
          <w:tcPr>
            <w:tcW w:w="883" w:type="dxa"/>
            <w:tcBorders>
              <w:top w:val="nil"/>
              <w:left w:val="nil"/>
              <w:bottom w:val="single" w:color="auto" w:sz="4" w:space="0"/>
              <w:right w:val="single" w:color="auto" w:sz="4" w:space="0"/>
            </w:tcBorders>
            <w:vAlign w:val="center"/>
          </w:tcPr>
          <w:p w14:paraId="632AB123">
            <w:pPr>
              <w:widowControl/>
              <w:jc w:val="center"/>
              <w:rPr>
                <w:rFonts w:ascii="宋体" w:hAnsi="宋体" w:cs="宋体"/>
                <w:color w:val="auto"/>
                <w:kern w:val="0"/>
                <w:sz w:val="28"/>
                <w:szCs w:val="28"/>
              </w:rPr>
            </w:pPr>
            <w:r>
              <w:rPr>
                <w:rFonts w:hint="eastAsia" w:cs="宋体" w:asciiTheme="minorEastAsia" w:hAnsiTheme="minorEastAsia" w:eastAsiaTheme="minorEastAsia"/>
                <w:color w:val="auto"/>
                <w:kern w:val="0"/>
              </w:rPr>
              <w:t>7</w:t>
            </w:r>
          </w:p>
        </w:tc>
      </w:tr>
      <w:tr w14:paraId="19A8DC48">
        <w:tblPrEx>
          <w:tblCellMar>
            <w:top w:w="0" w:type="dxa"/>
            <w:left w:w="108" w:type="dxa"/>
            <w:bottom w:w="0" w:type="dxa"/>
            <w:right w:w="108" w:type="dxa"/>
          </w:tblCellMar>
        </w:tblPrEx>
        <w:trPr>
          <w:trHeight w:val="2106" w:hRule="atLeast"/>
        </w:trPr>
        <w:tc>
          <w:tcPr>
            <w:tcW w:w="400" w:type="dxa"/>
            <w:tcBorders>
              <w:top w:val="nil"/>
              <w:left w:val="single" w:color="auto" w:sz="4" w:space="0"/>
              <w:bottom w:val="single" w:color="auto" w:sz="4" w:space="0"/>
              <w:right w:val="single" w:color="auto" w:sz="4" w:space="0"/>
            </w:tcBorders>
            <w:vAlign w:val="center"/>
          </w:tcPr>
          <w:p w14:paraId="6D9A0298">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2</w:t>
            </w:r>
          </w:p>
        </w:tc>
        <w:tc>
          <w:tcPr>
            <w:tcW w:w="866" w:type="dxa"/>
            <w:tcBorders>
              <w:top w:val="nil"/>
              <w:left w:val="nil"/>
              <w:bottom w:val="single" w:color="auto" w:sz="4" w:space="0"/>
              <w:right w:val="single" w:color="auto" w:sz="4" w:space="0"/>
            </w:tcBorders>
            <w:vAlign w:val="center"/>
          </w:tcPr>
          <w:p w14:paraId="2136E51C">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工作基础</w:t>
            </w:r>
          </w:p>
        </w:tc>
        <w:tc>
          <w:tcPr>
            <w:tcW w:w="9117" w:type="dxa"/>
            <w:tcBorders>
              <w:top w:val="nil"/>
              <w:left w:val="nil"/>
              <w:bottom w:val="single" w:color="auto" w:sz="4" w:space="0"/>
              <w:right w:val="single" w:color="auto" w:sz="4" w:space="0"/>
            </w:tcBorders>
            <w:vAlign w:val="center"/>
          </w:tcPr>
          <w:p w14:paraId="01763840">
            <w:pPr>
              <w:widowControl/>
              <w:numPr>
                <w:ilvl w:val="255"/>
                <w:numId w:val="0"/>
              </w:numPr>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xml:space="preserve">根据投标人提供的对项目全过程管理工作基础能力及对针对工作重难点的解决措施等，进行综合评价： </w:t>
            </w:r>
          </w:p>
          <w:p w14:paraId="75B30E58">
            <w:pPr>
              <w:widowControl/>
              <w:numPr>
                <w:ilvl w:val="255"/>
                <w:numId w:val="0"/>
              </w:numPr>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1.投标人具有项目全过程管理工作基础，对工作重难点的解决措施全面且可实施性强，得</w:t>
            </w:r>
            <w:r>
              <w:rPr>
                <w:rFonts w:hint="eastAsia" w:cs="宋体" w:asciiTheme="minorEastAsia" w:hAnsiTheme="minorEastAsia" w:eastAsiaTheme="minorEastAsia"/>
                <w:color w:val="auto"/>
                <w:kern w:val="0"/>
                <w:lang w:val="en-US" w:eastAsia="zh-CN"/>
              </w:rPr>
              <w:t>5.1</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7</w:t>
            </w:r>
            <w:r>
              <w:rPr>
                <w:rFonts w:hint="eastAsia" w:cs="宋体" w:asciiTheme="minorEastAsia" w:hAnsiTheme="minorEastAsia" w:eastAsiaTheme="minorEastAsia"/>
                <w:color w:val="auto"/>
                <w:kern w:val="0"/>
              </w:rPr>
              <w:t xml:space="preserve">.0分； </w:t>
            </w:r>
          </w:p>
          <w:p w14:paraId="3DEAF3D5">
            <w:pPr>
              <w:widowControl/>
              <w:numPr>
                <w:ilvl w:val="255"/>
                <w:numId w:val="0"/>
              </w:numPr>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2.投标人具有项目全过程管理工作基础，对工作重难点的解决措施基本可实施，得</w:t>
            </w:r>
            <w:r>
              <w:rPr>
                <w:rFonts w:hint="eastAsia" w:cs="宋体" w:asciiTheme="minorEastAsia" w:hAnsiTheme="minorEastAsia" w:eastAsiaTheme="minorEastAsia"/>
                <w:color w:val="auto"/>
                <w:kern w:val="0"/>
                <w:lang w:val="en-US" w:eastAsia="zh-CN"/>
              </w:rPr>
              <w:t>3</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6</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.0分；</w:t>
            </w:r>
          </w:p>
          <w:p w14:paraId="2C9405D5">
            <w:pPr>
              <w:widowControl/>
              <w:numPr>
                <w:ilvl w:val="255"/>
                <w:numId w:val="0"/>
              </w:numPr>
              <w:jc w:val="lef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3.</w:t>
            </w:r>
            <w:r>
              <w:rPr>
                <w:rFonts w:hint="eastAsia" w:cs="宋体" w:asciiTheme="minorEastAsia" w:hAnsiTheme="minorEastAsia" w:eastAsiaTheme="minorEastAsia"/>
                <w:color w:val="auto"/>
                <w:kern w:val="0"/>
              </w:rPr>
              <w:t>投标人具有项目全过程管理工作基础，对工作重难点的解决措施不够详细合理，得2.1-</w:t>
            </w:r>
            <w:r>
              <w:rPr>
                <w:rFonts w:hint="eastAsia" w:cs="宋体" w:asciiTheme="minorEastAsia" w:hAnsiTheme="minorEastAsia" w:eastAsiaTheme="minorEastAsia"/>
                <w:color w:val="auto"/>
                <w:kern w:val="0"/>
                <w:lang w:val="en-US" w:eastAsia="zh-CN"/>
              </w:rPr>
              <w:t>3</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分；</w:t>
            </w:r>
          </w:p>
          <w:p w14:paraId="56AF2AA6">
            <w:pPr>
              <w:widowControl/>
              <w:numPr>
                <w:ilvl w:val="255"/>
                <w:numId w:val="0"/>
              </w:numPr>
              <w:jc w:val="left"/>
              <w:rPr>
                <w:rFonts w:cs="宋体" w:asciiTheme="minorEastAsia" w:hAnsiTheme="minorEastAsia" w:eastAsiaTheme="minorEastAsia"/>
                <w:color w:val="auto"/>
                <w:kern w:val="0"/>
              </w:rPr>
            </w:pPr>
            <w:r>
              <w:rPr>
                <w:rFonts w:cs="宋体" w:asciiTheme="minorEastAsia" w:hAnsiTheme="minorEastAsia" w:eastAsiaTheme="minorEastAsia"/>
                <w:color w:val="auto"/>
                <w:kern w:val="0"/>
              </w:rPr>
              <w:t>4.</w:t>
            </w:r>
            <w:r>
              <w:rPr>
                <w:rFonts w:hint="eastAsia" w:cs="宋体" w:asciiTheme="minorEastAsia" w:hAnsiTheme="minorEastAsia" w:eastAsiaTheme="minorEastAsia"/>
                <w:color w:val="auto"/>
                <w:kern w:val="0"/>
              </w:rPr>
              <w:t>投标人无项目全过程管理工作基础，对工作重难点的解决措施不详细、不够合理，得</w:t>
            </w:r>
            <w:r>
              <w:rPr>
                <w:rFonts w:hint="eastAsia" w:cs="宋体" w:asciiTheme="minorEastAsia" w:hAnsiTheme="minorEastAsia" w:eastAsiaTheme="minorEastAsia"/>
                <w:color w:val="auto"/>
                <w:kern w:val="0"/>
                <w:lang w:val="en-US" w:eastAsia="zh-CN"/>
              </w:rPr>
              <w:t>0.1-2.0</w:t>
            </w:r>
            <w:r>
              <w:rPr>
                <w:rFonts w:hint="eastAsia" w:cs="宋体" w:asciiTheme="minorEastAsia" w:hAnsiTheme="minorEastAsia" w:eastAsiaTheme="minorEastAsia"/>
                <w:color w:val="auto"/>
                <w:kern w:val="0"/>
              </w:rPr>
              <w:t>分；</w:t>
            </w:r>
          </w:p>
          <w:p w14:paraId="47CF6D34">
            <w:pPr>
              <w:widowControl/>
              <w:numPr>
                <w:ilvl w:val="255"/>
                <w:numId w:val="0"/>
              </w:numPr>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5.不提供不得分。</w:t>
            </w:r>
          </w:p>
        </w:tc>
        <w:tc>
          <w:tcPr>
            <w:tcW w:w="883" w:type="dxa"/>
            <w:tcBorders>
              <w:top w:val="nil"/>
              <w:left w:val="nil"/>
              <w:bottom w:val="single" w:color="auto" w:sz="4" w:space="0"/>
              <w:right w:val="single" w:color="auto" w:sz="4" w:space="0"/>
            </w:tcBorders>
            <w:vAlign w:val="center"/>
          </w:tcPr>
          <w:p w14:paraId="706D6661">
            <w:pPr>
              <w:widowControl/>
              <w:jc w:val="center"/>
              <w:rPr>
                <w:rFonts w:ascii="宋体" w:hAnsi="宋体" w:cs="宋体"/>
                <w:color w:val="auto"/>
                <w:kern w:val="0"/>
                <w:sz w:val="28"/>
                <w:szCs w:val="28"/>
              </w:rPr>
            </w:pPr>
            <w:r>
              <w:rPr>
                <w:rFonts w:hint="eastAsia" w:cs="宋体" w:asciiTheme="minorEastAsia" w:hAnsiTheme="minorEastAsia" w:eastAsiaTheme="minorEastAsia"/>
                <w:color w:val="auto"/>
                <w:kern w:val="0"/>
              </w:rPr>
              <w:t>7</w:t>
            </w:r>
          </w:p>
        </w:tc>
      </w:tr>
      <w:tr w14:paraId="6E7D6624">
        <w:tblPrEx>
          <w:tblCellMar>
            <w:top w:w="0" w:type="dxa"/>
            <w:left w:w="108" w:type="dxa"/>
            <w:bottom w:w="0" w:type="dxa"/>
            <w:right w:w="108" w:type="dxa"/>
          </w:tblCellMar>
        </w:tblPrEx>
        <w:trPr>
          <w:trHeight w:val="1839" w:hRule="atLeast"/>
        </w:trPr>
        <w:tc>
          <w:tcPr>
            <w:tcW w:w="400" w:type="dxa"/>
            <w:tcBorders>
              <w:top w:val="nil"/>
              <w:left w:val="single" w:color="auto" w:sz="4" w:space="0"/>
              <w:bottom w:val="single" w:color="auto" w:sz="4" w:space="0"/>
              <w:right w:val="single" w:color="auto" w:sz="4" w:space="0"/>
            </w:tcBorders>
            <w:vAlign w:val="center"/>
          </w:tcPr>
          <w:p w14:paraId="01449AD9">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3</w:t>
            </w:r>
          </w:p>
        </w:tc>
        <w:tc>
          <w:tcPr>
            <w:tcW w:w="866" w:type="dxa"/>
            <w:tcBorders>
              <w:top w:val="nil"/>
              <w:left w:val="nil"/>
              <w:bottom w:val="single" w:color="auto" w:sz="4" w:space="0"/>
              <w:right w:val="single" w:color="auto" w:sz="4" w:space="0"/>
            </w:tcBorders>
            <w:vAlign w:val="center"/>
          </w:tcPr>
          <w:p w14:paraId="614D183E">
            <w:pPr>
              <w:widowControl/>
              <w:jc w:val="left"/>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工作方案</w:t>
            </w:r>
          </w:p>
        </w:tc>
        <w:tc>
          <w:tcPr>
            <w:tcW w:w="9117" w:type="dxa"/>
            <w:tcBorders>
              <w:top w:val="nil"/>
              <w:left w:val="nil"/>
              <w:bottom w:val="single" w:color="auto" w:sz="4" w:space="0"/>
              <w:right w:val="single" w:color="auto" w:sz="4" w:space="0"/>
            </w:tcBorders>
            <w:vAlign w:val="center"/>
          </w:tcPr>
          <w:p w14:paraId="28261CB3">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xml:space="preserve">根据投标人提供的工作内容、工作程序等，进行综合评价： </w:t>
            </w:r>
          </w:p>
          <w:p w14:paraId="47B3A03D">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1.工作内容全面涵盖项目实施和招标文件要求，并制定合理、可行的工作程序，工作方案全面且可实施性强，得</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.1-</w:t>
            </w:r>
            <w:r>
              <w:rPr>
                <w:rFonts w:hint="eastAsia" w:cs="宋体" w:asciiTheme="minorEastAsia" w:hAnsiTheme="minorEastAsia" w:eastAsiaTheme="minorEastAsia"/>
                <w:color w:val="auto"/>
                <w:kern w:val="0"/>
                <w:lang w:val="en-US" w:eastAsia="zh-CN"/>
              </w:rPr>
              <w:t>7</w:t>
            </w:r>
            <w:r>
              <w:rPr>
                <w:rFonts w:hint="eastAsia" w:cs="宋体" w:asciiTheme="minorEastAsia" w:hAnsiTheme="minorEastAsia" w:eastAsiaTheme="minorEastAsia"/>
                <w:color w:val="auto"/>
                <w:kern w:val="0"/>
              </w:rPr>
              <w:t>.0分；</w:t>
            </w:r>
          </w:p>
          <w:p w14:paraId="508FCF59">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2.工作内容基本能涵盖项目实施和招标文件要求，能满足本项目基本需求，工作方案较全面且可实施性较强，得</w:t>
            </w:r>
            <w:r>
              <w:rPr>
                <w:rFonts w:hint="eastAsia" w:cs="宋体" w:asciiTheme="minorEastAsia" w:hAnsiTheme="minorEastAsia" w:eastAsiaTheme="minorEastAsia"/>
                <w:color w:val="auto"/>
                <w:kern w:val="0"/>
                <w:lang w:val="en-US" w:eastAsia="zh-CN"/>
              </w:rPr>
              <w:t>3</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6</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.0分；</w:t>
            </w:r>
          </w:p>
          <w:p w14:paraId="080B1E69">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3.工作内容基本能涵盖项目实施和招标文件要求，无法满足本项目基本需求，工作方案较全面且可实施性一般的，得2.1-</w:t>
            </w:r>
            <w:r>
              <w:rPr>
                <w:rFonts w:hint="eastAsia" w:cs="宋体" w:asciiTheme="minorEastAsia" w:hAnsiTheme="minorEastAsia" w:eastAsiaTheme="minorEastAsia"/>
                <w:color w:val="auto"/>
                <w:kern w:val="0"/>
                <w:lang w:val="en-US" w:eastAsia="zh-CN"/>
              </w:rPr>
              <w:t>3</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分</w:t>
            </w:r>
          </w:p>
          <w:p w14:paraId="0ABD82AA">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4.工作内容缺失、工作程序基本可行的，得0.1-2.0分；</w:t>
            </w:r>
          </w:p>
          <w:p w14:paraId="2C5EC85B">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5.不提供不得分。</w:t>
            </w:r>
          </w:p>
        </w:tc>
        <w:tc>
          <w:tcPr>
            <w:tcW w:w="883" w:type="dxa"/>
            <w:tcBorders>
              <w:top w:val="nil"/>
              <w:left w:val="nil"/>
              <w:bottom w:val="single" w:color="auto" w:sz="4" w:space="0"/>
              <w:right w:val="single" w:color="auto" w:sz="4" w:space="0"/>
            </w:tcBorders>
            <w:vAlign w:val="center"/>
          </w:tcPr>
          <w:p w14:paraId="03885829">
            <w:pPr>
              <w:widowControl/>
              <w:jc w:val="center"/>
              <w:rPr>
                <w:rFonts w:ascii="宋体" w:hAnsi="宋体" w:cs="宋体"/>
                <w:color w:val="auto"/>
                <w:kern w:val="0"/>
                <w:sz w:val="28"/>
                <w:szCs w:val="28"/>
              </w:rPr>
            </w:pPr>
            <w:r>
              <w:rPr>
                <w:rFonts w:hint="eastAsia" w:cs="宋体" w:asciiTheme="minorEastAsia" w:hAnsiTheme="minorEastAsia" w:eastAsiaTheme="minorEastAsia"/>
                <w:color w:val="auto"/>
                <w:kern w:val="0"/>
              </w:rPr>
              <w:t>7</w:t>
            </w:r>
          </w:p>
        </w:tc>
      </w:tr>
      <w:tr w14:paraId="53E0ADEC">
        <w:tblPrEx>
          <w:tblCellMar>
            <w:top w:w="0" w:type="dxa"/>
            <w:left w:w="108" w:type="dxa"/>
            <w:bottom w:w="0" w:type="dxa"/>
            <w:right w:w="108" w:type="dxa"/>
          </w:tblCellMar>
        </w:tblPrEx>
        <w:trPr>
          <w:trHeight w:val="1937" w:hRule="atLeast"/>
        </w:trPr>
        <w:tc>
          <w:tcPr>
            <w:tcW w:w="400" w:type="dxa"/>
            <w:tcBorders>
              <w:top w:val="nil"/>
              <w:left w:val="single" w:color="auto" w:sz="4" w:space="0"/>
              <w:bottom w:val="single" w:color="auto" w:sz="4" w:space="0"/>
              <w:right w:val="single" w:color="auto" w:sz="4" w:space="0"/>
            </w:tcBorders>
            <w:vAlign w:val="center"/>
          </w:tcPr>
          <w:p w14:paraId="1A4E15DD">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4</w:t>
            </w:r>
          </w:p>
        </w:tc>
        <w:tc>
          <w:tcPr>
            <w:tcW w:w="866" w:type="dxa"/>
            <w:tcBorders>
              <w:top w:val="nil"/>
              <w:left w:val="nil"/>
              <w:bottom w:val="single" w:color="auto" w:sz="4" w:space="0"/>
              <w:right w:val="single" w:color="auto" w:sz="4" w:space="0"/>
            </w:tcBorders>
            <w:vAlign w:val="center"/>
          </w:tcPr>
          <w:p w14:paraId="5F032ECB">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拟投入工作团队</w:t>
            </w:r>
          </w:p>
        </w:tc>
        <w:tc>
          <w:tcPr>
            <w:tcW w:w="9117" w:type="dxa"/>
            <w:tcBorders>
              <w:top w:val="nil"/>
              <w:left w:val="nil"/>
              <w:bottom w:val="single" w:color="auto" w:sz="4" w:space="0"/>
              <w:right w:val="single" w:color="auto" w:sz="4" w:space="0"/>
            </w:tcBorders>
            <w:vAlign w:val="center"/>
          </w:tcPr>
          <w:p w14:paraId="0F4A0F95">
            <w:pPr>
              <w:widowControl/>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xml:space="preserve">根据投标人提供的工作团队人员明细、人员资历、相关经验及技术实力等进行综合评价： </w:t>
            </w:r>
          </w:p>
          <w:p w14:paraId="7A18EB71">
            <w:pPr>
              <w:widowControl/>
              <w:rPr>
                <w:rFonts w:hint="eastAsia"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1.团队成员组建完整、分工明确，资历、经验及技术实力丰富，得</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.1-</w:t>
            </w:r>
            <w:r>
              <w:rPr>
                <w:rFonts w:hint="eastAsia" w:cs="宋体" w:asciiTheme="minorEastAsia" w:hAnsiTheme="minorEastAsia" w:eastAsiaTheme="minorEastAsia"/>
                <w:color w:val="auto"/>
                <w:kern w:val="0"/>
                <w:lang w:val="en-US" w:eastAsia="zh-CN"/>
              </w:rPr>
              <w:t>7</w:t>
            </w:r>
            <w:r>
              <w:rPr>
                <w:rFonts w:hint="eastAsia" w:cs="宋体" w:asciiTheme="minorEastAsia" w:hAnsiTheme="minorEastAsia" w:eastAsiaTheme="minorEastAsia"/>
                <w:color w:val="auto"/>
                <w:kern w:val="0"/>
              </w:rPr>
              <w:t>.0分；</w:t>
            </w:r>
          </w:p>
          <w:p w14:paraId="2A449F14">
            <w:pPr>
              <w:widowControl/>
              <w:rPr>
                <w:rFonts w:hint="eastAsia"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2.团队成员组建较为完整、分工较为明确，资历、经验及技术实力一般，得</w:t>
            </w:r>
            <w:r>
              <w:rPr>
                <w:rFonts w:hint="eastAsia" w:cs="宋体" w:asciiTheme="minorEastAsia" w:hAnsiTheme="minorEastAsia" w:eastAsiaTheme="minorEastAsia"/>
                <w:color w:val="auto"/>
                <w:kern w:val="0"/>
                <w:lang w:val="en-US" w:eastAsia="zh-CN"/>
              </w:rPr>
              <w:t>3</w:t>
            </w:r>
            <w:r>
              <w:rPr>
                <w:rFonts w:hint="eastAsia" w:cs="宋体" w:asciiTheme="minorEastAsia" w:hAnsiTheme="minorEastAsia" w:eastAsiaTheme="minorEastAsia"/>
                <w:color w:val="auto"/>
                <w:kern w:val="0"/>
              </w:rPr>
              <w:t>.1-</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.0分；</w:t>
            </w:r>
          </w:p>
          <w:p w14:paraId="28841B1B">
            <w:pPr>
              <w:widowControl/>
              <w:rPr>
                <w:rFonts w:hint="eastAsia"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3.团队人员组建不完整、分工不明确，无资历、经验及技术实力，得0.1-</w:t>
            </w:r>
            <w:r>
              <w:rPr>
                <w:rFonts w:hint="eastAsia" w:cs="宋体" w:asciiTheme="minorEastAsia" w:hAnsiTheme="minorEastAsia" w:eastAsiaTheme="minorEastAsia"/>
                <w:color w:val="auto"/>
                <w:kern w:val="0"/>
                <w:lang w:val="en-US" w:eastAsia="zh-CN"/>
              </w:rPr>
              <w:t>3</w:t>
            </w:r>
            <w:r>
              <w:rPr>
                <w:rFonts w:hint="eastAsia" w:cs="宋体" w:asciiTheme="minorEastAsia" w:hAnsiTheme="minorEastAsia" w:eastAsiaTheme="minorEastAsia"/>
                <w:color w:val="auto"/>
                <w:kern w:val="0"/>
              </w:rPr>
              <w:t xml:space="preserve">.0分； </w:t>
            </w:r>
          </w:p>
          <w:p w14:paraId="639E4B93">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4.不提供不得分。</w:t>
            </w:r>
          </w:p>
        </w:tc>
        <w:tc>
          <w:tcPr>
            <w:tcW w:w="883" w:type="dxa"/>
            <w:tcBorders>
              <w:top w:val="nil"/>
              <w:left w:val="nil"/>
              <w:bottom w:val="single" w:color="auto" w:sz="4" w:space="0"/>
              <w:right w:val="single" w:color="auto" w:sz="4" w:space="0"/>
            </w:tcBorders>
            <w:vAlign w:val="center"/>
          </w:tcPr>
          <w:p w14:paraId="45BEF744">
            <w:pPr>
              <w:widowControl/>
              <w:jc w:val="center"/>
              <w:rPr>
                <w:rFonts w:ascii="宋体" w:hAnsi="宋体" w:cs="宋体"/>
                <w:color w:val="auto"/>
                <w:kern w:val="0"/>
                <w:sz w:val="28"/>
                <w:szCs w:val="28"/>
              </w:rPr>
            </w:pPr>
            <w:r>
              <w:rPr>
                <w:rFonts w:hint="eastAsia" w:cs="宋体" w:asciiTheme="minorEastAsia" w:hAnsiTheme="minorEastAsia" w:eastAsiaTheme="minorEastAsia"/>
                <w:color w:val="auto"/>
                <w:kern w:val="0"/>
              </w:rPr>
              <w:t>7</w:t>
            </w:r>
          </w:p>
        </w:tc>
      </w:tr>
      <w:tr w14:paraId="2F230A8A">
        <w:tblPrEx>
          <w:tblCellMar>
            <w:top w:w="0" w:type="dxa"/>
            <w:left w:w="108" w:type="dxa"/>
            <w:bottom w:w="0" w:type="dxa"/>
            <w:right w:w="108" w:type="dxa"/>
          </w:tblCellMar>
        </w:tblPrEx>
        <w:trPr>
          <w:trHeight w:val="2775" w:hRule="atLeast"/>
        </w:trPr>
        <w:tc>
          <w:tcPr>
            <w:tcW w:w="400" w:type="dxa"/>
            <w:tcBorders>
              <w:top w:val="nil"/>
              <w:left w:val="single" w:color="auto" w:sz="4" w:space="0"/>
              <w:bottom w:val="single" w:color="auto" w:sz="4" w:space="0"/>
              <w:right w:val="single" w:color="auto" w:sz="4" w:space="0"/>
            </w:tcBorders>
            <w:vAlign w:val="center"/>
          </w:tcPr>
          <w:p w14:paraId="367E515A">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5</w:t>
            </w:r>
          </w:p>
        </w:tc>
        <w:tc>
          <w:tcPr>
            <w:tcW w:w="866" w:type="dxa"/>
            <w:tcBorders>
              <w:top w:val="nil"/>
              <w:left w:val="nil"/>
              <w:bottom w:val="single" w:color="auto" w:sz="4" w:space="0"/>
              <w:right w:val="single" w:color="auto" w:sz="4" w:space="0"/>
            </w:tcBorders>
            <w:vAlign w:val="center"/>
          </w:tcPr>
          <w:p w14:paraId="557C7AB7">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进度方案</w:t>
            </w:r>
          </w:p>
        </w:tc>
        <w:tc>
          <w:tcPr>
            <w:tcW w:w="9117" w:type="dxa"/>
            <w:tcBorders>
              <w:top w:val="nil"/>
              <w:left w:val="nil"/>
              <w:bottom w:val="single" w:color="auto" w:sz="4" w:space="0"/>
              <w:right w:val="single" w:color="auto" w:sz="4" w:space="0"/>
            </w:tcBorders>
            <w:vAlign w:val="center"/>
          </w:tcPr>
          <w:p w14:paraId="34A39C00">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根据投标人提供的进度计划及进度保障等进行综合评价：</w:t>
            </w:r>
          </w:p>
          <w:p w14:paraId="7BAAAB70">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1.进度计划完全满足采购人的时间进度要求，进度计划合理、可操作性强，得</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.1-</w:t>
            </w:r>
            <w:r>
              <w:rPr>
                <w:rFonts w:hint="eastAsia" w:cs="宋体" w:asciiTheme="minorEastAsia" w:hAnsiTheme="minorEastAsia" w:eastAsiaTheme="minorEastAsia"/>
                <w:color w:val="auto"/>
                <w:kern w:val="0"/>
                <w:lang w:val="en-US" w:eastAsia="zh-CN"/>
              </w:rPr>
              <w:t>7</w:t>
            </w:r>
            <w:r>
              <w:rPr>
                <w:rFonts w:hint="eastAsia" w:cs="宋体" w:asciiTheme="minorEastAsia" w:hAnsiTheme="minorEastAsia" w:eastAsiaTheme="minorEastAsia"/>
                <w:color w:val="auto"/>
                <w:kern w:val="0"/>
              </w:rPr>
              <w:t>.0分；</w:t>
            </w:r>
          </w:p>
          <w:p w14:paraId="658F60E7">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2.进度计划基本满足采购人的时间进度要求，进度计划基本合理、可操作性一般，得</w:t>
            </w:r>
            <w:r>
              <w:rPr>
                <w:rFonts w:hint="eastAsia" w:cs="宋体" w:asciiTheme="minorEastAsia" w:hAnsiTheme="minorEastAsia" w:eastAsiaTheme="minorEastAsia"/>
                <w:color w:val="auto"/>
                <w:kern w:val="0"/>
                <w:lang w:val="en-US" w:eastAsia="zh-CN"/>
              </w:rPr>
              <w:t>3</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6</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.0分；</w:t>
            </w:r>
          </w:p>
          <w:p w14:paraId="1BFADFF0">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3.进度计划不满足采购人的时间进度要求，进度计划不够合理、可操作性差，得2.</w:t>
            </w:r>
            <w:r>
              <w:rPr>
                <w:rFonts w:hint="eastAsia" w:cs="宋体" w:asciiTheme="minorEastAsia" w:hAnsiTheme="minorEastAsia" w:eastAsiaTheme="minorEastAsia"/>
                <w:color w:val="auto"/>
                <w:kern w:val="0"/>
                <w:lang w:val="en-US" w:eastAsia="zh-CN"/>
              </w:rPr>
              <w:t>1</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3</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分；</w:t>
            </w:r>
          </w:p>
          <w:p w14:paraId="765E5504">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4.进度计划不满足采购人的时间进度要求，进度计划不合理、无可操作性，得0.1-2.0分；</w:t>
            </w:r>
          </w:p>
          <w:p w14:paraId="7497F7C5">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5.不提供不得分。</w:t>
            </w:r>
          </w:p>
        </w:tc>
        <w:tc>
          <w:tcPr>
            <w:tcW w:w="883" w:type="dxa"/>
            <w:tcBorders>
              <w:top w:val="nil"/>
              <w:left w:val="nil"/>
              <w:bottom w:val="single" w:color="auto" w:sz="4" w:space="0"/>
              <w:right w:val="single" w:color="auto" w:sz="4" w:space="0"/>
            </w:tcBorders>
            <w:vAlign w:val="center"/>
          </w:tcPr>
          <w:p w14:paraId="01AFEEF1">
            <w:pPr>
              <w:widowControl/>
              <w:jc w:val="center"/>
              <w:rPr>
                <w:rFonts w:ascii="宋体" w:hAnsi="宋体" w:cs="宋体"/>
                <w:color w:val="auto"/>
                <w:kern w:val="0"/>
                <w:sz w:val="28"/>
                <w:szCs w:val="28"/>
              </w:rPr>
            </w:pPr>
            <w:r>
              <w:rPr>
                <w:rFonts w:hint="eastAsia" w:cs="宋体" w:asciiTheme="minorEastAsia" w:hAnsiTheme="minorEastAsia" w:eastAsiaTheme="minorEastAsia"/>
                <w:color w:val="auto"/>
                <w:kern w:val="0"/>
              </w:rPr>
              <w:t>7</w:t>
            </w:r>
          </w:p>
        </w:tc>
      </w:tr>
      <w:tr w14:paraId="0D95BE0A">
        <w:tblPrEx>
          <w:tblCellMar>
            <w:top w:w="0" w:type="dxa"/>
            <w:left w:w="108" w:type="dxa"/>
            <w:bottom w:w="0" w:type="dxa"/>
            <w:right w:w="108" w:type="dxa"/>
          </w:tblCellMar>
        </w:tblPrEx>
        <w:trPr>
          <w:trHeight w:val="1417" w:hRule="atLeast"/>
        </w:trPr>
        <w:tc>
          <w:tcPr>
            <w:tcW w:w="400" w:type="dxa"/>
            <w:tcBorders>
              <w:top w:val="nil"/>
              <w:left w:val="single" w:color="auto" w:sz="4" w:space="0"/>
              <w:bottom w:val="single" w:color="auto" w:sz="4" w:space="0"/>
              <w:right w:val="single" w:color="auto" w:sz="4" w:space="0"/>
            </w:tcBorders>
            <w:vAlign w:val="center"/>
          </w:tcPr>
          <w:p w14:paraId="7B44F868">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6</w:t>
            </w:r>
          </w:p>
        </w:tc>
        <w:tc>
          <w:tcPr>
            <w:tcW w:w="866" w:type="dxa"/>
            <w:tcBorders>
              <w:top w:val="nil"/>
              <w:left w:val="nil"/>
              <w:bottom w:val="single" w:color="auto" w:sz="4" w:space="0"/>
              <w:right w:val="single" w:color="auto" w:sz="4" w:space="0"/>
            </w:tcBorders>
            <w:vAlign w:val="center"/>
          </w:tcPr>
          <w:p w14:paraId="455AD457">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服务质量保障</w:t>
            </w:r>
          </w:p>
        </w:tc>
        <w:tc>
          <w:tcPr>
            <w:tcW w:w="9117" w:type="dxa"/>
            <w:tcBorders>
              <w:top w:val="nil"/>
              <w:left w:val="nil"/>
              <w:bottom w:val="single" w:color="auto" w:sz="4" w:space="0"/>
              <w:right w:val="single" w:color="auto" w:sz="4" w:space="0"/>
            </w:tcBorders>
            <w:vAlign w:val="center"/>
          </w:tcPr>
          <w:p w14:paraId="2472818D">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根据投标人提供的服务质量保障措施及服务承诺等，进行综合评价：</w:t>
            </w:r>
          </w:p>
          <w:p w14:paraId="1381D8A8">
            <w:pPr>
              <w:widowControl/>
              <w:numPr>
                <w:ilvl w:val="0"/>
                <w:numId w:val="4"/>
              </w:numPr>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保障措施及承诺清晰具体，方案内容完整明确，得</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.1-</w:t>
            </w:r>
            <w:r>
              <w:rPr>
                <w:rFonts w:hint="eastAsia" w:cs="宋体" w:asciiTheme="minorEastAsia" w:hAnsiTheme="minorEastAsia" w:eastAsiaTheme="minorEastAsia"/>
                <w:color w:val="auto"/>
                <w:kern w:val="0"/>
                <w:lang w:val="en-US" w:eastAsia="zh-CN"/>
              </w:rPr>
              <w:t>7</w:t>
            </w:r>
            <w:r>
              <w:rPr>
                <w:rFonts w:hint="eastAsia" w:cs="宋体" w:asciiTheme="minorEastAsia" w:hAnsiTheme="minorEastAsia" w:eastAsiaTheme="minorEastAsia"/>
                <w:color w:val="auto"/>
                <w:kern w:val="0"/>
              </w:rPr>
              <w:t>.0分；</w:t>
            </w:r>
          </w:p>
          <w:p w14:paraId="3F1B52F3">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2.保障措施及承诺清晰，方案内容相对完整，但是基本明确，得</w:t>
            </w:r>
            <w:r>
              <w:rPr>
                <w:rFonts w:hint="eastAsia" w:cs="宋体" w:asciiTheme="minorEastAsia" w:hAnsiTheme="minorEastAsia" w:eastAsiaTheme="minorEastAsia"/>
                <w:color w:val="auto"/>
                <w:kern w:val="0"/>
                <w:lang w:val="en-US" w:eastAsia="zh-CN"/>
              </w:rPr>
              <w:t>3</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6</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 xml:space="preserve">.0分 </w:t>
            </w:r>
          </w:p>
          <w:p w14:paraId="359CAC80">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3.保障措施及承诺基本完善，方案内容不够明确，得2.1-</w:t>
            </w:r>
            <w:r>
              <w:rPr>
                <w:rFonts w:hint="eastAsia" w:cs="宋体" w:asciiTheme="minorEastAsia" w:hAnsiTheme="minorEastAsia" w:eastAsiaTheme="minorEastAsia"/>
                <w:color w:val="auto"/>
                <w:kern w:val="0"/>
                <w:lang w:val="en-US" w:eastAsia="zh-CN"/>
              </w:rPr>
              <w:t>3</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分；</w:t>
            </w:r>
          </w:p>
          <w:p w14:paraId="7BC3B2A6">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4.保障措施及承诺不够完善，方案内容不明确，得0.1-2.0分；</w:t>
            </w:r>
          </w:p>
          <w:p w14:paraId="1A8C2B6B">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不提供不得分。</w:t>
            </w:r>
          </w:p>
        </w:tc>
        <w:tc>
          <w:tcPr>
            <w:tcW w:w="883" w:type="dxa"/>
            <w:tcBorders>
              <w:top w:val="nil"/>
              <w:left w:val="nil"/>
              <w:bottom w:val="single" w:color="auto" w:sz="4" w:space="0"/>
              <w:right w:val="single" w:color="auto" w:sz="4" w:space="0"/>
            </w:tcBorders>
            <w:vAlign w:val="center"/>
          </w:tcPr>
          <w:p w14:paraId="033CBBA3">
            <w:pPr>
              <w:widowControl/>
              <w:jc w:val="center"/>
              <w:rPr>
                <w:rFonts w:ascii="宋体" w:hAnsi="宋体" w:cs="宋体"/>
                <w:color w:val="auto"/>
                <w:kern w:val="0"/>
                <w:sz w:val="28"/>
                <w:szCs w:val="28"/>
              </w:rPr>
            </w:pPr>
            <w:r>
              <w:rPr>
                <w:rFonts w:hint="eastAsia" w:cs="宋体" w:asciiTheme="minorEastAsia" w:hAnsiTheme="minorEastAsia" w:eastAsiaTheme="minorEastAsia"/>
                <w:color w:val="auto"/>
                <w:kern w:val="0"/>
              </w:rPr>
              <w:t>7</w:t>
            </w:r>
          </w:p>
        </w:tc>
      </w:tr>
      <w:tr w14:paraId="5797A30D">
        <w:tblPrEx>
          <w:tblCellMar>
            <w:top w:w="0" w:type="dxa"/>
            <w:left w:w="108" w:type="dxa"/>
            <w:bottom w:w="0" w:type="dxa"/>
            <w:right w:w="108" w:type="dxa"/>
          </w:tblCellMar>
        </w:tblPrEx>
        <w:trPr>
          <w:trHeight w:val="1848" w:hRule="atLeast"/>
        </w:trPr>
        <w:tc>
          <w:tcPr>
            <w:tcW w:w="400" w:type="dxa"/>
            <w:tcBorders>
              <w:top w:val="nil"/>
              <w:left w:val="single" w:color="auto" w:sz="4" w:space="0"/>
              <w:bottom w:val="single" w:color="auto" w:sz="4" w:space="0"/>
              <w:right w:val="single" w:color="auto" w:sz="4" w:space="0"/>
            </w:tcBorders>
            <w:vAlign w:val="center"/>
          </w:tcPr>
          <w:p w14:paraId="3429E45A">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7</w:t>
            </w:r>
          </w:p>
        </w:tc>
        <w:tc>
          <w:tcPr>
            <w:tcW w:w="866" w:type="dxa"/>
            <w:tcBorders>
              <w:top w:val="nil"/>
              <w:left w:val="nil"/>
              <w:bottom w:val="single" w:color="auto" w:sz="4" w:space="0"/>
              <w:right w:val="single" w:color="auto" w:sz="4" w:space="0"/>
            </w:tcBorders>
            <w:vAlign w:val="center"/>
          </w:tcPr>
          <w:p w14:paraId="21E37827">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rPr>
              <w:t>服务应急方案</w:t>
            </w:r>
          </w:p>
        </w:tc>
        <w:tc>
          <w:tcPr>
            <w:tcW w:w="9117" w:type="dxa"/>
            <w:tcBorders>
              <w:top w:val="nil"/>
              <w:left w:val="nil"/>
              <w:bottom w:val="single" w:color="auto" w:sz="4" w:space="0"/>
              <w:right w:val="single" w:color="auto" w:sz="4" w:space="0"/>
            </w:tcBorders>
            <w:vAlign w:val="center"/>
          </w:tcPr>
          <w:p w14:paraId="15469C96">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 xml:space="preserve">根据投标人提供的针对突发事件分析及应对措施等进行综合评价： </w:t>
            </w:r>
          </w:p>
          <w:p w14:paraId="0E0FE800">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1.方案内容各项措施详尽完善、布局规划科学合理、针对性强，得</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.1-</w:t>
            </w:r>
            <w:r>
              <w:rPr>
                <w:rFonts w:hint="eastAsia" w:cs="宋体" w:asciiTheme="minorEastAsia" w:hAnsiTheme="minorEastAsia" w:eastAsiaTheme="minorEastAsia"/>
                <w:color w:val="auto"/>
                <w:kern w:val="0"/>
                <w:lang w:val="en-US" w:eastAsia="zh-CN"/>
              </w:rPr>
              <w:t>7</w:t>
            </w:r>
            <w:r>
              <w:rPr>
                <w:rFonts w:hint="eastAsia" w:cs="宋体" w:asciiTheme="minorEastAsia" w:hAnsiTheme="minorEastAsia" w:eastAsiaTheme="minorEastAsia"/>
                <w:color w:val="auto"/>
                <w:kern w:val="0"/>
              </w:rPr>
              <w:t xml:space="preserve">.0分； </w:t>
            </w:r>
          </w:p>
          <w:p w14:paraId="58D6455C">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2.方案内容各项措施完善、布局规划较合理、针对性较强，得</w:t>
            </w:r>
            <w:r>
              <w:rPr>
                <w:rFonts w:hint="eastAsia" w:cs="宋体" w:asciiTheme="minorEastAsia" w:hAnsiTheme="minorEastAsia" w:eastAsiaTheme="minorEastAsia"/>
                <w:color w:val="auto"/>
                <w:kern w:val="0"/>
                <w:lang w:val="en-US" w:eastAsia="zh-CN"/>
              </w:rPr>
              <w:t>3</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6</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 xml:space="preserve">.0分； </w:t>
            </w:r>
          </w:p>
          <w:p w14:paraId="26371514">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3.方案内容基本合理性但针对性和重点不明确，相关服务措施不够具体或涵盖不全面，得2.1-</w:t>
            </w:r>
            <w:r>
              <w:rPr>
                <w:rFonts w:hint="eastAsia" w:cs="宋体" w:asciiTheme="minorEastAsia" w:hAnsiTheme="minorEastAsia" w:eastAsiaTheme="minorEastAsia"/>
                <w:color w:val="auto"/>
                <w:kern w:val="0"/>
                <w:lang w:val="en-US" w:eastAsia="zh-CN"/>
              </w:rPr>
              <w:t>3</w:t>
            </w:r>
            <w:r>
              <w:rPr>
                <w:rFonts w:hint="eastAsia" w:cs="宋体" w:asciiTheme="minorEastAsia" w:hAnsiTheme="minorEastAsia" w:eastAsiaTheme="minorEastAsia"/>
                <w:color w:val="auto"/>
                <w:kern w:val="0"/>
              </w:rPr>
              <w:t>.</w:t>
            </w:r>
            <w:r>
              <w:rPr>
                <w:rFonts w:hint="eastAsia" w:cs="宋体" w:asciiTheme="minorEastAsia" w:hAnsiTheme="minorEastAsia" w:eastAsiaTheme="minorEastAsia"/>
                <w:color w:val="auto"/>
                <w:kern w:val="0"/>
                <w:lang w:val="en-US" w:eastAsia="zh-CN"/>
              </w:rPr>
              <w:t>5</w:t>
            </w:r>
            <w:r>
              <w:rPr>
                <w:rFonts w:hint="eastAsia" w:cs="宋体" w:asciiTheme="minorEastAsia" w:hAnsiTheme="minorEastAsia" w:eastAsiaTheme="minorEastAsia"/>
                <w:color w:val="auto"/>
                <w:kern w:val="0"/>
              </w:rPr>
              <w:t xml:space="preserve">分； </w:t>
            </w:r>
          </w:p>
          <w:p w14:paraId="565D8DD7">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4.方案内容无合理性且针对性和重点不明确，相关服务措施不具体或涵盖不全面，得0.1-2.0分；</w:t>
            </w:r>
          </w:p>
          <w:p w14:paraId="062E95BD">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5.不提供不得分</w:t>
            </w:r>
          </w:p>
        </w:tc>
        <w:tc>
          <w:tcPr>
            <w:tcW w:w="883" w:type="dxa"/>
            <w:tcBorders>
              <w:top w:val="nil"/>
              <w:left w:val="nil"/>
              <w:bottom w:val="single" w:color="auto" w:sz="4" w:space="0"/>
              <w:right w:val="single" w:color="auto" w:sz="4" w:space="0"/>
            </w:tcBorders>
            <w:vAlign w:val="center"/>
          </w:tcPr>
          <w:p w14:paraId="2B65C55B">
            <w:pPr>
              <w:widowControl/>
              <w:jc w:val="center"/>
              <w:rPr>
                <w:rFonts w:ascii="宋体" w:hAnsi="宋体" w:cs="宋体"/>
                <w:color w:val="auto"/>
                <w:kern w:val="0"/>
                <w:sz w:val="28"/>
                <w:szCs w:val="28"/>
              </w:rPr>
            </w:pPr>
            <w:r>
              <w:rPr>
                <w:rFonts w:hint="eastAsia" w:cs="宋体" w:asciiTheme="minorEastAsia" w:hAnsiTheme="minorEastAsia" w:eastAsiaTheme="minorEastAsia"/>
                <w:color w:val="auto"/>
                <w:kern w:val="0"/>
              </w:rPr>
              <w:t>7</w:t>
            </w:r>
          </w:p>
        </w:tc>
      </w:tr>
      <w:tr w14:paraId="01E982E8">
        <w:tblPrEx>
          <w:tblCellMar>
            <w:top w:w="0" w:type="dxa"/>
            <w:left w:w="108" w:type="dxa"/>
            <w:bottom w:w="0" w:type="dxa"/>
            <w:right w:w="108" w:type="dxa"/>
          </w:tblCellMar>
        </w:tblPrEx>
        <w:trPr>
          <w:trHeight w:val="2761" w:hRule="atLeast"/>
        </w:trPr>
        <w:tc>
          <w:tcPr>
            <w:tcW w:w="400" w:type="dxa"/>
            <w:tcBorders>
              <w:top w:val="nil"/>
              <w:left w:val="single" w:color="auto" w:sz="4" w:space="0"/>
              <w:bottom w:val="single" w:color="auto" w:sz="4" w:space="0"/>
              <w:right w:val="single" w:color="auto" w:sz="4" w:space="0"/>
            </w:tcBorders>
            <w:vAlign w:val="center"/>
          </w:tcPr>
          <w:p w14:paraId="703FEDBB">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szCs w:val="28"/>
              </w:rPr>
              <w:t>8</w:t>
            </w:r>
          </w:p>
        </w:tc>
        <w:tc>
          <w:tcPr>
            <w:tcW w:w="866" w:type="dxa"/>
            <w:tcBorders>
              <w:top w:val="nil"/>
              <w:left w:val="nil"/>
              <w:bottom w:val="single" w:color="auto" w:sz="4" w:space="0"/>
              <w:right w:val="single" w:color="auto" w:sz="4" w:space="0"/>
            </w:tcBorders>
            <w:vAlign w:val="center"/>
          </w:tcPr>
          <w:p w14:paraId="5B5821D7">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szCs w:val="28"/>
              </w:rPr>
              <w:t>项目管理团队</w:t>
            </w:r>
          </w:p>
        </w:tc>
        <w:tc>
          <w:tcPr>
            <w:tcW w:w="9117" w:type="dxa"/>
            <w:tcBorders>
              <w:top w:val="nil"/>
              <w:left w:val="nil"/>
              <w:bottom w:val="single" w:color="auto" w:sz="4" w:space="0"/>
              <w:right w:val="single" w:color="auto" w:sz="4" w:space="0"/>
            </w:tcBorders>
            <w:vAlign w:val="center"/>
          </w:tcPr>
          <w:p w14:paraId="57C72407">
            <w:pPr>
              <w:widowControl/>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具备一线在岗绿化工人</w:t>
            </w:r>
            <w:r>
              <w:rPr>
                <w:rFonts w:cs="宋体" w:asciiTheme="minorEastAsia" w:hAnsiTheme="minorEastAsia" w:eastAsiaTheme="minorEastAsia"/>
                <w:color w:val="auto"/>
                <w:kern w:val="0"/>
              </w:rPr>
              <w:t>12</w:t>
            </w:r>
            <w:r>
              <w:rPr>
                <w:rFonts w:hint="eastAsia" w:cs="宋体" w:asciiTheme="minorEastAsia" w:hAnsiTheme="minorEastAsia" w:eastAsiaTheme="minorEastAsia"/>
                <w:color w:val="auto"/>
                <w:kern w:val="0"/>
              </w:rPr>
              <w:t>人（含）以上，其中至少包含1名业务主管、1名园林或园艺专业技术人员、1名高空作业人员，该项人员配齐得9分。</w:t>
            </w:r>
          </w:p>
          <w:p w14:paraId="2AAEDDDD">
            <w:pPr>
              <w:widowControl/>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园林或园艺专业技术人员为中级或以上职称的加3分；高空作业人员增加1人加2分，最多加2分。人员未配齐则该项得0分。</w:t>
            </w:r>
          </w:p>
          <w:p w14:paraId="6BE25D8A">
            <w:pPr>
              <w:widowControl/>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证明材料：投标文件中提供2025年1月1日至今在本单位连续三个月社保缴纳证明扫描件加盖单位公章（涉及电子证书的，可提供官网彩色截图加盖公章），专业技术人员提供职称证书扫描件加盖单位公章，高空作业人员提供高空作业证扫描件加盖单位公章；若用劳务派遣方式的需提供与劳务公司的合同及工资证明。</w:t>
            </w:r>
          </w:p>
        </w:tc>
        <w:tc>
          <w:tcPr>
            <w:tcW w:w="883" w:type="dxa"/>
            <w:tcBorders>
              <w:top w:val="nil"/>
              <w:left w:val="nil"/>
              <w:bottom w:val="single" w:color="auto" w:sz="4" w:space="0"/>
              <w:right w:val="single" w:color="auto" w:sz="4" w:space="0"/>
            </w:tcBorders>
            <w:vAlign w:val="center"/>
          </w:tcPr>
          <w:p w14:paraId="6DAB04F2">
            <w:pPr>
              <w:widowControl/>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14</w:t>
            </w:r>
          </w:p>
        </w:tc>
      </w:tr>
      <w:tr w14:paraId="505B29C7">
        <w:tblPrEx>
          <w:tblCellMar>
            <w:top w:w="0" w:type="dxa"/>
            <w:left w:w="108" w:type="dxa"/>
            <w:bottom w:w="0" w:type="dxa"/>
            <w:right w:w="108" w:type="dxa"/>
          </w:tblCellMar>
        </w:tblPrEx>
        <w:trPr>
          <w:trHeight w:val="2736" w:hRule="atLeast"/>
        </w:trPr>
        <w:tc>
          <w:tcPr>
            <w:tcW w:w="400" w:type="dxa"/>
            <w:tcBorders>
              <w:top w:val="nil"/>
              <w:left w:val="single" w:color="auto" w:sz="4" w:space="0"/>
              <w:bottom w:val="single" w:color="auto" w:sz="4" w:space="0"/>
              <w:right w:val="single" w:color="auto" w:sz="4" w:space="0"/>
            </w:tcBorders>
            <w:vAlign w:val="center"/>
          </w:tcPr>
          <w:p w14:paraId="4024C777">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szCs w:val="28"/>
              </w:rPr>
              <w:t>9</w:t>
            </w:r>
          </w:p>
        </w:tc>
        <w:tc>
          <w:tcPr>
            <w:tcW w:w="866" w:type="dxa"/>
            <w:tcBorders>
              <w:top w:val="nil"/>
              <w:left w:val="nil"/>
              <w:bottom w:val="single" w:color="auto" w:sz="4" w:space="0"/>
              <w:right w:val="single" w:color="auto" w:sz="4" w:space="0"/>
            </w:tcBorders>
            <w:vAlign w:val="center"/>
          </w:tcPr>
          <w:p w14:paraId="0CDE8BCE">
            <w:pPr>
              <w:widowControl/>
              <w:jc w:val="left"/>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szCs w:val="28"/>
              </w:rPr>
              <w:t>设备配置</w:t>
            </w:r>
          </w:p>
        </w:tc>
        <w:tc>
          <w:tcPr>
            <w:tcW w:w="9117" w:type="dxa"/>
            <w:tcBorders>
              <w:top w:val="nil"/>
              <w:left w:val="nil"/>
              <w:bottom w:val="single" w:color="auto" w:sz="4" w:space="0"/>
              <w:right w:val="single" w:color="auto" w:sz="4" w:space="0"/>
            </w:tcBorders>
            <w:vAlign w:val="center"/>
          </w:tcPr>
          <w:p w14:paraId="352D55F9">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1、配备洒水车1辆、高空作业车1辆、垃圾转运车2辆，得8分，不满足不得分。属投标人自有车辆的加分，一辆加1分，最多加4分。</w:t>
            </w:r>
          </w:p>
          <w:p w14:paraId="6D28C98C">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证明材料：车辆为企业自有的须提供车辆行驶证复印件加盖公章；车辆为租赁的须提供租赁合同复印件加盖公章（租赁合同期限须满足本项目服务需求）。</w:t>
            </w:r>
          </w:p>
          <w:p w14:paraId="16E69BFF">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2、配备油锯和高空锯6把以上（含6把），得4分，不满足不得分。如油锯和高空锯全部属投标人自有的加1分。</w:t>
            </w:r>
          </w:p>
          <w:p w14:paraId="14EBE572">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证明材料：设备为自有的须提供购入发票复印件加盖公章；设备为租赁的须提供租赁合同复印件加盖公章（租赁合同期限须满足本项目服务需求）。</w:t>
            </w:r>
          </w:p>
        </w:tc>
        <w:tc>
          <w:tcPr>
            <w:tcW w:w="883" w:type="dxa"/>
            <w:tcBorders>
              <w:top w:val="nil"/>
              <w:left w:val="nil"/>
              <w:bottom w:val="single" w:color="auto" w:sz="4" w:space="0"/>
              <w:right w:val="single" w:color="auto" w:sz="4" w:space="0"/>
            </w:tcBorders>
            <w:vAlign w:val="center"/>
          </w:tcPr>
          <w:p w14:paraId="39C355B1">
            <w:pPr>
              <w:widowControl/>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17</w:t>
            </w:r>
          </w:p>
        </w:tc>
      </w:tr>
      <w:tr w14:paraId="19195362">
        <w:tblPrEx>
          <w:tblCellMar>
            <w:top w:w="0" w:type="dxa"/>
            <w:left w:w="108" w:type="dxa"/>
            <w:bottom w:w="0" w:type="dxa"/>
            <w:right w:w="108" w:type="dxa"/>
          </w:tblCellMar>
        </w:tblPrEx>
        <w:trPr>
          <w:trHeight w:val="1130" w:hRule="atLeast"/>
        </w:trPr>
        <w:tc>
          <w:tcPr>
            <w:tcW w:w="400" w:type="dxa"/>
            <w:tcBorders>
              <w:top w:val="nil"/>
              <w:left w:val="single" w:color="auto" w:sz="4" w:space="0"/>
              <w:bottom w:val="single" w:color="auto" w:sz="4" w:space="0"/>
              <w:right w:val="single" w:color="auto" w:sz="4" w:space="0"/>
            </w:tcBorders>
            <w:vAlign w:val="center"/>
          </w:tcPr>
          <w:p w14:paraId="6CC3AC82">
            <w:pPr>
              <w:widowControl/>
              <w:jc w:val="center"/>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szCs w:val="28"/>
              </w:rPr>
              <w:t>10</w:t>
            </w:r>
          </w:p>
        </w:tc>
        <w:tc>
          <w:tcPr>
            <w:tcW w:w="866" w:type="dxa"/>
            <w:tcBorders>
              <w:top w:val="nil"/>
              <w:left w:val="nil"/>
              <w:bottom w:val="single" w:color="auto" w:sz="4" w:space="0"/>
              <w:right w:val="single" w:color="auto" w:sz="4" w:space="0"/>
            </w:tcBorders>
            <w:vAlign w:val="center"/>
          </w:tcPr>
          <w:p w14:paraId="1D217D9D">
            <w:pPr>
              <w:widowControl/>
              <w:numPr>
                <w:ilvl w:val="255"/>
                <w:numId w:val="0"/>
              </w:numPr>
              <w:jc w:val="left"/>
              <w:rPr>
                <w:rFonts w:cs="宋体" w:asciiTheme="minorEastAsia" w:hAnsiTheme="minorEastAsia" w:eastAsiaTheme="minorEastAsia"/>
                <w:color w:val="auto"/>
                <w:kern w:val="0"/>
                <w:szCs w:val="28"/>
              </w:rPr>
            </w:pPr>
            <w:r>
              <w:rPr>
                <w:rFonts w:hint="eastAsia" w:cs="宋体" w:asciiTheme="minorEastAsia" w:hAnsiTheme="minorEastAsia" w:eastAsiaTheme="minorEastAsia"/>
                <w:color w:val="auto"/>
                <w:kern w:val="0"/>
                <w:szCs w:val="28"/>
              </w:rPr>
              <w:t>业绩</w:t>
            </w:r>
          </w:p>
        </w:tc>
        <w:tc>
          <w:tcPr>
            <w:tcW w:w="9117" w:type="dxa"/>
            <w:tcBorders>
              <w:top w:val="nil"/>
              <w:left w:val="nil"/>
              <w:bottom w:val="single" w:color="auto" w:sz="4" w:space="0"/>
              <w:right w:val="single" w:color="auto" w:sz="4" w:space="0"/>
            </w:tcBorders>
          </w:tcPr>
          <w:p w14:paraId="77116469">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投标人2022年1月1日至投标截止之日，承接过绿化管养服务类业绩（合同内容仅限绿化管养服务），每提供1个业绩得</w:t>
            </w:r>
            <w:r>
              <w:rPr>
                <w:rFonts w:hint="eastAsia" w:cs="宋体" w:asciiTheme="minorEastAsia" w:hAnsiTheme="minorEastAsia" w:eastAsiaTheme="minorEastAsia"/>
                <w:color w:val="auto"/>
                <w:kern w:val="0"/>
                <w:lang w:val="en-US" w:eastAsia="zh-CN"/>
              </w:rPr>
              <w:t>5</w:t>
            </w:r>
            <w:bookmarkStart w:id="129" w:name="_GoBack"/>
            <w:bookmarkEnd w:id="129"/>
            <w:r>
              <w:rPr>
                <w:rFonts w:hint="eastAsia" w:cs="宋体" w:asciiTheme="minorEastAsia" w:hAnsiTheme="minorEastAsia" w:eastAsiaTheme="minorEastAsia"/>
                <w:color w:val="auto"/>
                <w:kern w:val="0"/>
              </w:rPr>
              <w:t xml:space="preserve">分，本项最高得10分。 </w:t>
            </w:r>
          </w:p>
          <w:p w14:paraId="1CCAE02A">
            <w:pPr>
              <w:widowControl/>
              <w:jc w:val="left"/>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证明材料：投标文件中提供合同复印件并加盖公章，时间以合同签订时间为准。</w:t>
            </w:r>
          </w:p>
        </w:tc>
        <w:tc>
          <w:tcPr>
            <w:tcW w:w="883" w:type="dxa"/>
            <w:tcBorders>
              <w:top w:val="nil"/>
              <w:left w:val="nil"/>
              <w:bottom w:val="single" w:color="auto" w:sz="4" w:space="0"/>
              <w:right w:val="single" w:color="auto" w:sz="4" w:space="0"/>
            </w:tcBorders>
            <w:vAlign w:val="center"/>
          </w:tcPr>
          <w:p w14:paraId="43D87DC1">
            <w:pPr>
              <w:widowControl/>
              <w:jc w:val="center"/>
              <w:rPr>
                <w:rFonts w:cs="宋体" w:asciiTheme="minorEastAsia" w:hAnsiTheme="minorEastAsia" w:eastAsiaTheme="minorEastAsia"/>
                <w:color w:val="auto"/>
                <w:kern w:val="0"/>
              </w:rPr>
            </w:pPr>
            <w:r>
              <w:rPr>
                <w:rFonts w:hint="eastAsia" w:cs="宋体" w:asciiTheme="minorEastAsia" w:hAnsiTheme="minorEastAsia" w:eastAsiaTheme="minorEastAsia"/>
                <w:color w:val="auto"/>
                <w:kern w:val="0"/>
              </w:rPr>
              <w:t>10</w:t>
            </w:r>
          </w:p>
        </w:tc>
      </w:tr>
      <w:tr w14:paraId="34C02440">
        <w:tblPrEx>
          <w:tblCellMar>
            <w:top w:w="0" w:type="dxa"/>
            <w:left w:w="108" w:type="dxa"/>
            <w:bottom w:w="0" w:type="dxa"/>
            <w:right w:w="108" w:type="dxa"/>
          </w:tblCellMar>
        </w:tblPrEx>
        <w:trPr>
          <w:trHeight w:val="2536" w:hRule="atLeast"/>
        </w:trPr>
        <w:tc>
          <w:tcPr>
            <w:tcW w:w="400" w:type="dxa"/>
            <w:tcBorders>
              <w:top w:val="nil"/>
              <w:left w:val="single" w:color="auto" w:sz="4" w:space="0"/>
              <w:bottom w:val="single" w:color="auto" w:sz="4" w:space="0"/>
              <w:right w:val="single" w:color="auto" w:sz="4" w:space="0"/>
            </w:tcBorders>
            <w:vAlign w:val="center"/>
          </w:tcPr>
          <w:p w14:paraId="65393275">
            <w:pPr>
              <w:widowControl/>
              <w:jc w:val="center"/>
              <w:rPr>
                <w:rFonts w:cs="宋体" w:asciiTheme="minorEastAsia" w:hAnsiTheme="minorEastAsia" w:eastAsiaTheme="minorEastAsia"/>
                <w:color w:val="000000"/>
                <w:kern w:val="0"/>
                <w:szCs w:val="28"/>
              </w:rPr>
            </w:pPr>
            <w:r>
              <w:rPr>
                <w:rFonts w:hint="eastAsia" w:cs="宋体" w:asciiTheme="minorEastAsia" w:hAnsiTheme="minorEastAsia" w:eastAsiaTheme="minorEastAsia"/>
                <w:color w:val="000000"/>
                <w:kern w:val="0"/>
                <w:szCs w:val="28"/>
              </w:rPr>
              <w:t>11</w:t>
            </w:r>
          </w:p>
        </w:tc>
        <w:tc>
          <w:tcPr>
            <w:tcW w:w="866" w:type="dxa"/>
            <w:tcBorders>
              <w:top w:val="nil"/>
              <w:left w:val="nil"/>
              <w:bottom w:val="single" w:color="auto" w:sz="4" w:space="0"/>
              <w:right w:val="single" w:color="auto" w:sz="4" w:space="0"/>
            </w:tcBorders>
            <w:vAlign w:val="center"/>
          </w:tcPr>
          <w:p w14:paraId="17BAA610">
            <w:pPr>
              <w:widowControl/>
              <w:numPr>
                <w:ilvl w:val="255"/>
                <w:numId w:val="0"/>
              </w:numPr>
              <w:jc w:val="left"/>
              <w:rPr>
                <w:rFonts w:cs="宋体" w:asciiTheme="minorEastAsia" w:hAnsiTheme="minorEastAsia" w:eastAsiaTheme="minorEastAsia"/>
                <w:color w:val="000000"/>
                <w:kern w:val="0"/>
                <w:szCs w:val="28"/>
              </w:rPr>
            </w:pPr>
            <w:r>
              <w:rPr>
                <w:rFonts w:hint="eastAsia" w:cs="宋体" w:asciiTheme="minorEastAsia" w:hAnsiTheme="minorEastAsia" w:eastAsiaTheme="minorEastAsia"/>
                <w:color w:val="000000"/>
                <w:kern w:val="0"/>
                <w:szCs w:val="28"/>
              </w:rPr>
              <w:t>价格分</w:t>
            </w:r>
          </w:p>
        </w:tc>
        <w:tc>
          <w:tcPr>
            <w:tcW w:w="9117" w:type="dxa"/>
            <w:tcBorders>
              <w:top w:val="nil"/>
              <w:left w:val="nil"/>
              <w:bottom w:val="single" w:color="auto" w:sz="4" w:space="0"/>
              <w:right w:val="single" w:color="auto" w:sz="4" w:space="0"/>
            </w:tcBorders>
          </w:tcPr>
          <w:p w14:paraId="07228E10">
            <w:pPr>
              <w:widowControl/>
              <w:numPr>
                <w:ilvl w:val="255"/>
                <w:numId w:val="0"/>
              </w:numPr>
              <w:jc w:val="left"/>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满足本磋商文件要求且最后磋商报价单价总计最低的供应商的价格为磋商基准价，其价格分为满分。其他供应商的价格分统一按照下列公式计算：</w:t>
            </w:r>
          </w:p>
          <w:p w14:paraId="0A77CC8E">
            <w:pPr>
              <w:widowControl/>
              <w:numPr>
                <w:ilvl w:val="255"/>
                <w:numId w:val="0"/>
              </w:numPr>
              <w:jc w:val="left"/>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磋商报价得分=(磋商基准价／最后磋商报价单价总计)×价格权值×100</w:t>
            </w:r>
          </w:p>
          <w:p w14:paraId="74AE98E1">
            <w:pPr>
              <w:widowControl/>
              <w:numPr>
                <w:ilvl w:val="255"/>
                <w:numId w:val="0"/>
              </w:numPr>
              <w:jc w:val="left"/>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注：在评审过程中，磋商小组会发现供应商的最后磋商报价明显低于其他供应商的最后磋商报价，其最后磋商报价可能低于成本价的，应当要求该供应商作出书面说明并提供相关证明材料。供应商不能合理说明或者不能提供相关证明材料的，由磋商小组认定该供应商以低于成本报价竞争，其响应文件作无效响应处理。</w:t>
            </w:r>
          </w:p>
        </w:tc>
        <w:tc>
          <w:tcPr>
            <w:tcW w:w="883" w:type="dxa"/>
            <w:tcBorders>
              <w:top w:val="nil"/>
              <w:left w:val="nil"/>
              <w:bottom w:val="single" w:color="auto" w:sz="4" w:space="0"/>
              <w:right w:val="single" w:color="auto" w:sz="4" w:space="0"/>
            </w:tcBorders>
            <w:vAlign w:val="center"/>
          </w:tcPr>
          <w:p w14:paraId="7E326461">
            <w:pPr>
              <w:widowControl/>
              <w:numPr>
                <w:ilvl w:val="255"/>
                <w:numId w:val="0"/>
              </w:numPr>
              <w:jc w:val="left"/>
              <w:rPr>
                <w:rFonts w:ascii="宋体" w:hAnsi="宋体" w:cs="宋体"/>
                <w:color w:val="000000"/>
                <w:kern w:val="0"/>
                <w:sz w:val="28"/>
                <w:szCs w:val="28"/>
              </w:rPr>
            </w:pPr>
            <w:r>
              <w:rPr>
                <w:rFonts w:hint="eastAsia" w:ascii="宋体" w:hAnsi="宋体" w:cs="宋体"/>
                <w:color w:val="000000"/>
                <w:kern w:val="0"/>
                <w:sz w:val="28"/>
                <w:szCs w:val="28"/>
              </w:rPr>
              <w:t>10</w:t>
            </w:r>
          </w:p>
        </w:tc>
      </w:tr>
      <w:tr w14:paraId="6DE15179">
        <w:tblPrEx>
          <w:tblCellMar>
            <w:top w:w="0" w:type="dxa"/>
            <w:left w:w="108" w:type="dxa"/>
            <w:bottom w:w="0" w:type="dxa"/>
            <w:right w:w="108" w:type="dxa"/>
          </w:tblCellMar>
        </w:tblPrEx>
        <w:trPr>
          <w:trHeight w:val="630" w:hRule="atLeast"/>
        </w:trPr>
        <w:tc>
          <w:tcPr>
            <w:tcW w:w="10383" w:type="dxa"/>
            <w:gridSpan w:val="3"/>
            <w:tcBorders>
              <w:top w:val="single" w:color="auto" w:sz="4" w:space="0"/>
              <w:left w:val="single" w:color="auto" w:sz="4" w:space="0"/>
              <w:bottom w:val="single" w:color="auto" w:sz="4" w:space="0"/>
              <w:right w:val="nil"/>
            </w:tcBorders>
            <w:vAlign w:val="center"/>
          </w:tcPr>
          <w:p w14:paraId="695ACDB8">
            <w:pPr>
              <w:widowControl/>
              <w:jc w:val="center"/>
              <w:rPr>
                <w:rFonts w:cs="宋体" w:asciiTheme="minorEastAsia" w:hAnsiTheme="minorEastAsia" w:eastAsiaTheme="minorEastAsia"/>
                <w:color w:val="000000"/>
                <w:kern w:val="0"/>
                <w:szCs w:val="28"/>
              </w:rPr>
            </w:pPr>
            <w:r>
              <w:rPr>
                <w:rFonts w:hint="eastAsia" w:cs="宋体" w:asciiTheme="minorEastAsia" w:hAnsiTheme="minorEastAsia" w:eastAsiaTheme="minorEastAsia"/>
                <w:color w:val="000000"/>
                <w:kern w:val="0"/>
                <w:szCs w:val="28"/>
              </w:rPr>
              <w:t>总分</w:t>
            </w:r>
          </w:p>
        </w:tc>
        <w:tc>
          <w:tcPr>
            <w:tcW w:w="883" w:type="dxa"/>
            <w:tcBorders>
              <w:top w:val="nil"/>
              <w:left w:val="single" w:color="auto" w:sz="4" w:space="0"/>
              <w:bottom w:val="single" w:color="auto" w:sz="4" w:space="0"/>
              <w:right w:val="single" w:color="auto" w:sz="4" w:space="0"/>
            </w:tcBorders>
            <w:vAlign w:val="center"/>
          </w:tcPr>
          <w:p w14:paraId="2C1BA7F3">
            <w:pPr>
              <w:widowControl/>
              <w:jc w:val="center"/>
              <w:rPr>
                <w:rFonts w:ascii="宋体" w:hAnsi="宋体" w:cs="宋体"/>
                <w:color w:val="000000"/>
                <w:kern w:val="0"/>
                <w:sz w:val="28"/>
                <w:szCs w:val="28"/>
              </w:rPr>
            </w:pPr>
            <w:r>
              <w:rPr>
                <w:rFonts w:hint="eastAsia" w:ascii="宋体" w:hAnsi="宋体" w:cs="宋体"/>
                <w:color w:val="000000"/>
                <w:kern w:val="0"/>
                <w:sz w:val="28"/>
                <w:szCs w:val="28"/>
              </w:rPr>
              <w:t>100</w:t>
            </w:r>
          </w:p>
        </w:tc>
      </w:tr>
    </w:tbl>
    <w:p w14:paraId="453592E5">
      <w:pPr>
        <w:widowControl/>
        <w:spacing w:line="600" w:lineRule="exact"/>
        <w:jc w:val="left"/>
        <w:rPr>
          <w:rFonts w:ascii="宋体" w:hAnsi="宋体" w:cs="宋体"/>
          <w:b/>
        </w:rPr>
      </w:pPr>
    </w:p>
    <w:p w14:paraId="5091CE76">
      <w:pPr>
        <w:widowControl/>
        <w:spacing w:line="600" w:lineRule="exact"/>
        <w:jc w:val="left"/>
        <w:rPr>
          <w:rFonts w:ascii="宋体" w:hAnsi="宋体" w:cs="宋体"/>
        </w:rPr>
      </w:pPr>
      <w:r>
        <w:rPr>
          <w:rFonts w:hint="eastAsia" w:ascii="宋体" w:hAnsi="宋体" w:cs="宋体"/>
          <w:b/>
        </w:rPr>
        <w:t>备注： 最终得分取平均值时按四舍五入法保留到小数点后两位数。</w:t>
      </w:r>
    </w:p>
    <w:p w14:paraId="0674D0BA">
      <w:pPr>
        <w:spacing w:line="600" w:lineRule="exact"/>
        <w:rPr>
          <w:rFonts w:ascii="宋体" w:hAnsi="宋体" w:cs="宋体"/>
        </w:rPr>
      </w:pPr>
    </w:p>
    <w:p w14:paraId="6D9A2FCF">
      <w:pPr>
        <w:widowControl/>
        <w:spacing w:line="600" w:lineRule="exact"/>
        <w:jc w:val="left"/>
        <w:rPr>
          <w:rFonts w:ascii="宋体" w:hAnsi="宋体" w:cs="宋体"/>
          <w:b/>
          <w:sz w:val="32"/>
          <w:szCs w:val="32"/>
        </w:rPr>
      </w:pPr>
      <w:r>
        <w:rPr>
          <w:rFonts w:hint="eastAsia" w:ascii="宋体" w:hAnsi="宋体" w:cs="宋体"/>
          <w:b/>
          <w:sz w:val="32"/>
          <w:szCs w:val="32"/>
        </w:rPr>
        <w:br w:type="page"/>
      </w:r>
    </w:p>
    <w:p w14:paraId="6D2F1199">
      <w:pPr>
        <w:pStyle w:val="8"/>
        <w:snapToGrid w:val="0"/>
        <w:spacing w:line="600" w:lineRule="exact"/>
        <w:ind w:firstLine="0"/>
        <w:jc w:val="center"/>
        <w:outlineLvl w:val="0"/>
      </w:pPr>
      <w:bookmarkStart w:id="86" w:name="_Toc35856200"/>
      <w:bookmarkStart w:id="87" w:name="_Toc48044738"/>
      <w:bookmarkStart w:id="88" w:name="_Toc25697306"/>
      <w:bookmarkStart w:id="89" w:name="_Toc35856327"/>
      <w:r>
        <w:rPr>
          <w:rFonts w:hint="eastAsia" w:ascii="宋体" w:hAnsi="宋体" w:cs="宋体"/>
          <w:b/>
          <w:bCs/>
          <w:sz w:val="30"/>
          <w:szCs w:val="30"/>
        </w:rPr>
        <w:t xml:space="preserve">第五章  </w:t>
      </w:r>
      <w:bookmarkEnd w:id="86"/>
      <w:bookmarkEnd w:id="87"/>
      <w:bookmarkEnd w:id="88"/>
      <w:bookmarkEnd w:id="89"/>
      <w:bookmarkStart w:id="90" w:name="_Toc25697307"/>
      <w:r>
        <w:rPr>
          <w:rFonts w:hint="eastAsia" w:ascii="宋体" w:hAnsi="宋体" w:cs="宋体"/>
          <w:b/>
          <w:bCs/>
          <w:sz w:val="30"/>
          <w:szCs w:val="30"/>
        </w:rPr>
        <w:t>政府采购合同格式</w:t>
      </w:r>
    </w:p>
    <w:p w14:paraId="494C3B0D">
      <w:pPr>
        <w:spacing w:line="360" w:lineRule="auto"/>
        <w:ind w:right="36" w:rightChars="15"/>
        <w:jc w:val="center"/>
        <w:rPr>
          <w:rFonts w:ascii="宋体" w:hAnsi="宋体" w:cs="宋体"/>
          <w:bCs/>
        </w:rPr>
      </w:pPr>
    </w:p>
    <w:p w14:paraId="5FB1E3FE">
      <w:pPr>
        <w:spacing w:line="360" w:lineRule="auto"/>
        <w:ind w:right="36" w:rightChars="15"/>
        <w:jc w:val="center"/>
        <w:rPr>
          <w:rFonts w:ascii="宋体" w:hAnsi="宋体" w:cs="宋体"/>
          <w:bCs/>
        </w:rPr>
      </w:pPr>
      <w:r>
        <w:rPr>
          <w:rFonts w:hint="eastAsia" w:ascii="宋体" w:hAnsi="宋体" w:cs="宋体"/>
          <w:bCs/>
        </w:rPr>
        <w:t>（以双方最终签订的合同为准）</w:t>
      </w:r>
    </w:p>
    <w:p w14:paraId="5551C8D1">
      <w:pPr>
        <w:jc w:val="center"/>
        <w:rPr>
          <w:rFonts w:ascii="宋体" w:hAnsi="宋体" w:cs="宋体"/>
          <w:b/>
          <w:bCs/>
          <w:color w:val="333333"/>
          <w:sz w:val="36"/>
          <w:szCs w:val="36"/>
          <w:shd w:val="clear" w:color="auto" w:fill="FFFFFF"/>
        </w:rPr>
      </w:pPr>
    </w:p>
    <w:p w14:paraId="055DBFF0">
      <w:pPr>
        <w:jc w:val="center"/>
        <w:rPr>
          <w:rFonts w:ascii="宋体" w:hAnsi="宋体" w:cs="宋体"/>
          <w:b/>
          <w:bCs/>
          <w:color w:val="333333"/>
          <w:sz w:val="36"/>
          <w:szCs w:val="36"/>
          <w:shd w:val="clear" w:color="auto" w:fill="FFFFFF"/>
        </w:rPr>
      </w:pPr>
    </w:p>
    <w:p w14:paraId="77A771F7">
      <w:pPr>
        <w:jc w:val="center"/>
        <w:rPr>
          <w:rFonts w:ascii="宋体" w:hAnsi="宋体" w:cs="宋体"/>
          <w:color w:val="333333"/>
          <w:sz w:val="36"/>
          <w:szCs w:val="36"/>
          <w:shd w:val="clear" w:color="auto" w:fill="FFFFFF"/>
        </w:rPr>
      </w:pPr>
      <w:r>
        <w:rPr>
          <w:rFonts w:hint="eastAsia" w:ascii="宋体" w:hAnsi="宋体" w:cs="宋体"/>
          <w:b/>
          <w:bCs/>
          <w:color w:val="333333"/>
          <w:sz w:val="36"/>
          <w:szCs w:val="36"/>
          <w:shd w:val="clear" w:color="auto" w:fill="FFFFFF"/>
        </w:rPr>
        <w:t>2025年美兰区区管道路及公共绿地管养项目</w:t>
      </w:r>
    </w:p>
    <w:p w14:paraId="6301B377">
      <w:pPr>
        <w:jc w:val="center"/>
        <w:rPr>
          <w:b/>
          <w:bCs/>
          <w:sz w:val="36"/>
          <w:szCs w:val="36"/>
        </w:rPr>
      </w:pPr>
      <w:r>
        <w:rPr>
          <w:rFonts w:hint="eastAsia" w:ascii="宋体" w:hAnsi="宋体" w:cs="宋体"/>
          <w:color w:val="333333"/>
          <w:sz w:val="36"/>
          <w:szCs w:val="36"/>
          <w:shd w:val="clear" w:color="auto" w:fill="FFFFFF"/>
        </w:rPr>
        <w:t>（X包）</w:t>
      </w:r>
    </w:p>
    <w:p w14:paraId="062D31B0">
      <w:pPr>
        <w:pStyle w:val="3"/>
        <w:tabs>
          <w:tab w:val="left" w:pos="4860"/>
        </w:tabs>
        <w:rPr>
          <w:rFonts w:ascii="宋体" w:hAnsi="宋体"/>
        </w:rPr>
      </w:pPr>
    </w:p>
    <w:p w14:paraId="1B57A9A2">
      <w:pPr>
        <w:pStyle w:val="3"/>
        <w:tabs>
          <w:tab w:val="left" w:pos="4860"/>
        </w:tabs>
        <w:jc w:val="center"/>
        <w:rPr>
          <w:sz w:val="36"/>
          <w:szCs w:val="28"/>
        </w:rPr>
      </w:pPr>
      <w:r>
        <w:rPr>
          <w:rFonts w:hint="eastAsia" w:ascii="宋体" w:hAnsi="宋体"/>
          <w:sz w:val="36"/>
          <w:szCs w:val="28"/>
        </w:rPr>
        <w:t>管养</w:t>
      </w:r>
      <w:r>
        <w:rPr>
          <w:sz w:val="36"/>
          <w:szCs w:val="28"/>
        </w:rPr>
        <w:t>合同</w:t>
      </w:r>
    </w:p>
    <w:p w14:paraId="2E1926F8">
      <w:pPr>
        <w:rPr>
          <w:sz w:val="40"/>
          <w:szCs w:val="40"/>
        </w:rPr>
      </w:pPr>
    </w:p>
    <w:p w14:paraId="1F5FE843">
      <w:pPr>
        <w:rPr>
          <w:sz w:val="40"/>
          <w:szCs w:val="40"/>
        </w:rPr>
      </w:pPr>
    </w:p>
    <w:p w14:paraId="7A94ADD4">
      <w:pPr>
        <w:rPr>
          <w:sz w:val="40"/>
          <w:szCs w:val="40"/>
        </w:rPr>
      </w:pPr>
    </w:p>
    <w:p w14:paraId="319A0C31">
      <w:pPr>
        <w:rPr>
          <w:sz w:val="40"/>
          <w:szCs w:val="40"/>
        </w:rPr>
      </w:pPr>
    </w:p>
    <w:p w14:paraId="56E92AA1">
      <w:pPr>
        <w:rPr>
          <w:sz w:val="36"/>
          <w:szCs w:val="36"/>
          <w:u w:val="single"/>
        </w:rPr>
      </w:pPr>
      <w:r>
        <w:rPr>
          <w:rFonts w:hint="eastAsia"/>
          <w:sz w:val="36"/>
          <w:szCs w:val="36"/>
        </w:rPr>
        <w:t>采  购  人：</w:t>
      </w:r>
      <w:r>
        <w:rPr>
          <w:rFonts w:hint="eastAsia" w:ascii="宋体" w:hAnsi="宋体" w:cs="宋体"/>
          <w:sz w:val="36"/>
          <w:szCs w:val="36"/>
          <w:u w:val="single"/>
        </w:rPr>
        <w:t xml:space="preserve">                       </w:t>
      </w:r>
    </w:p>
    <w:p w14:paraId="0CB5E232">
      <w:pPr>
        <w:rPr>
          <w:sz w:val="36"/>
          <w:szCs w:val="36"/>
        </w:rPr>
      </w:pPr>
    </w:p>
    <w:p w14:paraId="262491B1">
      <w:pPr>
        <w:rPr>
          <w:sz w:val="36"/>
          <w:szCs w:val="36"/>
          <w:u w:val="single"/>
        </w:rPr>
      </w:pPr>
      <w:r>
        <w:rPr>
          <w:rFonts w:hint="eastAsia"/>
          <w:sz w:val="36"/>
          <w:szCs w:val="36"/>
        </w:rPr>
        <w:t>中标供应商：</w:t>
      </w:r>
      <w:r>
        <w:rPr>
          <w:rFonts w:hint="eastAsia" w:ascii="宋体" w:hAnsi="宋体" w:cs="宋体"/>
          <w:color w:val="333333"/>
          <w:sz w:val="36"/>
          <w:szCs w:val="36"/>
          <w:u w:val="single"/>
          <w:shd w:val="clear" w:color="auto" w:fill="FFFFFF"/>
        </w:rPr>
        <w:t xml:space="preserve">                       </w:t>
      </w:r>
    </w:p>
    <w:p w14:paraId="45B08C2D">
      <w:pPr>
        <w:rPr>
          <w:sz w:val="36"/>
          <w:szCs w:val="36"/>
        </w:rPr>
      </w:pPr>
    </w:p>
    <w:p w14:paraId="693C015A">
      <w:pPr>
        <w:rPr>
          <w:sz w:val="36"/>
          <w:szCs w:val="36"/>
          <w:u w:val="single"/>
        </w:rPr>
      </w:pPr>
      <w:r>
        <w:rPr>
          <w:rFonts w:hint="eastAsia"/>
          <w:sz w:val="36"/>
          <w:szCs w:val="36"/>
        </w:rPr>
        <w:t>代 理 机 构：</w:t>
      </w:r>
      <w:r>
        <w:rPr>
          <w:rFonts w:hint="eastAsia" w:ascii="宋体" w:hAnsi="宋体" w:cs="宋体"/>
          <w:color w:val="333333"/>
          <w:sz w:val="36"/>
          <w:szCs w:val="36"/>
          <w:u w:val="single"/>
          <w:shd w:val="clear" w:color="auto" w:fill="FFFFFF"/>
        </w:rPr>
        <w:t xml:space="preserve">                      </w:t>
      </w:r>
    </w:p>
    <w:p w14:paraId="1FB9A5EC">
      <w:pPr>
        <w:rPr>
          <w:sz w:val="36"/>
          <w:szCs w:val="36"/>
        </w:rPr>
      </w:pPr>
    </w:p>
    <w:p w14:paraId="65533873">
      <w:pPr>
        <w:pStyle w:val="2"/>
      </w:pPr>
    </w:p>
    <w:p w14:paraId="27F87ECE"/>
    <w:p w14:paraId="151A310C">
      <w:pPr>
        <w:pStyle w:val="2"/>
        <w:snapToGrid w:val="0"/>
        <w:spacing w:before="0" w:after="0" w:line="400" w:lineRule="exact"/>
        <w:ind w:left="0"/>
        <w:rPr>
          <w:rFonts w:hAnsi="宋体"/>
          <w:sz w:val="24"/>
          <w:szCs w:val="24"/>
        </w:rPr>
      </w:pPr>
    </w:p>
    <w:p w14:paraId="0D13985E">
      <w:pPr>
        <w:pStyle w:val="2"/>
        <w:snapToGrid w:val="0"/>
        <w:spacing w:before="0" w:after="0" w:line="400" w:lineRule="exact"/>
        <w:ind w:left="0"/>
        <w:rPr>
          <w:rFonts w:hAnsi="宋体"/>
          <w:sz w:val="24"/>
          <w:szCs w:val="24"/>
        </w:rPr>
      </w:pPr>
    </w:p>
    <w:p w14:paraId="4968874C">
      <w:pPr>
        <w:pStyle w:val="2"/>
        <w:snapToGrid w:val="0"/>
        <w:spacing w:before="0" w:after="0" w:line="400" w:lineRule="exact"/>
        <w:ind w:left="0"/>
        <w:rPr>
          <w:rFonts w:hAnsi="宋体"/>
          <w:sz w:val="24"/>
          <w:szCs w:val="24"/>
        </w:rPr>
      </w:pPr>
    </w:p>
    <w:p w14:paraId="3F27AAEF">
      <w:pPr>
        <w:pStyle w:val="2"/>
        <w:snapToGrid w:val="0"/>
        <w:spacing w:before="0" w:after="0" w:line="400" w:lineRule="exact"/>
        <w:ind w:left="0"/>
        <w:rPr>
          <w:rFonts w:hAnsi="宋体"/>
          <w:sz w:val="24"/>
          <w:szCs w:val="24"/>
        </w:rPr>
      </w:pPr>
    </w:p>
    <w:p w14:paraId="53BF7632">
      <w:pPr>
        <w:pStyle w:val="2"/>
        <w:snapToGrid w:val="0"/>
        <w:spacing w:before="0" w:after="0" w:line="400" w:lineRule="exact"/>
        <w:ind w:left="0"/>
        <w:rPr>
          <w:sz w:val="24"/>
          <w:szCs w:val="24"/>
        </w:rPr>
      </w:pPr>
      <w:r>
        <w:rPr>
          <w:rFonts w:hint="eastAsia" w:hAnsi="宋体"/>
          <w:sz w:val="24"/>
          <w:szCs w:val="24"/>
        </w:rPr>
        <w:t>管养</w:t>
      </w:r>
      <w:r>
        <w:rPr>
          <w:rFonts w:hint="eastAsia"/>
          <w:sz w:val="24"/>
          <w:szCs w:val="24"/>
        </w:rPr>
        <w:t>合同</w:t>
      </w:r>
    </w:p>
    <w:p w14:paraId="07EA8C02">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甲方：海口市美兰区园林管理局</w:t>
      </w:r>
    </w:p>
    <w:p w14:paraId="57640A7E">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乙方：</w:t>
      </w:r>
    </w:p>
    <w:p w14:paraId="3E5C24DD">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为了明确甲乙双方权利和义务，履行各自的职责。高效优质地完成绿化管理养护任务，根据《中华人民共和国民法典》的有关规定。经甲乙双方在平等、自愿的基础上共同协商一致，现签订本绿化管理养护承包合同。</w:t>
      </w:r>
    </w:p>
    <w:p w14:paraId="4776DDD1">
      <w:pPr>
        <w:adjustRightInd w:val="0"/>
        <w:snapToGrid w:val="0"/>
        <w:spacing w:line="400" w:lineRule="exact"/>
        <w:ind w:firstLine="482" w:firstLineChars="200"/>
        <w:rPr>
          <w:rFonts w:ascii="仿宋" w:hAnsi="仿宋" w:eastAsia="仿宋" w:cs="仿宋"/>
          <w:b/>
          <w:bCs/>
        </w:rPr>
      </w:pPr>
      <w:r>
        <w:rPr>
          <w:rFonts w:hint="eastAsia" w:ascii="仿宋" w:hAnsi="仿宋" w:eastAsia="仿宋" w:cs="仿宋"/>
          <w:b/>
          <w:bCs/>
        </w:rPr>
        <w:t>第一条:项目名称</w:t>
      </w:r>
    </w:p>
    <w:p w14:paraId="6F009821">
      <w:pPr>
        <w:adjustRightInd w:val="0"/>
        <w:snapToGrid w:val="0"/>
        <w:spacing w:line="400" w:lineRule="exact"/>
        <w:ind w:firstLine="480" w:firstLineChars="200"/>
        <w:rPr>
          <w:rFonts w:ascii="仿宋" w:hAnsi="仿宋" w:eastAsia="仿宋" w:cs="仿宋"/>
          <w:color w:val="333333"/>
          <w:u w:val="single"/>
          <w:shd w:val="clear" w:color="auto" w:fill="FFFFFF"/>
        </w:rPr>
      </w:pPr>
      <w:r>
        <w:rPr>
          <w:rFonts w:hint="eastAsia" w:ascii="仿宋" w:hAnsi="仿宋" w:eastAsia="仿宋" w:cs="仿宋"/>
          <w:color w:val="333333"/>
          <w:u w:val="single"/>
          <w:shd w:val="clear" w:color="auto" w:fill="FFFFFF"/>
        </w:rPr>
        <w:t>XXX项目</w:t>
      </w:r>
    </w:p>
    <w:p w14:paraId="532BE0E1">
      <w:pPr>
        <w:adjustRightInd w:val="0"/>
        <w:snapToGrid w:val="0"/>
        <w:spacing w:line="400" w:lineRule="exact"/>
        <w:ind w:firstLine="482" w:firstLineChars="200"/>
        <w:rPr>
          <w:rFonts w:ascii="仿宋" w:hAnsi="仿宋" w:eastAsia="仿宋" w:cs="仿宋"/>
          <w:b/>
          <w:bCs/>
        </w:rPr>
      </w:pPr>
      <w:r>
        <w:rPr>
          <w:rFonts w:hint="eastAsia" w:ascii="仿宋" w:hAnsi="仿宋" w:eastAsia="仿宋" w:cs="仿宋"/>
          <w:b/>
          <w:bCs/>
        </w:rPr>
        <w:t>第二条:承包内容</w:t>
      </w:r>
    </w:p>
    <w:p w14:paraId="6D935931">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甲方将</w:t>
      </w:r>
      <w:r>
        <w:rPr>
          <w:rFonts w:hint="eastAsia" w:ascii="仿宋" w:hAnsi="仿宋" w:eastAsia="仿宋" w:cs="仿宋"/>
          <w:color w:val="333333"/>
          <w:u w:val="single"/>
          <w:shd w:val="clear" w:color="auto" w:fill="FFFFFF"/>
        </w:rPr>
        <w:t>XXX项目</w:t>
      </w:r>
      <w:r>
        <w:rPr>
          <w:rFonts w:hint="eastAsia" w:ascii="仿宋" w:hAnsi="仿宋" w:eastAsia="仿宋" w:cs="仿宋"/>
        </w:rPr>
        <w:t>养承包给乙方(具体管养内容详见附表)。在合同期内，因国家建设需要征用，临时占用绿地或甲方管理需要调整乙方管养绿化地段和管养级别时，管理养护的数量将可能会有所增减，费用也相应增减。管养费用根据实际接管数量进行相应增减，乙方须无条件服从。该地段管养人员由乙方自行安排，由此造成的经济损失，甲方不负赔偿责任。</w:t>
      </w:r>
    </w:p>
    <w:p w14:paraId="2610E918">
      <w:pPr>
        <w:adjustRightInd w:val="0"/>
        <w:snapToGrid w:val="0"/>
        <w:spacing w:line="400" w:lineRule="exact"/>
        <w:ind w:firstLine="482" w:firstLineChars="200"/>
        <w:rPr>
          <w:rFonts w:ascii="仿宋" w:hAnsi="仿宋" w:eastAsia="仿宋" w:cs="仿宋"/>
          <w:b/>
          <w:bCs/>
        </w:rPr>
      </w:pPr>
      <w:r>
        <w:rPr>
          <w:rFonts w:hint="eastAsia" w:ascii="仿宋" w:hAnsi="仿宋" w:eastAsia="仿宋" w:cs="仿宋"/>
          <w:b/>
          <w:bCs/>
        </w:rPr>
        <w:t>第三条:本合同期限</w:t>
      </w:r>
    </w:p>
    <w:p w14:paraId="5234275D">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服务期限：   年   月  日-    年   月   日</w:t>
      </w:r>
    </w:p>
    <w:p w14:paraId="697D72BA">
      <w:pPr>
        <w:adjustRightInd w:val="0"/>
        <w:snapToGrid w:val="0"/>
        <w:spacing w:line="400" w:lineRule="exact"/>
        <w:ind w:firstLine="482" w:firstLineChars="200"/>
        <w:rPr>
          <w:rFonts w:ascii="仿宋" w:hAnsi="仿宋" w:eastAsia="仿宋" w:cs="仿宋"/>
          <w:b/>
          <w:bCs/>
        </w:rPr>
      </w:pPr>
      <w:r>
        <w:rPr>
          <w:rFonts w:hint="eastAsia" w:ascii="仿宋" w:hAnsi="仿宋" w:eastAsia="仿宋" w:cs="仿宋"/>
          <w:b/>
          <w:bCs/>
        </w:rPr>
        <w:t>第四条:承包经费及承包方式</w:t>
      </w:r>
    </w:p>
    <w:p w14:paraId="2D65B109">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(一)本合同金额:</w:t>
      </w:r>
      <w:r>
        <w:rPr>
          <w:rFonts w:hint="eastAsia" w:ascii="仿宋" w:hAnsi="仿宋" w:eastAsia="仿宋" w:cs="仿宋"/>
          <w:u w:val="single"/>
        </w:rPr>
        <w:t xml:space="preserve">       元</w:t>
      </w:r>
      <w:r>
        <w:rPr>
          <w:rFonts w:hint="eastAsia" w:ascii="仿宋" w:hAnsi="仿宋" w:eastAsia="仿宋" w:cs="仿宋"/>
        </w:rPr>
        <w:t>。其中甲方按《海口市美兰区园林管理局绿化养护考评管理办法》《海口市美兰区园林管理局绿化养护考评评分表》每月</w:t>
      </w:r>
      <w:r>
        <w:rPr>
          <w:rFonts w:hint="eastAsia" w:ascii="仿宋" w:hAnsi="仿宋" w:eastAsia="仿宋" w:cs="仿宋"/>
          <w:u w:val="single"/>
        </w:rPr>
        <w:t>25</w:t>
      </w:r>
      <w:r>
        <w:rPr>
          <w:rFonts w:hint="eastAsia" w:ascii="仿宋" w:hAnsi="仿宋" w:eastAsia="仿宋" w:cs="仿宋"/>
        </w:rPr>
        <w:t>日前完成对乙方上月绿化管养工作的检查考评，经考评达标后，乙方提供报账资料及发票后，甲方在按规定向财政部门提交付款申请，通过银行转账支付绿化管养费。扣除考核评分扣减金额后，按月拨付余下管养经费。</w:t>
      </w:r>
    </w:p>
    <w:p w14:paraId="5C3AA9D2">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(二)承包方式:采用全包干的方式，即绿化管理养护任务包干、责任包干、</w:t>
      </w:r>
    </w:p>
    <w:p w14:paraId="4DED8293">
      <w:pPr>
        <w:adjustRightInd w:val="0"/>
        <w:snapToGrid w:val="0"/>
        <w:spacing w:line="400" w:lineRule="exact"/>
        <w:rPr>
          <w:rFonts w:ascii="仿宋" w:hAnsi="仿宋" w:eastAsia="仿宋" w:cs="仿宋"/>
        </w:rPr>
      </w:pPr>
      <w:r>
        <w:rPr>
          <w:rFonts w:hint="eastAsia" w:ascii="仿宋" w:hAnsi="仿宋" w:eastAsia="仿宋" w:cs="仿宋"/>
        </w:rPr>
        <w:t>经费包干的方式实行全承包：甲方将绿化管理养护任务及相应的经费按进度交给乙方，乙方按甲方的管理养护要求和标准组织管理养护工作，并接受甲方的指导、监督和检查验收。</w:t>
      </w:r>
    </w:p>
    <w:p w14:paraId="237729A7">
      <w:pPr>
        <w:adjustRightInd w:val="0"/>
        <w:snapToGrid w:val="0"/>
        <w:spacing w:line="400" w:lineRule="exact"/>
        <w:ind w:firstLine="482" w:firstLineChars="200"/>
        <w:rPr>
          <w:rFonts w:ascii="仿宋" w:hAnsi="仿宋" w:eastAsia="仿宋" w:cs="仿宋"/>
          <w:b/>
          <w:bCs/>
        </w:rPr>
      </w:pPr>
      <w:r>
        <w:rPr>
          <w:rFonts w:hint="eastAsia" w:ascii="仿宋" w:hAnsi="仿宋" w:eastAsia="仿宋" w:cs="仿宋"/>
          <w:b/>
          <w:bCs/>
        </w:rPr>
        <w:t>第五条:绿化管理养护工作要求</w:t>
      </w:r>
    </w:p>
    <w:p w14:paraId="41C8484D">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(一)绿化养护人员和机械配备：包括一线在岗绿化工人  人，其中，绿化管理养护所需的业务主管 人、   名初级以上园林或园艺专业技术人员，保证人员分工到位。公司要按规定为员工购买社保和意外险。配备油锯和高空锯至少  把，可用于运输园林垃圾的车辆  辆，水车  辆，高空作业车  辆。因甲方管理需要调整乙方管养绿化地段和管养级别导致管理养护的数量增减加，人员和设备应当等比例增减加。</w:t>
      </w:r>
    </w:p>
    <w:p w14:paraId="7933CBD0">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(二)绿化管理养护工作要求:</w:t>
      </w:r>
    </w:p>
    <w:p w14:paraId="07A935DD">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1.绿化保洁：及时清理绿化作业过程中产生垃圾(如树枝、树叶、草屑等)，及时清理枯枝、断枝，保持绿化设施的清洁，及时清理乱涂写、乱张贴、乱悬挂。</w:t>
      </w:r>
    </w:p>
    <w:p w14:paraId="6F353E98">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2.灌溉、施肥：浇水应根据不同树木的特性、季节、土壤干湿程度确定，做到适时适量不遗漏，每次浇水要浇足浇透。为确保植物的正常生长发育,对树势较弱或生长迟缓的植物进行及时施肥。肥料以有机肥为主，化肥为辅，所施用的肥料不能产生厌恶性味道，一年施肥至少一次。</w:t>
      </w:r>
    </w:p>
    <w:p w14:paraId="4692D9F0">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3.整形修剪：根据植物的生长发育要求、景观要求及安全要求等，对植物进行定期和不定期的修剪。灌木修剪整齐，有层次，无杂草。确保园林树木树冠基本正常，保证整条道路修剪手法一致，行道树分枝点保持在2.8m以上，无明显枯枝死杈，无影响架空线树枝，无影响车辆和行人通行的下垂枝。每3个月清理棕榈类植物的枯枝垂叶和摘除干椰果1次，并进行日常巡查，及时清理突然产生的下垂枝及危险的椰子果，防止掉落伤及行人和其他物体事件。每年压顶修剪不少于XXX株，具体修剪路段由采购人根据实际需求指定。</w:t>
      </w:r>
    </w:p>
    <w:p w14:paraId="791107A3">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4.清除杂草及草坪复壮：及时清除行道树下、绿化带及人行道上的杂草，做到草坪覆盖率90%以上，地被覆盖率85％以上，除缀花草坪外草坪内杂草率不得超过8％。</w:t>
      </w:r>
    </w:p>
    <w:p w14:paraId="3153817D">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5.补植修复：乔木缺株率不超过5％，对于缺株苗木要适时进行补栽，并保证补栽的苗木规格、种类统一。及时修补黄土裸露，补充缺损苗木。日常管养时发现正常老化植物或被人为破坏、盗窃、交通事故等造成绿化植物损坏的，要及时通报采购人并根据采购人的意见及时修复、补种。</w:t>
      </w:r>
    </w:p>
    <w:p w14:paraId="79AC1A5C">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6.扶正支撑：日常巡查发现树木倾斜时，应及时进行扶正(如因树木本身或立地条件限制不适宜扶正，且不存在安全隐患的，经采购人同意，可不进行扶正处理)。树木支撑材料在同一路段内应当统一，支撑方式规范，支撑牢固。</w:t>
      </w:r>
    </w:p>
    <w:p w14:paraId="44ACF003">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7.植物病虫害防治：配备专业人员，确保按相关操作规程执行，加强日常巡查，早发现、早处理，采取综合防治。及时做好植物病虫害的防治工作，以防为主，精心管养，增强植物抗病虫害能力。每次进行药物防治前，应将病虫害情况及防治方案报给采购人批准。对已发生的病虫害要及时治理、防止蔓延和影响植物正常生长，最严重的危害率控制在10%以下。严禁使用国家及海南省禁止使用的农药。</w:t>
      </w:r>
    </w:p>
    <w:p w14:paraId="58DFB4D7">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8.树干涂白：为防虫防冻，美化街景，乔木粉刷石灰水全年1次，涂白高度要一致，涂1.2米高，涂抹均匀，确保石灰水与树干充分沾合。</w:t>
      </w:r>
    </w:p>
    <w:p w14:paraId="3ED84E05">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9.绿地设施维护：管养路段及公共绿地范围内的所有园林设施（包括但不限于：铺装硬化、凉亭廊架、健身器材、坐凳座椅护栏、浇灌系统、其他情况）的维修更换。</w:t>
      </w:r>
    </w:p>
    <w:p w14:paraId="396B77FB">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10.绿化保护工作：进行绿地巡查，对破坏公园绿地及影响绿化景观的现象及时劝导和制止。如乙方私自破坏、非法占用绿地或许可其它人破坏、非法占用绿地，甲方将按规定进行扣款和处理。</w:t>
      </w:r>
    </w:p>
    <w:p w14:paraId="7EC82DFD">
      <w:pPr>
        <w:adjustRightInd w:val="0"/>
        <w:snapToGrid w:val="0"/>
        <w:spacing w:line="400" w:lineRule="exact"/>
        <w:ind w:firstLine="482" w:firstLineChars="200"/>
        <w:rPr>
          <w:rFonts w:ascii="仿宋" w:hAnsi="仿宋" w:eastAsia="仿宋" w:cs="仿宋"/>
        </w:rPr>
      </w:pPr>
      <w:r>
        <w:rPr>
          <w:rFonts w:hint="eastAsia" w:ascii="仿宋" w:hAnsi="仿宋" w:eastAsia="仿宋" w:cs="仿宋"/>
          <w:b/>
          <w:bCs/>
        </w:rPr>
        <w:t>第六条:绿化管理养护质量标准及检查考评办法</w:t>
      </w:r>
    </w:p>
    <w:p w14:paraId="59ED195D">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(一)绿化管理养护质量标准按照《海口市城镇园林绿地养护管理标准》要求执行，此标准在合同期内因绿化管理要求需要重新修订或补充其他管理规定</w:t>
      </w:r>
    </w:p>
    <w:p w14:paraId="6D21AFFD">
      <w:pPr>
        <w:adjustRightInd w:val="0"/>
        <w:snapToGrid w:val="0"/>
        <w:spacing w:line="400" w:lineRule="exact"/>
        <w:rPr>
          <w:rFonts w:ascii="仿宋" w:hAnsi="仿宋" w:eastAsia="仿宋" w:cs="仿宋"/>
        </w:rPr>
      </w:pPr>
      <w:r>
        <w:rPr>
          <w:rFonts w:hint="eastAsia" w:ascii="仿宋" w:hAnsi="仿宋" w:eastAsia="仿宋" w:cs="仿宋"/>
        </w:rPr>
        <w:t>的，按新修订的办法执行。</w:t>
      </w:r>
    </w:p>
    <w:p w14:paraId="48BBA93D">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(二)甲方采取定期检查与日常巡查相结合的办法，对乙方养护质量进行考评验收，发现问题乙方必须按照甲方要求的期限整改完毕。</w:t>
      </w:r>
    </w:p>
    <w:p w14:paraId="0B76F57F">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(三)乙方须按照养护技术要求，做好管养工作，如有种类，数量增减，须经甲方同意且在其指导监督下实施，并按标准增减费用。</w:t>
      </w:r>
    </w:p>
    <w:p w14:paraId="73840D96">
      <w:pPr>
        <w:adjustRightInd w:val="0"/>
        <w:snapToGrid w:val="0"/>
        <w:spacing w:line="400" w:lineRule="exact"/>
        <w:ind w:firstLine="482" w:firstLineChars="200"/>
        <w:rPr>
          <w:rFonts w:ascii="仿宋" w:hAnsi="仿宋" w:eastAsia="仿宋" w:cs="仿宋"/>
          <w:b/>
          <w:bCs/>
        </w:rPr>
      </w:pPr>
      <w:r>
        <w:rPr>
          <w:rFonts w:hint="eastAsia" w:ascii="仿宋" w:hAnsi="仿宋" w:eastAsia="仿宋" w:cs="仿宋"/>
          <w:b/>
          <w:bCs/>
        </w:rPr>
        <w:t>第七条:权利和义务</w:t>
      </w:r>
    </w:p>
    <w:p w14:paraId="46828D14">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(一)甲方的权利和义务：</w:t>
      </w:r>
    </w:p>
    <w:p w14:paraId="517932CB">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1、甲方根据财政制度要求在乙方提供付款材料60日内，按合同规定及时向乙方支付绿化养护工作进度款。</w:t>
      </w:r>
    </w:p>
    <w:p w14:paraId="70D0576B">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2、甲方对乙方的养护工作进行全面的技术指导、监督，甲方采用日常、月份、专项检查等方法，对乙方养护质量进行检查和验收。</w:t>
      </w:r>
    </w:p>
    <w:p w14:paraId="0F8B5A46">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3、甲方监督检查乙方对员工进行培训的情况，以提高绿化管养的技术水平。</w:t>
      </w:r>
    </w:p>
    <w:p w14:paraId="31374351">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4、乙方违反相关规定，发生重大安全事故的，甲方有权单方终止合同。</w:t>
      </w:r>
    </w:p>
    <w:p w14:paraId="18D37779">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(二)乙方的权利和义务：</w:t>
      </w:r>
    </w:p>
    <w:p w14:paraId="25568D5C">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1、乙方有权根据合同领取养护经费。</w:t>
      </w:r>
    </w:p>
    <w:p w14:paraId="49398315">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2、乙方须汇集、整理养护过程的技术资料，做好自检工作，听从甲方人员指挥，接受甲方的监督指导，配合甲方进行检查考评。并指定1名管理人员负责</w:t>
      </w:r>
    </w:p>
    <w:p w14:paraId="7A3189B4">
      <w:pPr>
        <w:adjustRightInd w:val="0"/>
        <w:snapToGrid w:val="0"/>
        <w:spacing w:line="400" w:lineRule="exact"/>
        <w:rPr>
          <w:rFonts w:ascii="仿宋" w:hAnsi="仿宋" w:eastAsia="仿宋" w:cs="仿宋"/>
        </w:rPr>
      </w:pPr>
      <w:r>
        <w:rPr>
          <w:rFonts w:hint="eastAsia" w:ascii="仿宋" w:hAnsi="仿宋" w:eastAsia="仿宋" w:cs="仿宋"/>
        </w:rPr>
        <w:t>日常工作中的安排，以及与甲方的沟通等工作，每月报送管养台账一次。</w:t>
      </w:r>
    </w:p>
    <w:p w14:paraId="24E4C2EB">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3.对于甲方不定期或突发的关于绿化工作中的要求及工作任务，应积极配合执行，并在甲方规定的时限内完成。</w:t>
      </w:r>
    </w:p>
    <w:p w14:paraId="481EA31A">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4.为进一步美化城市风貌，乙方需对甲方指定重点路段的乔灌木进行造型修剪。</w:t>
      </w:r>
    </w:p>
    <w:p w14:paraId="74EDE24B">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5.乙方安排专人作为“12345”及数字城管等投诉办件接件办件员，将人员姓名报甲方备案，按照《海口市美兰区12345热线工作运行管理办法》等有关规定开展工作，对于“12345”及数字城管投诉办件，应立即进行处理，并在办件规定时限内完成，每周上报本周内的办件台账。</w:t>
      </w:r>
    </w:p>
    <w:p w14:paraId="5868102E">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6.乙方根据本合同所承担的管理管养内容、按实际上岗人数办理员工劳动保险等手续。因劳动、劳务关系产生的一切纠纷，与甲方无关，由乙方承担一切经济责任和法律责任。</w:t>
      </w:r>
    </w:p>
    <w:p w14:paraId="1BD015DF">
      <w:pPr>
        <w:adjustRightInd w:val="0"/>
        <w:snapToGrid w:val="0"/>
        <w:spacing w:line="400" w:lineRule="exact"/>
        <w:ind w:firstLine="480" w:firstLineChars="200"/>
        <w:outlineLvl w:val="2"/>
        <w:rPr>
          <w:rFonts w:ascii="仿宋" w:hAnsi="仿宋" w:eastAsia="仿宋" w:cs="仿宋"/>
        </w:rPr>
      </w:pPr>
      <w:r>
        <w:rPr>
          <w:rFonts w:hint="eastAsia" w:ascii="仿宋" w:hAnsi="仿宋" w:eastAsia="仿宋" w:cs="仿宋"/>
        </w:rPr>
        <w:t>7.乙方应为上岗工人购买由甲方规定样式的统一工作服，上岗作业需统一着装。</w:t>
      </w:r>
    </w:p>
    <w:p w14:paraId="67E39D8E">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8.在特殊情况下(台风抢险救灾等工作)，乙方除应做好管辖地点的保护工作外，还应服从采购人的统一指挥和调动，根据甲方要求增加人员和设备等力量参加全区的抢险救灾工作。除合同约定配备的管养人员和车辆设备外，一级应急响应增加应急人员35人，夹机3辆，挖机2辆，油锯高空锯10把，垃圾车10辆；二级应急响应增加应急人员25人，夹机2辆，挖机1辆，油锯高空锯5把，垃圾车5辆；三级应急响应增加应急人员15人，夹机1辆，挖机1辆，油锯高空锯3把，垃圾车3辆。如有其他需求，则根据应急工作需要及甲方要求另行增补。应急工作内容及应急经费根据台风情况另行协定。</w:t>
      </w:r>
    </w:p>
    <w:p w14:paraId="65D4C21C">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9.如区政府有重大活动或任务情况下，乙方应服从甲方的统一指挥和调动。</w:t>
      </w:r>
    </w:p>
    <w:p w14:paraId="6A6D2D72">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10.如有管理管养工作在繁华地段进行，乙方自行解决车辆通行问题。</w:t>
      </w:r>
    </w:p>
    <w:p w14:paraId="12C22D5C">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11.严格遵守和执行有关安全施工和文明施工规定，乙方须为作业人员购买意外险，如发生安全事故, 由乙方负责承担相关责任，并承担一切费用。</w:t>
      </w:r>
    </w:p>
    <w:p w14:paraId="5E321F14">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12.严格遵守和执行有关安全施工和文明施工规定，如发生安全事故，由乙</w:t>
      </w:r>
    </w:p>
    <w:p w14:paraId="0D992F65">
      <w:pPr>
        <w:adjustRightInd w:val="0"/>
        <w:snapToGrid w:val="0"/>
        <w:spacing w:line="400" w:lineRule="exact"/>
        <w:jc w:val="left"/>
        <w:rPr>
          <w:rFonts w:ascii="仿宋" w:hAnsi="仿宋" w:eastAsia="仿宋" w:cs="仿宋"/>
        </w:rPr>
      </w:pPr>
      <w:r>
        <w:rPr>
          <w:rFonts w:hint="eastAsia" w:ascii="仿宋" w:hAnsi="仿宋" w:eastAsia="仿宋" w:cs="仿宋"/>
        </w:rPr>
        <w:t>方负责处理事故，并承担一切费用。</w:t>
      </w:r>
    </w:p>
    <w:p w14:paraId="183A1ADC">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13.乙方不得将绿化管理管养工作转包、分包，一经发现，甲方有权解除合同。</w:t>
      </w:r>
    </w:p>
    <w:p w14:paraId="35CE01E7">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14.乙方必须为管养维护范围内的道路绿化及公共绿地管养树木购买公众责任险，且将该保险凭证向采购人报备(投保范围包括但不限于因自然灾害导致的椰子果、树枝、枯枝、树叶掉落或绿化工人在打草、打药、修剪树木等绿化管养作业时导致意外事故造成第三者人身伤亡或财产损失)。</w:t>
      </w:r>
    </w:p>
    <w:p w14:paraId="1CED27B2">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15.除管养绿化地段增加和管养级别提高外，甲方不因其他任何原因向乙方支付本合同约定金额以外的费用，包括但不限于人员工资、设备、制服等一切费用。</w:t>
      </w:r>
    </w:p>
    <w:p w14:paraId="7D8FA2D1">
      <w:pPr>
        <w:adjustRightInd w:val="0"/>
        <w:snapToGrid w:val="0"/>
        <w:spacing w:line="400" w:lineRule="exact"/>
        <w:ind w:firstLine="482" w:firstLineChars="200"/>
        <w:rPr>
          <w:rFonts w:ascii="仿宋" w:hAnsi="仿宋" w:eastAsia="仿宋" w:cs="仿宋"/>
          <w:b/>
          <w:bCs/>
        </w:rPr>
      </w:pPr>
      <w:r>
        <w:rPr>
          <w:rFonts w:hint="eastAsia" w:ascii="仿宋" w:hAnsi="仿宋" w:eastAsia="仿宋" w:cs="仿宋"/>
          <w:b/>
          <w:bCs/>
        </w:rPr>
        <w:t>第八条:违约责任</w:t>
      </w:r>
    </w:p>
    <w:p w14:paraId="0DE311F3">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(一)甲方未按合同规定向乙方按时支付管养经费时应承担违约金，违约金</w:t>
      </w:r>
    </w:p>
    <w:p w14:paraId="2F2F12C1">
      <w:pPr>
        <w:adjustRightInd w:val="0"/>
        <w:snapToGrid w:val="0"/>
        <w:spacing w:line="400" w:lineRule="exact"/>
        <w:rPr>
          <w:rFonts w:ascii="仿宋" w:hAnsi="仿宋" w:eastAsia="仿宋" w:cs="仿宋"/>
        </w:rPr>
      </w:pPr>
      <w:r>
        <w:rPr>
          <w:rFonts w:hint="eastAsia" w:ascii="仿宋" w:hAnsi="仿宋" w:eastAsia="仿宋" w:cs="仿宋"/>
        </w:rPr>
        <w:t>按相应阶段养护费的万分之五每日计算。</w:t>
      </w:r>
    </w:p>
    <w:p w14:paraId="43B615AC">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(二)甲方在未提前通知乙方的情况下逾期超过10日未进行每月验收的(如遇到法定节假日，则验收日期顺延)，视为验收合格。</w:t>
      </w:r>
    </w:p>
    <w:p w14:paraId="7927575C">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三)甲方每月根据《绿化管养考评评分标准》，同时结合日常巡查情况，进行管养考核打分，考评得分90分（含）以上的不扣减管养经费，89-85分（含）的扣减当月养护经费3%，85分以下的在扣减3%的基础上每减少1分扣减当月养护经费1%。服务期内有2次考核低于60分的中止合同。</w:t>
      </w:r>
    </w:p>
    <w:p w14:paraId="0CA9D680">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四)乙方每年对所有乔木进行一次树木刷白，刷白高度为1.2米，刷白应均匀细致，树皮裂隙应全部粉刷，高度应整齐划一。甲方12月底进行集中检查，未完成该项工作的扣减管养费10000元，并要求乙方在甲方规定的时间内完成整改工作，否则继续扣减管养费直至整改完成为止。</w:t>
      </w:r>
    </w:p>
    <w:p w14:paraId="486FC753">
      <w:pPr>
        <w:pStyle w:val="2"/>
        <w:adjustRightInd w:val="0"/>
        <w:snapToGrid w:val="0"/>
        <w:spacing w:before="0" w:after="0" w:line="400" w:lineRule="exact"/>
        <w:ind w:firstLine="480" w:firstLineChars="200"/>
        <w:jc w:val="both"/>
        <w:rPr>
          <w:rFonts w:ascii="仿宋" w:hAnsi="仿宋" w:eastAsia="仿宋" w:cs="仿宋"/>
          <w:b w:val="0"/>
          <w:bCs w:val="0"/>
          <w:sz w:val="24"/>
          <w:szCs w:val="24"/>
        </w:rPr>
      </w:pPr>
      <w:r>
        <w:rPr>
          <w:rFonts w:hint="eastAsia" w:ascii="仿宋" w:hAnsi="仿宋" w:eastAsia="仿宋" w:cs="仿宋"/>
          <w:b w:val="0"/>
          <w:bCs w:val="0"/>
          <w:sz w:val="24"/>
          <w:szCs w:val="24"/>
        </w:rPr>
        <w:t>(五)乙方对于“12345”及数字城管投诉板件处理不及时的或台账上报不及时的，一次扣除当月管养经费1000元。</w:t>
      </w:r>
    </w:p>
    <w:p w14:paraId="6ED1DDEB">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(六)在特殊情况下(如防风应急抢险等工作)，乙方应急工作人员或应急车辆设备不及时到位的，每少一人或一辆（台）车辆设备扣除当月管养经费3000元。</w:t>
      </w:r>
    </w:p>
    <w:p w14:paraId="23C659A9">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(七)乙方违反国家法律法规或地方性规定，甲方有权单方终止本合同，由乙方承担一切经济损失和法律责任。</w:t>
      </w:r>
    </w:p>
    <w:p w14:paraId="5CE2C25F">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(八)乙方因机械、工具、技术、劳力等达不到合同要求，甲方有权单方终止本合同，经济损失和法律责任由乙方承担。</w:t>
      </w:r>
    </w:p>
    <w:p w14:paraId="651626A9">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(九)乙方擅自将绿化管理养护任务转包给第三者的，甲方有权单方终止本合同。转包合同无效，由此造成的经济损失和法律责任由乙方承担。</w:t>
      </w:r>
    </w:p>
    <w:p w14:paraId="1ECDA133">
      <w:pPr>
        <w:adjustRightInd w:val="0"/>
        <w:snapToGrid w:val="0"/>
        <w:spacing w:line="400" w:lineRule="exact"/>
        <w:ind w:firstLine="482" w:firstLineChars="200"/>
        <w:rPr>
          <w:rFonts w:ascii="仿宋" w:hAnsi="仿宋" w:eastAsia="仿宋" w:cs="仿宋"/>
          <w:b/>
          <w:bCs/>
        </w:rPr>
      </w:pPr>
      <w:r>
        <w:rPr>
          <w:rFonts w:hint="eastAsia" w:ascii="仿宋" w:hAnsi="仿宋" w:eastAsia="仿宋" w:cs="仿宋"/>
          <w:b/>
          <w:bCs/>
        </w:rPr>
        <w:t>第九条:接管与移交</w:t>
      </w:r>
    </w:p>
    <w:p w14:paraId="3FA14FBC">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(一)接管：为做好合同期内的管养工作，乙方入场前，甲方应指派现场代表双方共同清点管养范围内数量、面积的交接工作。</w:t>
      </w:r>
    </w:p>
    <w:p w14:paraId="50DD84F4">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(二)移交：养护期满，乙方应积极主动配合与新成交单位办理移交手续。如果乙方不配合移交，应当承担相应违约责任。</w:t>
      </w:r>
    </w:p>
    <w:p w14:paraId="68C4ABAC">
      <w:pPr>
        <w:adjustRightInd w:val="0"/>
        <w:snapToGrid w:val="0"/>
        <w:spacing w:line="400" w:lineRule="exact"/>
        <w:ind w:firstLine="482" w:firstLineChars="200"/>
        <w:rPr>
          <w:rFonts w:ascii="仿宋" w:hAnsi="仿宋" w:eastAsia="仿宋" w:cs="仿宋"/>
          <w:b/>
          <w:bCs/>
        </w:rPr>
      </w:pPr>
      <w:r>
        <w:rPr>
          <w:rFonts w:hint="eastAsia" w:ascii="仿宋" w:hAnsi="仿宋" w:eastAsia="仿宋" w:cs="仿宋"/>
          <w:b/>
          <w:bCs/>
        </w:rPr>
        <w:t>第十条:其他</w:t>
      </w:r>
    </w:p>
    <w:p w14:paraId="7541312A">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(一)项目在实施过程中发生争议时，甲乙双方应及时协商解决。协商不成时，任何一方都有权向甲方所在地人民法院起诉。</w:t>
      </w:r>
    </w:p>
    <w:p w14:paraId="37FE7C02">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二)本合同未尽事宜，由甲乙双方共同协商，签订补充协议，补充协议与本合同具有同等法律效力。如乙方对植物数量有异议或发现道路有缺少的，甲乙双方各派员现场清点，再根据清点的数量签订补充协议；如受下一年度招标工作时间影响或因其他原因需顺延服务期限，需甲乙双方协商一致后签订补充协议执行。</w:t>
      </w:r>
    </w:p>
    <w:p w14:paraId="0A2DD00A">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(三)本合同自甲乙双方法定代表人签字盖章之日起生效，在出现下列情况时终止。</w:t>
      </w:r>
    </w:p>
    <w:p w14:paraId="3941A47A">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1、期限届满时自行终止；2、出现合同中列出的终止事由；3、因政府体制改革需要终止合同的；4、法律规定的终止事由。</w:t>
      </w:r>
    </w:p>
    <w:p w14:paraId="1A5870B3">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(四)本合同由海口市美兰区园林管理局负责解释。</w:t>
      </w:r>
    </w:p>
    <w:p w14:paraId="70DC682D">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(五)本合同</w:t>
      </w:r>
      <w:r>
        <w:rPr>
          <w:rFonts w:hint="eastAsia" w:ascii="仿宋" w:hAnsi="仿宋" w:eastAsia="仿宋" w:cs="仿宋"/>
          <w:b/>
          <w:bCs/>
        </w:rPr>
        <w:t>一式伍份</w:t>
      </w:r>
      <w:r>
        <w:rPr>
          <w:rFonts w:hint="eastAsia" w:ascii="仿宋" w:hAnsi="仿宋" w:eastAsia="仿宋" w:cs="仿宋"/>
        </w:rPr>
        <w:t>，甲方、乙方各执</w:t>
      </w:r>
      <w:r>
        <w:rPr>
          <w:rFonts w:hint="eastAsia" w:ascii="仿宋" w:hAnsi="仿宋" w:eastAsia="仿宋" w:cs="仿宋"/>
          <w:b/>
          <w:bCs/>
        </w:rPr>
        <w:t>贰份</w:t>
      </w:r>
      <w:r>
        <w:rPr>
          <w:rFonts w:hint="eastAsia" w:ascii="仿宋" w:hAnsi="仿宋" w:eastAsia="仿宋" w:cs="仿宋"/>
        </w:rPr>
        <w:t>，代理方执</w:t>
      </w:r>
      <w:r>
        <w:rPr>
          <w:rFonts w:hint="eastAsia" w:ascii="仿宋" w:hAnsi="仿宋" w:eastAsia="仿宋" w:cs="仿宋"/>
          <w:b/>
          <w:bCs/>
        </w:rPr>
        <w:t>壹份。</w:t>
      </w:r>
    </w:p>
    <w:p w14:paraId="071046E0">
      <w:pPr>
        <w:adjustRightInd w:val="0"/>
        <w:snapToGrid w:val="0"/>
        <w:spacing w:line="400" w:lineRule="exact"/>
        <w:rPr>
          <w:rFonts w:ascii="仿宋" w:hAnsi="仿宋" w:eastAsia="仿宋" w:cs="仿宋"/>
        </w:rPr>
      </w:pPr>
    </w:p>
    <w:p w14:paraId="32CA5979">
      <w:pPr>
        <w:adjustRightInd w:val="0"/>
        <w:snapToGrid w:val="0"/>
        <w:spacing w:line="400" w:lineRule="exact"/>
        <w:ind w:firstLine="480" w:firstLineChars="200"/>
        <w:rPr>
          <w:rFonts w:ascii="仿宋" w:hAnsi="仿宋" w:eastAsia="仿宋" w:cs="仿宋"/>
        </w:rPr>
      </w:pPr>
      <w:r>
        <w:rPr>
          <w:rFonts w:hint="eastAsia" w:ascii="仿宋" w:hAnsi="仿宋" w:eastAsia="仿宋" w:cs="仿宋"/>
        </w:rPr>
        <w:t>附件:1.公司营业执照</w:t>
      </w:r>
    </w:p>
    <w:p w14:paraId="19081D0F">
      <w:pPr>
        <w:adjustRightInd w:val="0"/>
        <w:snapToGrid w:val="0"/>
        <w:spacing w:line="400" w:lineRule="exact"/>
        <w:ind w:firstLine="960" w:firstLineChars="400"/>
        <w:rPr>
          <w:rFonts w:ascii="仿宋" w:hAnsi="仿宋" w:eastAsia="仿宋" w:cs="仿宋"/>
        </w:rPr>
      </w:pPr>
      <w:r>
        <w:rPr>
          <w:rFonts w:hint="eastAsia" w:ascii="仿宋" w:hAnsi="仿宋" w:eastAsia="仿宋" w:cs="仿宋"/>
        </w:rPr>
        <w:t>2.中标通知书</w:t>
      </w:r>
    </w:p>
    <w:p w14:paraId="386FA83F">
      <w:pPr>
        <w:adjustRightInd w:val="0"/>
        <w:snapToGrid w:val="0"/>
        <w:spacing w:line="400" w:lineRule="exact"/>
        <w:ind w:firstLine="960" w:firstLineChars="400"/>
        <w:rPr>
          <w:rFonts w:ascii="仿宋" w:hAnsi="仿宋" w:eastAsia="仿宋" w:cs="仿宋"/>
        </w:rPr>
      </w:pPr>
      <w:r>
        <w:rPr>
          <w:rFonts w:hint="eastAsia" w:ascii="仿宋" w:hAnsi="仿宋" w:eastAsia="仿宋" w:cs="仿宋"/>
        </w:rPr>
        <w:t>3.管养工作报价清单表</w:t>
      </w:r>
    </w:p>
    <w:p w14:paraId="78D275F6">
      <w:pPr>
        <w:adjustRightInd w:val="0"/>
        <w:snapToGrid w:val="0"/>
        <w:spacing w:line="400" w:lineRule="exact"/>
        <w:ind w:firstLine="960" w:firstLineChars="400"/>
        <w:rPr>
          <w:rFonts w:ascii="仿宋" w:hAnsi="仿宋" w:eastAsia="仿宋" w:cs="仿宋"/>
        </w:rPr>
      </w:pPr>
      <w:r>
        <w:rPr>
          <w:rFonts w:hint="eastAsia" w:ascii="仿宋" w:hAnsi="仿宋" w:eastAsia="仿宋" w:cs="仿宋"/>
        </w:rPr>
        <w:t>4.管养绿化明细表</w:t>
      </w:r>
    </w:p>
    <w:p w14:paraId="0C034F35">
      <w:pPr>
        <w:adjustRightInd w:val="0"/>
        <w:snapToGrid w:val="0"/>
        <w:spacing w:line="400" w:lineRule="exact"/>
        <w:rPr>
          <w:rFonts w:ascii="仿宋" w:hAnsi="仿宋" w:eastAsia="仿宋" w:cs="仿宋"/>
        </w:rPr>
      </w:pPr>
      <w:r>
        <w:rPr>
          <w:rFonts w:hint="eastAsia" w:ascii="仿宋" w:hAnsi="仿宋" w:eastAsia="仿宋" w:cs="仿宋"/>
        </w:rPr>
        <w:t xml:space="preserve">甲方： （盖章）                       乙方：（盖章）                           </w:t>
      </w:r>
    </w:p>
    <w:p w14:paraId="163A4788">
      <w:pPr>
        <w:adjustRightInd w:val="0"/>
        <w:snapToGrid w:val="0"/>
        <w:spacing w:line="400" w:lineRule="exact"/>
        <w:rPr>
          <w:rFonts w:ascii="仿宋" w:hAnsi="仿宋" w:eastAsia="仿宋" w:cs="仿宋"/>
        </w:rPr>
      </w:pPr>
      <w:r>
        <w:rPr>
          <w:rFonts w:hint="eastAsia" w:ascii="仿宋" w:hAnsi="仿宋" w:eastAsia="仿宋" w:cs="仿宋"/>
        </w:rPr>
        <w:t>法定代表人：                          法定代表人：</w:t>
      </w:r>
    </w:p>
    <w:p w14:paraId="0D98D647">
      <w:pPr>
        <w:adjustRightInd w:val="0"/>
        <w:snapToGrid w:val="0"/>
        <w:spacing w:line="400" w:lineRule="exact"/>
        <w:ind w:firstLine="4560" w:firstLineChars="1900"/>
        <w:rPr>
          <w:rFonts w:ascii="仿宋" w:hAnsi="仿宋" w:eastAsia="仿宋" w:cs="仿宋"/>
        </w:rPr>
      </w:pPr>
      <w:r>
        <w:rPr>
          <w:rFonts w:hint="eastAsia" w:ascii="仿宋" w:hAnsi="仿宋" w:eastAsia="仿宋" w:cs="仿宋"/>
        </w:rPr>
        <w:t>开户名：</w:t>
      </w:r>
    </w:p>
    <w:p w14:paraId="42073428">
      <w:pPr>
        <w:adjustRightInd w:val="0"/>
        <w:snapToGrid w:val="0"/>
        <w:spacing w:line="400" w:lineRule="exact"/>
        <w:ind w:firstLine="4560" w:firstLineChars="1900"/>
        <w:rPr>
          <w:rFonts w:ascii="仿宋" w:hAnsi="仿宋" w:eastAsia="仿宋" w:cs="仿宋"/>
        </w:rPr>
      </w:pPr>
      <w:r>
        <w:rPr>
          <w:rFonts w:hint="eastAsia" w:ascii="仿宋" w:hAnsi="仿宋" w:eastAsia="仿宋" w:cs="仿宋"/>
        </w:rPr>
        <w:t>开户银行：</w:t>
      </w:r>
    </w:p>
    <w:p w14:paraId="0D397AF3">
      <w:pPr>
        <w:adjustRightInd w:val="0"/>
        <w:snapToGrid w:val="0"/>
        <w:spacing w:line="400" w:lineRule="exact"/>
        <w:ind w:firstLine="4560" w:firstLineChars="1900"/>
        <w:rPr>
          <w:rFonts w:ascii="仿宋" w:hAnsi="仿宋" w:eastAsia="仿宋" w:cs="仿宋"/>
        </w:rPr>
      </w:pPr>
      <w:r>
        <w:rPr>
          <w:rFonts w:hint="eastAsia" w:ascii="仿宋" w:hAnsi="仿宋" w:eastAsia="仿宋" w:cs="仿宋"/>
        </w:rPr>
        <w:t>账   号：</w:t>
      </w:r>
    </w:p>
    <w:p w14:paraId="43541138">
      <w:pPr>
        <w:adjustRightInd w:val="0"/>
        <w:snapToGrid w:val="0"/>
        <w:spacing w:line="400" w:lineRule="exact"/>
        <w:rPr>
          <w:rFonts w:ascii="仿宋" w:hAnsi="仿宋" w:eastAsia="仿宋" w:cs="仿宋"/>
        </w:rPr>
      </w:pPr>
    </w:p>
    <w:p w14:paraId="21010143">
      <w:pPr>
        <w:adjustRightInd w:val="0"/>
        <w:snapToGrid w:val="0"/>
        <w:spacing w:line="400" w:lineRule="exact"/>
        <w:rPr>
          <w:rFonts w:ascii="仿宋" w:hAnsi="仿宋" w:eastAsia="仿宋" w:cs="仿宋"/>
        </w:rPr>
      </w:pPr>
      <w:r>
        <w:rPr>
          <w:rFonts w:hint="eastAsia" w:ascii="仿宋" w:hAnsi="仿宋" w:eastAsia="仿宋" w:cs="仿宋"/>
        </w:rPr>
        <w:t>代 理 机 构：</w:t>
      </w:r>
      <w:r>
        <w:rPr>
          <w:rFonts w:hint="eastAsia" w:ascii="仿宋" w:hAnsi="仿宋" w:eastAsia="仿宋" w:cs="仿宋"/>
          <w:shd w:val="clear" w:color="auto" w:fill="FFFFFF"/>
        </w:rPr>
        <w:t xml:space="preserve">    </w:t>
      </w:r>
    </w:p>
    <w:p w14:paraId="7DBE06A6">
      <w:pPr>
        <w:adjustRightInd w:val="0"/>
        <w:snapToGrid w:val="0"/>
        <w:spacing w:line="400" w:lineRule="exact"/>
        <w:rPr>
          <w:rFonts w:ascii="仿宋" w:hAnsi="仿宋" w:eastAsia="仿宋" w:cs="仿宋"/>
        </w:rPr>
      </w:pPr>
      <w:r>
        <w:rPr>
          <w:rFonts w:hint="eastAsia" w:ascii="仿宋" w:hAnsi="仿宋" w:eastAsia="仿宋" w:cs="仿宋"/>
        </w:rPr>
        <w:t>（盖章签名）</w:t>
      </w:r>
    </w:p>
    <w:p w14:paraId="67BE4C82">
      <w:pPr>
        <w:spacing w:line="600" w:lineRule="exact"/>
        <w:rPr>
          <w:rFonts w:ascii="宋体" w:hAnsi="宋体" w:cs="宋体"/>
        </w:rPr>
      </w:pPr>
      <w:r>
        <w:rPr>
          <w:rFonts w:hint="eastAsia" w:ascii="仿宋" w:hAnsi="仿宋" w:eastAsia="仿宋" w:cs="仿宋"/>
        </w:rPr>
        <w:t xml:space="preserve">签订日期：     年    月   日 </w:t>
      </w:r>
    </w:p>
    <w:p w14:paraId="2408F9D0">
      <w:pPr>
        <w:widowControl/>
        <w:spacing w:line="600" w:lineRule="exact"/>
        <w:jc w:val="left"/>
        <w:rPr>
          <w:rFonts w:ascii="宋体" w:hAnsi="宋体" w:cs="宋体"/>
          <w:b/>
          <w:bCs/>
          <w:sz w:val="30"/>
          <w:szCs w:val="30"/>
        </w:rPr>
      </w:pPr>
      <w:r>
        <w:rPr>
          <w:rFonts w:hint="eastAsia" w:ascii="宋体" w:hAnsi="宋体" w:cs="宋体"/>
          <w:b/>
          <w:bCs/>
          <w:sz w:val="30"/>
          <w:szCs w:val="30"/>
        </w:rPr>
        <w:br w:type="page"/>
      </w:r>
    </w:p>
    <w:p w14:paraId="4115D9A1">
      <w:pPr>
        <w:pStyle w:val="8"/>
        <w:snapToGrid w:val="0"/>
        <w:spacing w:line="600" w:lineRule="exact"/>
        <w:ind w:firstLine="0"/>
        <w:jc w:val="center"/>
        <w:outlineLvl w:val="0"/>
        <w:rPr>
          <w:rFonts w:ascii="宋体" w:hAnsi="宋体" w:cs="宋体"/>
          <w:b/>
          <w:bCs/>
          <w:sz w:val="30"/>
          <w:szCs w:val="30"/>
        </w:rPr>
      </w:pPr>
      <w:bookmarkStart w:id="91" w:name="_Toc35856328"/>
      <w:bookmarkStart w:id="92" w:name="_Toc48044739"/>
      <w:bookmarkStart w:id="93" w:name="_Toc35856201"/>
      <w:r>
        <w:rPr>
          <w:rFonts w:hint="eastAsia" w:ascii="宋体" w:hAnsi="宋体" w:cs="宋体"/>
          <w:b/>
          <w:bCs/>
          <w:sz w:val="30"/>
          <w:szCs w:val="30"/>
        </w:rPr>
        <w:t>第六章  响应文件格式</w:t>
      </w:r>
      <w:bookmarkEnd w:id="90"/>
      <w:bookmarkEnd w:id="91"/>
      <w:bookmarkEnd w:id="92"/>
      <w:bookmarkEnd w:id="93"/>
    </w:p>
    <w:p w14:paraId="06C1EBFC">
      <w:pPr>
        <w:spacing w:line="600" w:lineRule="exact"/>
        <w:rPr>
          <w:rFonts w:ascii="宋体" w:hAnsi="宋体" w:cs="宋体"/>
        </w:rPr>
      </w:pPr>
    </w:p>
    <w:p w14:paraId="10D756E5">
      <w:pPr>
        <w:spacing w:line="600" w:lineRule="exact"/>
        <w:rPr>
          <w:rFonts w:ascii="宋体" w:hAnsi="宋体" w:cs="宋体"/>
        </w:rPr>
      </w:pPr>
    </w:p>
    <w:p w14:paraId="62586272">
      <w:pPr>
        <w:spacing w:line="600" w:lineRule="exact"/>
        <w:rPr>
          <w:rFonts w:ascii="宋体" w:hAnsi="宋体" w:cs="宋体"/>
        </w:rPr>
      </w:pPr>
    </w:p>
    <w:p w14:paraId="534B49E3">
      <w:pPr>
        <w:spacing w:line="600" w:lineRule="exact"/>
        <w:jc w:val="center"/>
        <w:rPr>
          <w:rFonts w:ascii="宋体" w:hAnsi="宋体" w:cs="宋体"/>
          <w:b/>
          <w:sz w:val="44"/>
          <w:szCs w:val="44"/>
        </w:rPr>
      </w:pPr>
      <w:r>
        <w:rPr>
          <w:rFonts w:hint="eastAsia" w:ascii="宋体" w:hAnsi="宋体" w:cs="宋体"/>
          <w:b/>
          <w:sz w:val="44"/>
          <w:szCs w:val="44"/>
        </w:rPr>
        <w:t>响 应 文 件</w:t>
      </w:r>
    </w:p>
    <w:p w14:paraId="21B7D3C0">
      <w:pPr>
        <w:spacing w:line="600" w:lineRule="exact"/>
        <w:rPr>
          <w:rFonts w:ascii="宋体" w:hAnsi="宋体" w:cs="宋体"/>
        </w:rPr>
      </w:pPr>
    </w:p>
    <w:p w14:paraId="1E9391B0">
      <w:pPr>
        <w:spacing w:line="600" w:lineRule="exact"/>
        <w:rPr>
          <w:rFonts w:ascii="宋体" w:hAnsi="宋体" w:cs="宋体"/>
        </w:rPr>
      </w:pPr>
    </w:p>
    <w:p w14:paraId="3F657EEA">
      <w:pPr>
        <w:spacing w:line="600" w:lineRule="exact"/>
        <w:rPr>
          <w:rFonts w:ascii="宋体" w:hAnsi="宋体" w:cs="宋体"/>
        </w:rPr>
      </w:pPr>
    </w:p>
    <w:p w14:paraId="2A13A91D">
      <w:pPr>
        <w:snapToGrid w:val="0"/>
        <w:spacing w:line="600" w:lineRule="exact"/>
        <w:rPr>
          <w:rFonts w:ascii="宋体" w:hAnsi="宋体" w:cs="宋体"/>
          <w:sz w:val="48"/>
          <w:szCs w:val="48"/>
        </w:rPr>
      </w:pPr>
      <w:r>
        <w:rPr>
          <w:rFonts w:hint="eastAsia" w:ascii="宋体" w:hAnsi="宋体" w:cs="宋体"/>
          <w:sz w:val="48"/>
          <w:szCs w:val="48"/>
        </w:rPr>
        <w:t>项目名称：</w:t>
      </w:r>
    </w:p>
    <w:p w14:paraId="21ED80EF">
      <w:pPr>
        <w:snapToGrid w:val="0"/>
        <w:spacing w:line="600" w:lineRule="exact"/>
        <w:rPr>
          <w:rFonts w:ascii="宋体" w:hAnsi="宋体" w:cs="宋体"/>
          <w:sz w:val="48"/>
          <w:szCs w:val="48"/>
        </w:rPr>
      </w:pPr>
      <w:r>
        <w:rPr>
          <w:rFonts w:hint="eastAsia" w:ascii="宋体" w:hAnsi="宋体" w:cs="宋体"/>
          <w:sz w:val="48"/>
          <w:szCs w:val="48"/>
        </w:rPr>
        <w:t>项目编号：</w:t>
      </w:r>
    </w:p>
    <w:p w14:paraId="7DFDFB03">
      <w:pPr>
        <w:spacing w:line="600" w:lineRule="exact"/>
        <w:rPr>
          <w:rFonts w:ascii="宋体" w:hAnsi="宋体" w:cs="宋体"/>
        </w:rPr>
      </w:pPr>
    </w:p>
    <w:p w14:paraId="651E76B3">
      <w:pPr>
        <w:spacing w:line="600" w:lineRule="exact"/>
        <w:rPr>
          <w:rFonts w:ascii="宋体" w:hAnsi="宋体" w:cs="宋体"/>
        </w:rPr>
      </w:pPr>
    </w:p>
    <w:p w14:paraId="24B26C52">
      <w:pPr>
        <w:spacing w:line="600" w:lineRule="exact"/>
        <w:rPr>
          <w:rFonts w:ascii="宋体" w:hAnsi="宋体" w:cs="宋体"/>
        </w:rPr>
      </w:pPr>
    </w:p>
    <w:p w14:paraId="317AE6B9">
      <w:pPr>
        <w:pStyle w:val="8"/>
        <w:spacing w:line="600" w:lineRule="exact"/>
        <w:rPr>
          <w:rFonts w:ascii="宋体" w:hAnsi="宋体" w:cs="宋体"/>
        </w:rPr>
      </w:pPr>
    </w:p>
    <w:p w14:paraId="24CEB49C">
      <w:pPr>
        <w:pStyle w:val="8"/>
        <w:spacing w:line="600" w:lineRule="exact"/>
        <w:rPr>
          <w:rFonts w:ascii="宋体" w:hAnsi="宋体" w:cs="宋体"/>
        </w:rPr>
      </w:pPr>
    </w:p>
    <w:p w14:paraId="1CABB164">
      <w:pPr>
        <w:spacing w:line="600" w:lineRule="exact"/>
        <w:jc w:val="center"/>
        <w:rPr>
          <w:rFonts w:ascii="宋体" w:hAnsi="宋体" w:cs="宋体"/>
          <w:sz w:val="32"/>
          <w:szCs w:val="30"/>
        </w:rPr>
      </w:pPr>
      <w:r>
        <w:rPr>
          <w:rFonts w:hint="eastAsia" w:ascii="宋体" w:hAnsi="宋体" w:cs="宋体"/>
          <w:sz w:val="32"/>
          <w:szCs w:val="30"/>
        </w:rPr>
        <w:t>（正本/副本）</w:t>
      </w:r>
    </w:p>
    <w:p w14:paraId="2EE61780">
      <w:pPr>
        <w:spacing w:line="600" w:lineRule="exact"/>
        <w:rPr>
          <w:rFonts w:ascii="宋体" w:hAnsi="宋体" w:cs="宋体"/>
          <w:sz w:val="32"/>
          <w:szCs w:val="30"/>
        </w:rPr>
      </w:pPr>
    </w:p>
    <w:p w14:paraId="7630B1F6">
      <w:pPr>
        <w:spacing w:line="600" w:lineRule="exact"/>
        <w:rPr>
          <w:rFonts w:ascii="宋体" w:hAnsi="宋体" w:cs="宋体"/>
          <w:sz w:val="32"/>
          <w:szCs w:val="30"/>
        </w:rPr>
      </w:pPr>
    </w:p>
    <w:p w14:paraId="27EBF17B">
      <w:pPr>
        <w:snapToGrid w:val="0"/>
        <w:spacing w:line="600" w:lineRule="exact"/>
        <w:rPr>
          <w:rFonts w:ascii="宋体" w:hAnsi="宋体" w:cs="宋体"/>
          <w:sz w:val="32"/>
          <w:szCs w:val="30"/>
        </w:rPr>
      </w:pPr>
    </w:p>
    <w:p w14:paraId="05E43923">
      <w:pPr>
        <w:snapToGrid w:val="0"/>
        <w:spacing w:line="600" w:lineRule="exact"/>
        <w:rPr>
          <w:rFonts w:ascii="宋体" w:hAnsi="宋体" w:cs="宋体"/>
          <w:sz w:val="32"/>
          <w:szCs w:val="30"/>
        </w:rPr>
      </w:pPr>
      <w:r>
        <w:rPr>
          <w:rFonts w:hint="eastAsia" w:ascii="宋体" w:hAnsi="宋体" w:cs="宋体"/>
          <w:sz w:val="32"/>
          <w:szCs w:val="30"/>
        </w:rPr>
        <w:t xml:space="preserve">供应商名称：  </w:t>
      </w:r>
    </w:p>
    <w:p w14:paraId="6433F640">
      <w:pPr>
        <w:snapToGrid w:val="0"/>
        <w:spacing w:line="600" w:lineRule="exact"/>
        <w:rPr>
          <w:rFonts w:ascii="宋体" w:hAnsi="宋体" w:cs="宋体"/>
          <w:sz w:val="32"/>
          <w:szCs w:val="30"/>
        </w:rPr>
      </w:pPr>
      <w:r>
        <w:rPr>
          <w:rFonts w:hint="eastAsia" w:ascii="宋体" w:hAnsi="宋体" w:cs="宋体"/>
          <w:sz w:val="32"/>
          <w:szCs w:val="30"/>
        </w:rPr>
        <w:t xml:space="preserve">地    址： </w:t>
      </w:r>
    </w:p>
    <w:p w14:paraId="1E8030FD">
      <w:pPr>
        <w:snapToGrid w:val="0"/>
        <w:spacing w:line="600" w:lineRule="exact"/>
        <w:rPr>
          <w:rFonts w:ascii="宋体" w:hAnsi="宋体" w:cs="宋体"/>
          <w:sz w:val="32"/>
          <w:szCs w:val="30"/>
        </w:rPr>
      </w:pPr>
      <w:r>
        <w:rPr>
          <w:rFonts w:hint="eastAsia" w:ascii="宋体" w:hAnsi="宋体" w:cs="宋体"/>
          <w:sz w:val="32"/>
          <w:szCs w:val="30"/>
        </w:rPr>
        <w:t xml:space="preserve">电    话： </w:t>
      </w:r>
    </w:p>
    <w:p w14:paraId="246991E8">
      <w:pPr>
        <w:snapToGrid w:val="0"/>
        <w:spacing w:line="600" w:lineRule="exact"/>
        <w:rPr>
          <w:rFonts w:ascii="宋体" w:hAnsi="宋体" w:cs="宋体"/>
          <w:sz w:val="32"/>
          <w:szCs w:val="30"/>
        </w:rPr>
      </w:pPr>
      <w:r>
        <w:rPr>
          <w:rFonts w:hint="eastAsia" w:ascii="宋体" w:hAnsi="宋体" w:cs="宋体"/>
          <w:sz w:val="32"/>
          <w:szCs w:val="30"/>
        </w:rPr>
        <w:t>日    期：   年   月  日</w:t>
      </w:r>
    </w:p>
    <w:p w14:paraId="1CA8BBA5">
      <w:pPr>
        <w:widowControl/>
        <w:spacing w:line="600" w:lineRule="exact"/>
        <w:jc w:val="left"/>
        <w:rPr>
          <w:rFonts w:ascii="宋体" w:hAnsi="宋体" w:cs="宋体"/>
          <w:b/>
          <w:sz w:val="32"/>
          <w:szCs w:val="32"/>
        </w:rPr>
      </w:pPr>
    </w:p>
    <w:p w14:paraId="1251012B">
      <w:pPr>
        <w:spacing w:line="600" w:lineRule="exact"/>
        <w:jc w:val="center"/>
        <w:outlineLvl w:val="1"/>
        <w:rPr>
          <w:rFonts w:ascii="宋体" w:hAnsi="宋体" w:cs="宋体"/>
          <w:sz w:val="32"/>
          <w:szCs w:val="32"/>
        </w:rPr>
      </w:pPr>
      <w:bookmarkStart w:id="94" w:name="_Toc48044740"/>
      <w:bookmarkStart w:id="95" w:name="_Toc35856329"/>
      <w:bookmarkStart w:id="96" w:name="_Toc35856202"/>
      <w:r>
        <w:rPr>
          <w:rFonts w:hint="eastAsia" w:ascii="宋体" w:hAnsi="宋体" w:cs="宋体"/>
          <w:sz w:val="32"/>
          <w:szCs w:val="32"/>
        </w:rPr>
        <w:t>一、报价一览表</w:t>
      </w:r>
      <w:bookmarkEnd w:id="94"/>
      <w:bookmarkEnd w:id="95"/>
      <w:bookmarkEnd w:id="96"/>
    </w:p>
    <w:tbl>
      <w:tblPr>
        <w:tblStyle w:val="26"/>
        <w:tblW w:w="9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9"/>
        <w:gridCol w:w="3401"/>
        <w:gridCol w:w="1771"/>
        <w:gridCol w:w="1527"/>
      </w:tblGrid>
      <w:tr w14:paraId="63FA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2329" w:type="dxa"/>
            <w:vAlign w:val="center"/>
          </w:tcPr>
          <w:p w14:paraId="4DA0F667">
            <w:pPr>
              <w:spacing w:line="600" w:lineRule="exact"/>
              <w:jc w:val="center"/>
              <w:rPr>
                <w:rFonts w:ascii="宋体" w:hAnsi="宋体" w:cs="宋体"/>
              </w:rPr>
            </w:pPr>
            <w:r>
              <w:rPr>
                <w:rFonts w:hint="eastAsia" w:ascii="宋体" w:hAnsi="宋体" w:cs="宋体"/>
              </w:rPr>
              <w:t>项目名称</w:t>
            </w:r>
          </w:p>
        </w:tc>
        <w:tc>
          <w:tcPr>
            <w:tcW w:w="3401" w:type="dxa"/>
            <w:vAlign w:val="center"/>
          </w:tcPr>
          <w:p w14:paraId="7E59DCB7">
            <w:pPr>
              <w:spacing w:line="600" w:lineRule="exact"/>
              <w:jc w:val="center"/>
              <w:rPr>
                <w:rFonts w:ascii="宋体" w:hAnsi="宋体" w:cs="宋体"/>
              </w:rPr>
            </w:pPr>
            <w:r>
              <w:rPr>
                <w:rFonts w:hint="eastAsia" w:ascii="宋体" w:hAnsi="宋体" w:cs="宋体"/>
              </w:rPr>
              <w:t>响应报价</w:t>
            </w:r>
          </w:p>
          <w:p w14:paraId="19430AB4">
            <w:pPr>
              <w:spacing w:line="600" w:lineRule="exact"/>
              <w:jc w:val="center"/>
              <w:rPr>
                <w:rFonts w:ascii="宋体" w:hAnsi="宋体" w:cs="宋体"/>
              </w:rPr>
            </w:pPr>
            <w:r>
              <w:rPr>
                <w:rFonts w:hint="eastAsia" w:ascii="宋体" w:hAnsi="宋体" w:cs="宋体"/>
              </w:rPr>
              <w:t>（人民币/元/年）</w:t>
            </w:r>
          </w:p>
        </w:tc>
        <w:tc>
          <w:tcPr>
            <w:tcW w:w="1771" w:type="dxa"/>
            <w:vAlign w:val="center"/>
          </w:tcPr>
          <w:p w14:paraId="6B2080C1">
            <w:pPr>
              <w:spacing w:line="600" w:lineRule="exact"/>
              <w:jc w:val="center"/>
              <w:rPr>
                <w:rFonts w:ascii="宋体" w:hAnsi="宋体" w:cs="宋体"/>
              </w:rPr>
            </w:pPr>
            <w:r>
              <w:rPr>
                <w:rFonts w:hint="eastAsia" w:ascii="宋体" w:hAnsi="宋体" w:cs="宋体"/>
              </w:rPr>
              <w:t>合同履行期限（服务期限及服务时长）</w:t>
            </w:r>
          </w:p>
        </w:tc>
        <w:tc>
          <w:tcPr>
            <w:tcW w:w="1527" w:type="dxa"/>
            <w:vAlign w:val="center"/>
          </w:tcPr>
          <w:p w14:paraId="23F09F7F">
            <w:pPr>
              <w:spacing w:line="600" w:lineRule="exact"/>
              <w:jc w:val="center"/>
              <w:rPr>
                <w:rFonts w:ascii="宋体" w:hAnsi="宋体" w:cs="宋体"/>
              </w:rPr>
            </w:pPr>
            <w:r>
              <w:rPr>
                <w:rFonts w:hint="eastAsia" w:ascii="宋体" w:hAnsi="宋体" w:cs="宋体"/>
              </w:rPr>
              <w:t>备注</w:t>
            </w:r>
          </w:p>
        </w:tc>
      </w:tr>
      <w:tr w14:paraId="45E5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329" w:type="dxa"/>
            <w:shd w:val="solid" w:color="FFFFFF" w:fill="auto"/>
            <w:vAlign w:val="center"/>
          </w:tcPr>
          <w:p w14:paraId="7C1B0B29">
            <w:pPr>
              <w:spacing w:line="600" w:lineRule="exact"/>
              <w:rPr>
                <w:rFonts w:ascii="宋体" w:hAnsi="宋体" w:cs="宋体"/>
              </w:rPr>
            </w:pPr>
          </w:p>
        </w:tc>
        <w:tc>
          <w:tcPr>
            <w:tcW w:w="3401" w:type="dxa"/>
            <w:shd w:val="solid" w:color="FFFFFF" w:fill="auto"/>
            <w:vAlign w:val="center"/>
          </w:tcPr>
          <w:p w14:paraId="4019BF93">
            <w:pPr>
              <w:spacing w:line="600" w:lineRule="exact"/>
              <w:rPr>
                <w:rFonts w:ascii="宋体" w:hAnsi="宋体" w:cs="宋体"/>
              </w:rPr>
            </w:pPr>
            <w:r>
              <w:rPr>
                <w:rFonts w:hint="eastAsia" w:ascii="宋体" w:hAnsi="宋体" w:cs="宋体"/>
              </w:rPr>
              <w:t>大写：</w:t>
            </w:r>
          </w:p>
          <w:p w14:paraId="3E752551">
            <w:pPr>
              <w:spacing w:line="600" w:lineRule="exact"/>
              <w:rPr>
                <w:rFonts w:ascii="宋体" w:hAnsi="宋体" w:cs="宋体"/>
              </w:rPr>
            </w:pPr>
            <w:r>
              <w:rPr>
                <w:rFonts w:hint="eastAsia" w:ascii="宋体" w:hAnsi="宋体" w:cs="宋体"/>
              </w:rPr>
              <w:t>小写：</w:t>
            </w:r>
          </w:p>
        </w:tc>
        <w:tc>
          <w:tcPr>
            <w:tcW w:w="1771" w:type="dxa"/>
            <w:vAlign w:val="center"/>
          </w:tcPr>
          <w:p w14:paraId="3AD6C5B0">
            <w:pPr>
              <w:spacing w:line="600" w:lineRule="exact"/>
              <w:rPr>
                <w:rFonts w:ascii="宋体" w:hAnsi="宋体" w:cs="宋体"/>
              </w:rPr>
            </w:pPr>
          </w:p>
        </w:tc>
        <w:tc>
          <w:tcPr>
            <w:tcW w:w="1527" w:type="dxa"/>
            <w:vAlign w:val="center"/>
          </w:tcPr>
          <w:p w14:paraId="7D1836E7">
            <w:pPr>
              <w:spacing w:line="600" w:lineRule="exact"/>
              <w:rPr>
                <w:rFonts w:ascii="宋体" w:hAnsi="宋体" w:cs="宋体"/>
              </w:rPr>
            </w:pPr>
          </w:p>
        </w:tc>
      </w:tr>
      <w:tr w14:paraId="7893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028" w:type="dxa"/>
            <w:gridSpan w:val="4"/>
            <w:shd w:val="solid" w:color="FFFFFF" w:fill="auto"/>
            <w:vAlign w:val="center"/>
          </w:tcPr>
          <w:p w14:paraId="3DAA0C78">
            <w:pPr>
              <w:spacing w:line="600" w:lineRule="exact"/>
              <w:rPr>
                <w:rFonts w:ascii="宋体" w:hAnsi="宋体" w:cs="宋体"/>
              </w:rPr>
            </w:pPr>
            <w:r>
              <w:rPr>
                <w:rFonts w:hint="eastAsia" w:ascii="宋体" w:hAnsi="宋体" w:cs="宋体"/>
              </w:rPr>
              <w:t xml:space="preserve">温馨提示：请注意核对并确保报价信息正确且大小写一致。                                       </w:t>
            </w:r>
          </w:p>
        </w:tc>
      </w:tr>
      <w:tr w14:paraId="3AE6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028" w:type="dxa"/>
            <w:gridSpan w:val="4"/>
            <w:shd w:val="solid" w:color="FFFFFF" w:fill="auto"/>
            <w:vAlign w:val="center"/>
          </w:tcPr>
          <w:p w14:paraId="7F594205">
            <w:pPr>
              <w:spacing w:line="600" w:lineRule="exact"/>
              <w:rPr>
                <w:rFonts w:ascii="宋体" w:hAnsi="宋体" w:cs="宋体"/>
              </w:rPr>
            </w:pPr>
            <w:r>
              <w:rPr>
                <w:rFonts w:hint="eastAsia" w:ascii="宋体" w:hAnsi="宋体" w:cs="宋体"/>
              </w:rPr>
              <w:t>是否小微型企业产品：是（   ）；否（   ）</w:t>
            </w:r>
          </w:p>
        </w:tc>
      </w:tr>
      <w:tr w14:paraId="0865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028" w:type="dxa"/>
            <w:gridSpan w:val="4"/>
            <w:shd w:val="solid" w:color="FFFFFF" w:fill="auto"/>
            <w:vAlign w:val="center"/>
          </w:tcPr>
          <w:p w14:paraId="499508A8">
            <w:pPr>
              <w:spacing w:line="600" w:lineRule="exact"/>
              <w:rPr>
                <w:rFonts w:ascii="宋体" w:hAnsi="宋体" w:cs="宋体"/>
              </w:rPr>
            </w:pPr>
            <w:r>
              <w:rPr>
                <w:rFonts w:hint="eastAsia" w:ascii="宋体" w:hAnsi="宋体" w:cs="宋体"/>
              </w:rPr>
              <w:t>是否监狱企业参加采购活动：是（   ）；否（   ）</w:t>
            </w:r>
          </w:p>
        </w:tc>
      </w:tr>
      <w:tr w14:paraId="3DD4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028" w:type="dxa"/>
            <w:gridSpan w:val="4"/>
            <w:shd w:val="solid" w:color="FFFFFF" w:fill="auto"/>
            <w:vAlign w:val="center"/>
          </w:tcPr>
          <w:p w14:paraId="511F5938">
            <w:pPr>
              <w:spacing w:line="600" w:lineRule="exact"/>
              <w:rPr>
                <w:rFonts w:ascii="宋体" w:hAnsi="宋体" w:cs="宋体"/>
              </w:rPr>
            </w:pPr>
            <w:r>
              <w:rPr>
                <w:rFonts w:hint="eastAsia" w:ascii="宋体" w:hAnsi="宋体" w:cs="宋体"/>
              </w:rPr>
              <w:t>是否残疾人福利性单位参加采购活动：是（   ）；否（   ）</w:t>
            </w:r>
          </w:p>
        </w:tc>
      </w:tr>
    </w:tbl>
    <w:p w14:paraId="7B828756">
      <w:pPr>
        <w:adjustRightInd w:val="0"/>
        <w:spacing w:line="600" w:lineRule="exact"/>
        <w:rPr>
          <w:rFonts w:ascii="宋体" w:hAnsi="宋体" w:cs="宋体"/>
        </w:rPr>
      </w:pPr>
    </w:p>
    <w:p w14:paraId="589F1854">
      <w:pPr>
        <w:adjustRightInd w:val="0"/>
        <w:spacing w:line="600" w:lineRule="exact"/>
        <w:rPr>
          <w:rFonts w:ascii="宋体" w:hAnsi="宋体" w:cs="宋体"/>
        </w:rPr>
      </w:pPr>
      <w:r>
        <w:rPr>
          <w:rFonts w:hint="eastAsia" w:ascii="宋体" w:hAnsi="宋体" w:cs="宋体"/>
        </w:rPr>
        <w:t>注：</w:t>
      </w:r>
    </w:p>
    <w:p w14:paraId="045064FA">
      <w:pPr>
        <w:adjustRightInd w:val="0"/>
        <w:spacing w:line="600" w:lineRule="exact"/>
        <w:ind w:firstLine="480" w:firstLineChars="200"/>
        <w:rPr>
          <w:rFonts w:ascii="宋体" w:hAnsi="宋体" w:cs="宋体"/>
        </w:rPr>
      </w:pPr>
      <w:r>
        <w:rPr>
          <w:rFonts w:hint="eastAsia" w:ascii="宋体" w:hAnsi="宋体" w:cs="宋体"/>
        </w:rPr>
        <w:t>1、是否小微型企业栏、是否监狱企业栏及是否残疾人福利性单位栏，在相应的括弧里打勾（√）。</w:t>
      </w:r>
    </w:p>
    <w:p w14:paraId="50BD197B">
      <w:pPr>
        <w:adjustRightInd w:val="0"/>
        <w:spacing w:line="600" w:lineRule="exact"/>
        <w:ind w:firstLine="480" w:firstLineChars="200"/>
        <w:rPr>
          <w:rFonts w:ascii="宋体" w:hAnsi="宋体" w:cs="宋体"/>
        </w:rPr>
      </w:pPr>
      <w:r>
        <w:rPr>
          <w:rFonts w:hint="eastAsia" w:ascii="宋体" w:hAnsi="宋体" w:cs="宋体"/>
        </w:rPr>
        <w:t>2、报价包含税费、资料费、劳务酬金、交通住宿费等为履行本项目所需的一切费用。在履行过程中，因物价、政策、税费、人力成本调整、机械调价导致的价格变动等风险由供应商承担，采购人不再支付任何其他费用。</w:t>
      </w:r>
    </w:p>
    <w:p w14:paraId="344C2DE2">
      <w:pPr>
        <w:adjustRightInd w:val="0"/>
        <w:spacing w:line="600" w:lineRule="exact"/>
        <w:ind w:firstLine="480" w:firstLineChars="200"/>
        <w:rPr>
          <w:rFonts w:ascii="宋体" w:hAnsi="宋体" w:cs="宋体"/>
        </w:rPr>
      </w:pPr>
    </w:p>
    <w:p w14:paraId="04126F21">
      <w:pPr>
        <w:spacing w:line="600" w:lineRule="exact"/>
        <w:rPr>
          <w:rFonts w:ascii="宋体" w:hAnsi="宋体" w:cs="宋体"/>
        </w:rPr>
      </w:pPr>
    </w:p>
    <w:p w14:paraId="730F2A5F">
      <w:pPr>
        <w:spacing w:line="600" w:lineRule="exact"/>
        <w:ind w:firstLine="480" w:firstLineChars="200"/>
        <w:rPr>
          <w:rFonts w:ascii="宋体" w:hAnsi="宋体" w:cs="宋体"/>
        </w:rPr>
      </w:pPr>
    </w:p>
    <w:p w14:paraId="20B6C3A0">
      <w:pPr>
        <w:spacing w:line="600" w:lineRule="exact"/>
        <w:ind w:firstLine="480" w:firstLineChars="200"/>
        <w:jc w:val="right"/>
        <w:rPr>
          <w:rFonts w:ascii="宋体" w:hAnsi="宋体" w:cs="宋体"/>
        </w:rPr>
      </w:pPr>
      <w:r>
        <w:rPr>
          <w:rFonts w:hint="eastAsia" w:ascii="宋体" w:hAnsi="宋体" w:cs="宋体"/>
        </w:rPr>
        <w:t>供应商名称（加盖公章）：</w:t>
      </w:r>
    </w:p>
    <w:p w14:paraId="4C2483DA">
      <w:pPr>
        <w:spacing w:line="600" w:lineRule="exact"/>
        <w:ind w:firstLine="480" w:firstLineChars="200"/>
        <w:jc w:val="right"/>
        <w:rPr>
          <w:rFonts w:ascii="宋体" w:hAnsi="宋体" w:cs="宋体"/>
        </w:rPr>
      </w:pPr>
      <w:r>
        <w:rPr>
          <w:rFonts w:hint="eastAsia" w:ascii="宋体" w:hAnsi="宋体" w:cs="宋体"/>
        </w:rPr>
        <w:t>日    期：   年   月  日</w:t>
      </w:r>
    </w:p>
    <w:p w14:paraId="4DF83EED">
      <w:pPr>
        <w:pStyle w:val="8"/>
        <w:spacing w:line="600" w:lineRule="exact"/>
        <w:ind w:firstLine="0"/>
        <w:rPr>
          <w:rFonts w:ascii="宋体" w:hAnsi="宋体" w:cs="宋体"/>
        </w:rPr>
      </w:pPr>
    </w:p>
    <w:p w14:paraId="4217C91A">
      <w:pPr>
        <w:spacing w:line="600" w:lineRule="exact"/>
        <w:jc w:val="center"/>
        <w:rPr>
          <w:rFonts w:ascii="宋体" w:hAnsi="宋体" w:cs="宋体"/>
          <w:sz w:val="32"/>
          <w:szCs w:val="32"/>
        </w:rPr>
      </w:pPr>
      <w:bookmarkStart w:id="97" w:name="_Toc35856203"/>
      <w:bookmarkStart w:id="98" w:name="_Toc48044741"/>
      <w:bookmarkStart w:id="99" w:name="_Toc35856330"/>
      <w:bookmarkStart w:id="100" w:name="OLE_LINK25"/>
      <w:bookmarkStart w:id="101" w:name="OLE_LINK24"/>
      <w:r>
        <w:rPr>
          <w:rFonts w:hint="eastAsia" w:ascii="宋体" w:hAnsi="宋体" w:cs="宋体"/>
          <w:sz w:val="32"/>
          <w:szCs w:val="32"/>
        </w:rPr>
        <w:t>1.1</w:t>
      </w:r>
      <w:bookmarkEnd w:id="97"/>
      <w:bookmarkEnd w:id="98"/>
      <w:bookmarkEnd w:id="99"/>
      <w:bookmarkStart w:id="102" w:name="OLE_LINK15"/>
      <w:r>
        <w:rPr>
          <w:rFonts w:hint="eastAsia" w:ascii="宋体" w:hAnsi="宋体" w:cs="宋体"/>
          <w:sz w:val="32"/>
          <w:szCs w:val="32"/>
        </w:rPr>
        <w:t>已标价清单</w:t>
      </w:r>
      <w:bookmarkEnd w:id="102"/>
    </w:p>
    <w:p w14:paraId="6C6EE93C">
      <w:pPr>
        <w:spacing w:line="600" w:lineRule="exact"/>
        <w:jc w:val="center"/>
        <w:rPr>
          <w:rFonts w:ascii="宋体" w:hAnsi="宋体" w:cs="宋体"/>
        </w:rPr>
      </w:pPr>
      <w:r>
        <w:rPr>
          <w:rFonts w:hint="eastAsia" w:ascii="宋体" w:hAnsi="宋体" w:cs="宋体"/>
        </w:rPr>
        <w:t>(报价封面格式仅供参考，也可自拟；供应商根据第二章 采购需求中“第二部分 采购需求清单”提供的清单内容及格式编制本项；各分项报价合计应当与“报价一览表”响应总价相等。第一次报价，所有供应商都要提供已标价清单，但由于磋商过程中涉及到最终报价，故仅成交单位在成交后提供最终报价的已标价清单。)</w:t>
      </w:r>
    </w:p>
    <w:p w14:paraId="49B5F01A">
      <w:pPr>
        <w:adjustRightInd w:val="0"/>
        <w:spacing w:line="600" w:lineRule="exact"/>
        <w:ind w:firstLine="420" w:firstLineChars="175"/>
        <w:rPr>
          <w:rFonts w:ascii="宋体" w:hAnsi="宋体" w:cs="宋体"/>
        </w:rPr>
      </w:pPr>
      <w:r>
        <w:rPr>
          <w:rFonts w:hint="eastAsia" w:ascii="宋体" w:hAnsi="宋体" w:cs="宋体"/>
        </w:rPr>
        <w:t>参考封面格式如下：</w:t>
      </w:r>
    </w:p>
    <w:p w14:paraId="17DD5494">
      <w:pPr>
        <w:adjustRightInd w:val="0"/>
        <w:spacing w:line="600" w:lineRule="exact"/>
        <w:ind w:firstLine="560" w:firstLineChars="175"/>
        <w:rPr>
          <w:rFonts w:ascii="宋体" w:hAnsi="宋体" w:cs="宋体"/>
          <w:sz w:val="32"/>
        </w:rPr>
      </w:pPr>
    </w:p>
    <w:p w14:paraId="12D4D236">
      <w:pPr>
        <w:adjustRightInd w:val="0"/>
        <w:spacing w:line="600" w:lineRule="exact"/>
        <w:ind w:firstLine="560" w:firstLineChars="175"/>
        <w:rPr>
          <w:rFonts w:ascii="宋体" w:hAnsi="宋体" w:cs="宋体"/>
          <w:sz w:val="32"/>
        </w:rPr>
      </w:pPr>
      <w:r>
        <w:rPr>
          <w:rFonts w:hint="eastAsia" w:ascii="宋体" w:hAnsi="宋体" w:cs="宋体"/>
          <w:sz w:val="32"/>
        </w:rPr>
        <w:t>项目名称：</w:t>
      </w:r>
    </w:p>
    <w:p w14:paraId="2C7E3D54">
      <w:pPr>
        <w:adjustRightInd w:val="0"/>
        <w:spacing w:line="600" w:lineRule="exact"/>
        <w:ind w:firstLine="560" w:firstLineChars="175"/>
        <w:rPr>
          <w:rFonts w:ascii="宋体" w:hAnsi="宋体" w:cs="宋体"/>
          <w:sz w:val="32"/>
          <w:u w:val="single"/>
        </w:rPr>
      </w:pPr>
      <w:r>
        <w:rPr>
          <w:rFonts w:hint="eastAsia" w:ascii="宋体" w:hAnsi="宋体" w:cs="宋体"/>
          <w:sz w:val="32"/>
        </w:rPr>
        <w:t>响应报价（小写）：</w:t>
      </w:r>
      <w:r>
        <w:rPr>
          <w:rFonts w:hint="eastAsia" w:ascii="宋体" w:hAnsi="宋体" w:cs="宋体"/>
          <w:sz w:val="32"/>
          <w:u w:val="single"/>
        </w:rPr>
        <w:t xml:space="preserve"> </w:t>
      </w:r>
      <w:r>
        <w:rPr>
          <w:rFonts w:ascii="宋体" w:hAnsi="宋体" w:cs="宋体"/>
          <w:sz w:val="32"/>
          <w:u w:val="single"/>
        </w:rPr>
        <w:t xml:space="preserve">     </w:t>
      </w:r>
    </w:p>
    <w:p w14:paraId="13F39202">
      <w:pPr>
        <w:adjustRightInd w:val="0"/>
        <w:spacing w:line="600" w:lineRule="exact"/>
        <w:ind w:firstLine="1840" w:firstLineChars="575"/>
        <w:rPr>
          <w:rFonts w:ascii="宋体" w:hAnsi="宋体" w:cs="宋体"/>
          <w:sz w:val="32"/>
          <w:u w:val="single"/>
        </w:rPr>
      </w:pPr>
      <w:r>
        <w:rPr>
          <w:rFonts w:hint="eastAsia" w:ascii="宋体" w:hAnsi="宋体" w:cs="宋体"/>
          <w:sz w:val="32"/>
        </w:rPr>
        <w:t>（大写）：</w:t>
      </w:r>
      <w:r>
        <w:rPr>
          <w:rFonts w:hint="eastAsia" w:ascii="宋体" w:hAnsi="宋体" w:cs="宋体"/>
          <w:sz w:val="32"/>
          <w:u w:val="single"/>
        </w:rPr>
        <w:t xml:space="preserve"> </w:t>
      </w:r>
      <w:r>
        <w:rPr>
          <w:rFonts w:ascii="宋体" w:hAnsi="宋体" w:cs="宋体"/>
          <w:sz w:val="32"/>
          <w:u w:val="single"/>
        </w:rPr>
        <w:t xml:space="preserve">     </w:t>
      </w:r>
    </w:p>
    <w:p w14:paraId="344A6349">
      <w:pPr>
        <w:adjustRightInd w:val="0"/>
        <w:spacing w:line="600" w:lineRule="exact"/>
        <w:ind w:firstLine="560" w:firstLineChars="175"/>
        <w:rPr>
          <w:rFonts w:ascii="宋体" w:hAnsi="宋体" w:cs="宋体"/>
          <w:sz w:val="32"/>
        </w:rPr>
      </w:pPr>
      <w:r>
        <w:rPr>
          <w:rFonts w:hint="eastAsia" w:ascii="宋体" w:hAnsi="宋体" w:cs="宋体"/>
          <w:sz w:val="32"/>
        </w:rPr>
        <w:t>供 应 商 ：</w:t>
      </w:r>
    </w:p>
    <w:p w14:paraId="0687E90F">
      <w:pPr>
        <w:adjustRightInd w:val="0"/>
        <w:spacing w:line="600" w:lineRule="exact"/>
        <w:ind w:firstLine="560" w:firstLineChars="175"/>
        <w:rPr>
          <w:rFonts w:ascii="宋体" w:hAnsi="宋体" w:cs="宋体"/>
          <w:sz w:val="32"/>
        </w:rPr>
      </w:pPr>
      <w:r>
        <w:rPr>
          <w:rFonts w:hint="eastAsia" w:ascii="宋体" w:hAnsi="宋体" w:cs="宋体"/>
          <w:sz w:val="32"/>
        </w:rPr>
        <w:t>（单位盖章）</w:t>
      </w:r>
    </w:p>
    <w:p w14:paraId="4776856A">
      <w:pPr>
        <w:adjustRightInd w:val="0"/>
        <w:spacing w:line="600" w:lineRule="exact"/>
        <w:ind w:firstLine="560" w:firstLineChars="175"/>
        <w:rPr>
          <w:rFonts w:ascii="宋体" w:hAnsi="宋体" w:cs="宋体"/>
          <w:sz w:val="32"/>
        </w:rPr>
      </w:pPr>
      <w:r>
        <w:rPr>
          <w:rFonts w:hint="eastAsia" w:ascii="宋体" w:hAnsi="宋体" w:cs="宋体"/>
          <w:sz w:val="32"/>
        </w:rPr>
        <w:t>法定代表人</w:t>
      </w:r>
    </w:p>
    <w:p w14:paraId="68F79C9B">
      <w:pPr>
        <w:adjustRightInd w:val="0"/>
        <w:spacing w:line="600" w:lineRule="exact"/>
        <w:ind w:firstLine="560" w:firstLineChars="175"/>
        <w:rPr>
          <w:rFonts w:ascii="宋体" w:hAnsi="宋体" w:cs="宋体"/>
          <w:sz w:val="32"/>
        </w:rPr>
      </w:pPr>
      <w:r>
        <w:rPr>
          <w:rFonts w:hint="eastAsia" w:ascii="宋体" w:hAnsi="宋体" w:cs="宋体"/>
          <w:sz w:val="32"/>
        </w:rPr>
        <w:t>或其授权人：</w:t>
      </w:r>
    </w:p>
    <w:p w14:paraId="2C392822">
      <w:pPr>
        <w:adjustRightInd w:val="0"/>
        <w:spacing w:line="600" w:lineRule="exact"/>
        <w:ind w:firstLine="560" w:firstLineChars="175"/>
        <w:rPr>
          <w:rFonts w:ascii="宋体" w:hAnsi="宋体" w:cs="宋体"/>
          <w:sz w:val="32"/>
        </w:rPr>
      </w:pPr>
      <w:r>
        <w:rPr>
          <w:rFonts w:hint="eastAsia" w:ascii="宋体" w:hAnsi="宋体" w:cs="宋体"/>
          <w:sz w:val="32"/>
        </w:rPr>
        <w:t>（签字或盖章）</w:t>
      </w:r>
    </w:p>
    <w:p w14:paraId="6B2DCBAF">
      <w:pPr>
        <w:adjustRightInd w:val="0"/>
        <w:spacing w:line="600" w:lineRule="exact"/>
        <w:ind w:firstLine="560" w:firstLineChars="175"/>
        <w:rPr>
          <w:rFonts w:ascii="宋体" w:hAnsi="宋体" w:cs="宋体"/>
          <w:sz w:val="32"/>
        </w:rPr>
      </w:pPr>
      <w:r>
        <w:rPr>
          <w:rFonts w:hint="eastAsia" w:ascii="宋体" w:hAnsi="宋体" w:cs="宋体"/>
          <w:sz w:val="32"/>
        </w:rPr>
        <w:t>编制时间： 年 月 日</w:t>
      </w:r>
    </w:p>
    <w:bookmarkEnd w:id="100"/>
    <w:bookmarkEnd w:id="101"/>
    <w:p w14:paraId="0D980689">
      <w:pPr>
        <w:spacing w:line="600" w:lineRule="exact"/>
        <w:ind w:firstLine="480" w:firstLineChars="200"/>
        <w:rPr>
          <w:rFonts w:ascii="宋体" w:hAnsi="宋体" w:cs="宋体"/>
        </w:rPr>
      </w:pPr>
    </w:p>
    <w:p w14:paraId="4B018CA8">
      <w:pPr>
        <w:pStyle w:val="8"/>
        <w:spacing w:line="600" w:lineRule="exact"/>
        <w:rPr>
          <w:rFonts w:ascii="宋体" w:hAnsi="宋体" w:cs="宋体"/>
        </w:rPr>
      </w:pPr>
      <w:r>
        <w:rPr>
          <w:rFonts w:hint="eastAsia" w:ascii="宋体" w:hAnsi="宋体" w:cs="宋体"/>
        </w:rPr>
        <w:br w:type="page"/>
      </w:r>
    </w:p>
    <w:p w14:paraId="46F1111E">
      <w:pPr>
        <w:spacing w:line="600" w:lineRule="exact"/>
        <w:jc w:val="center"/>
        <w:outlineLvl w:val="1"/>
        <w:rPr>
          <w:rFonts w:ascii="宋体" w:hAnsi="宋体" w:cs="宋体"/>
          <w:sz w:val="32"/>
          <w:szCs w:val="32"/>
        </w:rPr>
      </w:pPr>
      <w:bookmarkStart w:id="103" w:name="_Toc48044742"/>
      <w:bookmarkStart w:id="104" w:name="_Toc35856208"/>
      <w:bookmarkStart w:id="105" w:name="_Toc35856335"/>
      <w:bookmarkStart w:id="106" w:name="_Toc35856331"/>
      <w:bookmarkStart w:id="107" w:name="_Toc35856204"/>
      <w:r>
        <w:rPr>
          <w:rFonts w:hint="eastAsia" w:ascii="宋体" w:hAnsi="宋体" w:cs="宋体"/>
          <w:sz w:val="32"/>
          <w:szCs w:val="32"/>
        </w:rPr>
        <w:t>二、响应代表身份证明材料</w:t>
      </w:r>
    </w:p>
    <w:p w14:paraId="3A6A6D85">
      <w:pPr>
        <w:spacing w:line="600" w:lineRule="exact"/>
        <w:jc w:val="left"/>
        <w:outlineLvl w:val="1"/>
        <w:rPr>
          <w:rFonts w:ascii="宋体" w:hAnsi="宋体" w:cs="宋体"/>
          <w:sz w:val="32"/>
          <w:szCs w:val="32"/>
        </w:rPr>
      </w:pPr>
      <w:r>
        <w:rPr>
          <w:rFonts w:hint="eastAsia" w:ascii="宋体" w:hAnsi="宋体" w:cs="宋体"/>
          <w:sz w:val="32"/>
          <w:szCs w:val="32"/>
        </w:rPr>
        <w:t>1、法定代表人/主要负责人身份证明书</w:t>
      </w:r>
      <w:bookmarkEnd w:id="103"/>
      <w:bookmarkEnd w:id="104"/>
      <w:bookmarkEnd w:id="105"/>
    </w:p>
    <w:p w14:paraId="1C15F1E6">
      <w:pPr>
        <w:spacing w:line="600" w:lineRule="exact"/>
        <w:rPr>
          <w:rFonts w:ascii="宋体" w:hAnsi="宋体" w:cs="宋体"/>
        </w:rPr>
      </w:pPr>
    </w:p>
    <w:p w14:paraId="2ECF1155">
      <w:pPr>
        <w:spacing w:line="600" w:lineRule="exact"/>
        <w:rPr>
          <w:rFonts w:ascii="宋体" w:hAnsi="宋体" w:cs="宋体"/>
        </w:rPr>
      </w:pPr>
      <w:r>
        <w:rPr>
          <w:rFonts w:hint="eastAsia" w:ascii="宋体" w:hAnsi="宋体" w:cs="宋体"/>
        </w:rPr>
        <w:t>供应商名称：</w:t>
      </w:r>
    </w:p>
    <w:p w14:paraId="398CC338">
      <w:pPr>
        <w:spacing w:line="600" w:lineRule="exact"/>
        <w:rPr>
          <w:rFonts w:ascii="宋体" w:hAnsi="宋体" w:cs="宋体"/>
        </w:rPr>
      </w:pPr>
      <w:r>
        <w:rPr>
          <w:rFonts w:hint="eastAsia" w:ascii="宋体" w:hAnsi="宋体" w:cs="宋体"/>
        </w:rPr>
        <w:t>单位性质：</w:t>
      </w:r>
    </w:p>
    <w:p w14:paraId="52DC06D7">
      <w:pPr>
        <w:spacing w:line="600" w:lineRule="exact"/>
        <w:rPr>
          <w:rFonts w:ascii="宋体" w:hAnsi="宋体" w:cs="宋体"/>
        </w:rPr>
      </w:pPr>
      <w:r>
        <w:rPr>
          <w:rFonts w:hint="eastAsia" w:ascii="宋体" w:hAnsi="宋体" w:cs="宋体"/>
        </w:rPr>
        <w:t>地址：</w:t>
      </w:r>
    </w:p>
    <w:p w14:paraId="67EDF130">
      <w:pPr>
        <w:spacing w:line="600" w:lineRule="exact"/>
        <w:rPr>
          <w:rFonts w:ascii="宋体" w:hAnsi="宋体" w:cs="宋体"/>
        </w:rPr>
      </w:pPr>
      <w:r>
        <w:rPr>
          <w:rFonts w:hint="eastAsia" w:ascii="宋体" w:hAnsi="宋体" w:cs="宋体"/>
        </w:rPr>
        <w:t>成立时间： 年  月  日</w:t>
      </w:r>
    </w:p>
    <w:p w14:paraId="3EF85487">
      <w:pPr>
        <w:spacing w:line="600" w:lineRule="exact"/>
        <w:rPr>
          <w:rFonts w:ascii="宋体" w:hAnsi="宋体" w:cs="宋体"/>
        </w:rPr>
      </w:pPr>
      <w:r>
        <w:rPr>
          <w:rFonts w:hint="eastAsia" w:ascii="宋体" w:hAnsi="宋体" w:cs="宋体"/>
        </w:rPr>
        <w:t xml:space="preserve">姓名：   性别：     年龄：     </w:t>
      </w:r>
    </w:p>
    <w:p w14:paraId="10611F11">
      <w:pPr>
        <w:spacing w:line="600" w:lineRule="exact"/>
        <w:rPr>
          <w:rFonts w:ascii="宋体" w:hAnsi="宋体" w:cs="宋体"/>
        </w:rPr>
      </w:pPr>
      <w:r>
        <w:rPr>
          <w:rFonts w:hint="eastAsia" w:ascii="宋体" w:hAnsi="宋体" w:cs="宋体"/>
        </w:rPr>
        <w:t>系</w:t>
      </w:r>
      <w:r>
        <w:rPr>
          <w:rFonts w:hint="eastAsia" w:ascii="宋体" w:hAnsi="宋体" w:cs="宋体"/>
          <w:u w:val="single"/>
        </w:rPr>
        <w:t>（供应商名称）</w:t>
      </w:r>
      <w:r>
        <w:rPr>
          <w:rFonts w:hint="eastAsia" w:ascii="宋体" w:hAnsi="宋体" w:cs="宋体"/>
        </w:rPr>
        <w:t>的法定代表人/主要负责人。</w:t>
      </w:r>
    </w:p>
    <w:p w14:paraId="563DB399">
      <w:pPr>
        <w:spacing w:line="600" w:lineRule="exact"/>
        <w:rPr>
          <w:rFonts w:ascii="宋体" w:hAnsi="宋体" w:cs="宋体"/>
        </w:rPr>
      </w:pPr>
    </w:p>
    <w:p w14:paraId="0AE8AC40">
      <w:pPr>
        <w:spacing w:line="600" w:lineRule="exact"/>
        <w:rPr>
          <w:rFonts w:ascii="宋体" w:hAnsi="宋体" w:cs="宋体"/>
        </w:rPr>
      </w:pPr>
      <w:r>
        <w:rPr>
          <w:rFonts w:hint="eastAsia" w:ascii="宋体" w:hAnsi="宋体" w:cs="宋体"/>
        </w:rPr>
        <w:t>特此证明。</w:t>
      </w:r>
    </w:p>
    <w:p w14:paraId="1735C96F">
      <w:pPr>
        <w:spacing w:line="600" w:lineRule="exact"/>
        <w:rPr>
          <w:rFonts w:ascii="宋体" w:hAnsi="宋体" w:cs="宋体"/>
        </w:rPr>
      </w:pPr>
    </w:p>
    <w:p w14:paraId="245508C7">
      <w:pPr>
        <w:spacing w:line="600" w:lineRule="exact"/>
        <w:rPr>
          <w:rFonts w:ascii="宋体" w:hAnsi="宋体" w:cs="宋体"/>
        </w:rPr>
      </w:pPr>
      <w:r>
        <w:rPr>
          <w:rFonts w:hint="eastAsia" w:ascii="宋体" w:hAnsi="宋体" w:cs="宋体"/>
        </w:rPr>
        <w:t>供应商名称（加盖公章）：</w:t>
      </w:r>
    </w:p>
    <w:p w14:paraId="315389D7">
      <w:pPr>
        <w:spacing w:line="600" w:lineRule="exact"/>
        <w:rPr>
          <w:rFonts w:ascii="宋体" w:hAnsi="宋体" w:cs="宋体"/>
        </w:rPr>
      </w:pPr>
      <w:r>
        <w:rPr>
          <w:rFonts w:hint="eastAsia" w:ascii="宋体" w:hAnsi="宋体" w:cs="宋体"/>
        </w:rPr>
        <w:t>日    期：   年   月  日</w:t>
      </w:r>
    </w:p>
    <w:p w14:paraId="673EF140">
      <w:pPr>
        <w:spacing w:line="600" w:lineRule="exact"/>
        <w:rPr>
          <w:rFonts w:ascii="宋体" w:hAnsi="宋体" w:cs="宋体"/>
        </w:rPr>
      </w:pPr>
      <w:r>
        <w:rPr>
          <w:rFonts w:hint="eastAsia" w:ascii="宋体" w:hAnsi="宋体" w:cs="宋体"/>
        </w:rPr>
        <w:t>附：法定代表人/主要负责人身份证正反面复印件。</w:t>
      </w:r>
    </w:p>
    <w:p w14:paraId="7CFE09A2">
      <w:pPr>
        <w:pStyle w:val="8"/>
        <w:spacing w:line="600" w:lineRule="exact"/>
        <w:ind w:firstLine="0"/>
        <w:rPr>
          <w:rFonts w:ascii="宋体" w:hAnsi="宋体" w:cs="宋体"/>
        </w:rPr>
      </w:pPr>
    </w:p>
    <w:p w14:paraId="77B89D05">
      <w:pPr>
        <w:spacing w:line="600" w:lineRule="exact"/>
        <w:ind w:firstLine="561"/>
        <w:rPr>
          <w:rFonts w:ascii="宋体" w:hAnsi="宋体" w:cs="宋体"/>
          <w:bCs/>
        </w:rPr>
      </w:pPr>
      <w:r>
        <w:rPr>
          <w:rFonts w:hint="eastAsia" w:ascii="宋体" w:hAnsi="宋体" w:cs="宋体"/>
          <w:bCs/>
        </w:rPr>
        <w:br w:type="page"/>
      </w:r>
    </w:p>
    <w:p w14:paraId="6F3B1B0F">
      <w:pPr>
        <w:spacing w:line="600" w:lineRule="exact"/>
        <w:rPr>
          <w:rFonts w:ascii="宋体" w:hAnsi="宋体" w:cs="宋体"/>
          <w:sz w:val="32"/>
          <w:szCs w:val="32"/>
        </w:rPr>
      </w:pPr>
      <w:bookmarkStart w:id="108" w:name="_Toc35856209"/>
      <w:bookmarkStart w:id="109" w:name="_Toc48044743"/>
      <w:bookmarkStart w:id="110" w:name="_Toc35856336"/>
      <w:r>
        <w:rPr>
          <w:rFonts w:hint="eastAsia" w:ascii="宋体" w:hAnsi="宋体" w:cs="宋体"/>
          <w:sz w:val="32"/>
          <w:szCs w:val="32"/>
        </w:rPr>
        <w:t>2、授权委托书</w:t>
      </w:r>
      <w:bookmarkEnd w:id="108"/>
      <w:bookmarkEnd w:id="109"/>
      <w:bookmarkEnd w:id="110"/>
    </w:p>
    <w:p w14:paraId="1BE3E469">
      <w:pPr>
        <w:spacing w:line="600" w:lineRule="exact"/>
        <w:jc w:val="center"/>
        <w:rPr>
          <w:rFonts w:ascii="宋体" w:hAnsi="宋体" w:cs="宋体"/>
          <w:b/>
        </w:rPr>
      </w:pPr>
    </w:p>
    <w:p w14:paraId="395DA4D4">
      <w:pPr>
        <w:adjustRightInd w:val="0"/>
        <w:snapToGrid w:val="0"/>
        <w:spacing w:line="600" w:lineRule="exact"/>
        <w:rPr>
          <w:rFonts w:ascii="宋体" w:hAnsi="宋体" w:cs="宋体"/>
        </w:rPr>
      </w:pPr>
      <w:r>
        <w:rPr>
          <w:rFonts w:hint="eastAsia" w:ascii="宋体" w:hAnsi="宋体" w:cs="宋体"/>
          <w:u w:val="single"/>
        </w:rPr>
        <w:t>（采购代理机构）</w:t>
      </w:r>
      <w:r>
        <w:rPr>
          <w:rFonts w:hint="eastAsia" w:ascii="宋体" w:hAnsi="宋体" w:cs="宋体"/>
        </w:rPr>
        <w:t>：</w:t>
      </w:r>
    </w:p>
    <w:p w14:paraId="738C1FC6">
      <w:pPr>
        <w:spacing w:line="600" w:lineRule="exact"/>
        <w:ind w:firstLine="480" w:firstLineChars="200"/>
        <w:rPr>
          <w:rFonts w:ascii="宋体" w:hAnsi="宋体" w:cs="宋体"/>
        </w:rPr>
      </w:pPr>
      <w:r>
        <w:rPr>
          <w:rFonts w:hint="eastAsia" w:ascii="宋体" w:hAnsi="宋体" w:cs="宋体"/>
        </w:rPr>
        <w:t>本授权声明：</w:t>
      </w:r>
      <w:r>
        <w:rPr>
          <w:rFonts w:hint="eastAsia" w:ascii="宋体" w:hAnsi="宋体" w:cs="宋体"/>
          <w:u w:val="single"/>
        </w:rPr>
        <w:t>（供应商名称）</w:t>
      </w:r>
      <w:r>
        <w:rPr>
          <w:rFonts w:hint="eastAsia" w:ascii="宋体" w:hAnsi="宋体" w:cs="宋体"/>
        </w:rPr>
        <w:t>法定代表人/主要负责人</w:t>
      </w:r>
      <w:r>
        <w:rPr>
          <w:rFonts w:hint="eastAsia" w:ascii="宋体" w:hAnsi="宋体" w:cs="宋体"/>
          <w:u w:val="single"/>
        </w:rPr>
        <w:t>（姓名）</w:t>
      </w:r>
      <w:r>
        <w:rPr>
          <w:rFonts w:hint="eastAsia" w:ascii="宋体" w:hAnsi="宋体" w:cs="宋体"/>
        </w:rPr>
        <w:t>授权</w:t>
      </w:r>
      <w:r>
        <w:rPr>
          <w:rFonts w:hint="eastAsia" w:ascii="宋体" w:hAnsi="宋体" w:cs="宋体"/>
          <w:u w:val="single"/>
        </w:rPr>
        <w:t>（被授权人姓名）</w:t>
      </w:r>
      <w:r>
        <w:rPr>
          <w:rFonts w:hint="eastAsia" w:ascii="宋体" w:hAnsi="宋体" w:cs="宋体"/>
        </w:rPr>
        <w:t>为本单位 “</w:t>
      </w:r>
      <w:r>
        <w:rPr>
          <w:rFonts w:hint="eastAsia" w:ascii="宋体" w:hAnsi="宋体" w:cs="宋体"/>
          <w:u w:val="single"/>
        </w:rPr>
        <w:t>（项目名称）</w:t>
      </w:r>
      <w:r>
        <w:rPr>
          <w:rFonts w:hint="eastAsia" w:ascii="宋体" w:hAnsi="宋体" w:cs="宋体"/>
        </w:rPr>
        <w:t>” 项目</w:t>
      </w:r>
      <w:r>
        <w:rPr>
          <w:rFonts w:hint="eastAsia" w:ascii="宋体" w:hAnsi="宋体" w:cs="宋体"/>
          <w:u w:val="single"/>
        </w:rPr>
        <w:t>（项目编号）</w:t>
      </w:r>
      <w:r>
        <w:rPr>
          <w:rFonts w:hint="eastAsia" w:ascii="宋体" w:hAnsi="宋体" w:cs="宋体"/>
        </w:rPr>
        <w:t>响应活动的合法代表，以本单位名义全权处理该项目有关响应、签订合同以及执行合同等一切事宜。</w:t>
      </w:r>
    </w:p>
    <w:p w14:paraId="41860865">
      <w:pPr>
        <w:spacing w:line="600" w:lineRule="exact"/>
        <w:ind w:firstLine="480" w:firstLineChars="200"/>
        <w:rPr>
          <w:rFonts w:ascii="宋体" w:hAnsi="宋体" w:cs="宋体"/>
        </w:rPr>
      </w:pPr>
    </w:p>
    <w:p w14:paraId="179877B2">
      <w:pPr>
        <w:spacing w:line="600" w:lineRule="exact"/>
        <w:rPr>
          <w:rFonts w:ascii="宋体" w:hAnsi="宋体" w:cs="宋体"/>
        </w:rPr>
      </w:pPr>
      <w:r>
        <w:rPr>
          <w:rFonts w:hint="eastAsia" w:ascii="宋体" w:hAnsi="宋体" w:cs="宋体"/>
        </w:rPr>
        <w:t>供应商名称</w:t>
      </w:r>
      <w:r>
        <w:rPr>
          <w:rFonts w:hint="eastAsia" w:ascii="宋体" w:hAnsi="宋体" w:cs="宋体"/>
          <w:bCs/>
        </w:rPr>
        <w:t>（加盖公章）</w:t>
      </w:r>
      <w:r>
        <w:rPr>
          <w:rFonts w:hint="eastAsia" w:ascii="宋体" w:hAnsi="宋体" w:cs="宋体"/>
        </w:rPr>
        <w:t>：</w:t>
      </w:r>
    </w:p>
    <w:p w14:paraId="5DA80D4F">
      <w:pPr>
        <w:spacing w:line="600" w:lineRule="exact"/>
        <w:rPr>
          <w:rFonts w:ascii="宋体" w:hAnsi="宋体" w:cs="宋体"/>
        </w:rPr>
      </w:pPr>
      <w:r>
        <w:rPr>
          <w:rFonts w:hint="eastAsia" w:ascii="宋体" w:hAnsi="宋体" w:cs="宋体"/>
        </w:rPr>
        <w:t>法定代表人/主要负责人</w:t>
      </w:r>
      <w:r>
        <w:rPr>
          <w:rFonts w:hint="eastAsia" w:ascii="宋体" w:hAnsi="宋体" w:cs="宋体"/>
          <w:bCs/>
        </w:rPr>
        <w:t>（签字或盖名章）</w:t>
      </w:r>
      <w:r>
        <w:rPr>
          <w:rFonts w:hint="eastAsia" w:ascii="宋体" w:hAnsi="宋体" w:cs="宋体"/>
        </w:rPr>
        <w:t>：</w:t>
      </w:r>
    </w:p>
    <w:p w14:paraId="7B17BA7A">
      <w:pPr>
        <w:spacing w:line="600" w:lineRule="exact"/>
        <w:rPr>
          <w:rFonts w:ascii="宋体" w:hAnsi="宋体" w:cs="宋体"/>
        </w:rPr>
      </w:pPr>
      <w:r>
        <w:rPr>
          <w:rFonts w:hint="eastAsia" w:ascii="宋体" w:hAnsi="宋体" w:cs="宋体"/>
        </w:rPr>
        <w:t>日    期：   年   月  日</w:t>
      </w:r>
    </w:p>
    <w:p w14:paraId="78B6C73D">
      <w:pPr>
        <w:spacing w:line="600" w:lineRule="exact"/>
        <w:rPr>
          <w:rFonts w:ascii="宋体" w:hAnsi="宋体" w:cs="宋体"/>
        </w:rPr>
      </w:pPr>
      <w:r>
        <w:rPr>
          <w:rFonts w:hint="eastAsia" w:ascii="宋体" w:hAnsi="宋体" w:cs="宋体"/>
        </w:rPr>
        <w:t>附 ：响应代表身份证</w:t>
      </w:r>
      <w:r>
        <w:rPr>
          <w:rFonts w:hint="eastAsia" w:ascii="宋体" w:hAnsi="宋体" w:cs="宋体"/>
          <w:bCs/>
        </w:rPr>
        <w:t>正反面</w:t>
      </w:r>
      <w:r>
        <w:rPr>
          <w:rFonts w:hint="eastAsia" w:ascii="宋体" w:hAnsi="宋体" w:cs="宋体"/>
        </w:rPr>
        <w:t>复印件</w:t>
      </w:r>
    </w:p>
    <w:p w14:paraId="29A66900">
      <w:pPr>
        <w:spacing w:line="600" w:lineRule="exact"/>
        <w:rPr>
          <w:rFonts w:ascii="宋体" w:hAnsi="宋体" w:cs="宋体"/>
        </w:rPr>
      </w:pPr>
    </w:p>
    <w:p w14:paraId="69DD319F">
      <w:pPr>
        <w:spacing w:line="600" w:lineRule="exact"/>
        <w:rPr>
          <w:rFonts w:ascii="宋体" w:hAnsi="宋体" w:cs="宋体"/>
        </w:rPr>
      </w:pPr>
    </w:p>
    <w:p w14:paraId="6EB098E8">
      <w:pPr>
        <w:spacing w:line="600" w:lineRule="exact"/>
        <w:rPr>
          <w:rFonts w:ascii="宋体" w:hAnsi="宋体" w:cs="宋体"/>
        </w:rPr>
      </w:pPr>
    </w:p>
    <w:p w14:paraId="5426394E">
      <w:pPr>
        <w:spacing w:line="600" w:lineRule="exact"/>
        <w:rPr>
          <w:rFonts w:ascii="宋体" w:hAnsi="宋体" w:cs="宋体"/>
        </w:rPr>
      </w:pPr>
    </w:p>
    <w:p w14:paraId="463833F8">
      <w:pPr>
        <w:spacing w:line="600" w:lineRule="exact"/>
        <w:rPr>
          <w:rFonts w:ascii="宋体" w:hAnsi="宋体" w:cs="宋体"/>
        </w:rPr>
      </w:pPr>
    </w:p>
    <w:p w14:paraId="39344704">
      <w:pPr>
        <w:spacing w:line="600" w:lineRule="exact"/>
        <w:rPr>
          <w:rFonts w:ascii="宋体" w:hAnsi="宋体" w:cs="宋体"/>
        </w:rPr>
      </w:pPr>
    </w:p>
    <w:p w14:paraId="5F48FBF9">
      <w:pPr>
        <w:spacing w:line="600" w:lineRule="exact"/>
        <w:rPr>
          <w:rFonts w:ascii="宋体" w:hAnsi="宋体" w:cs="宋体"/>
        </w:rPr>
      </w:pPr>
    </w:p>
    <w:p w14:paraId="47E112B4">
      <w:pPr>
        <w:spacing w:line="600" w:lineRule="exact"/>
        <w:rPr>
          <w:rFonts w:ascii="宋体" w:hAnsi="宋体" w:cs="宋体"/>
        </w:rPr>
      </w:pPr>
    </w:p>
    <w:p w14:paraId="33A56B6B">
      <w:pPr>
        <w:spacing w:line="600" w:lineRule="exact"/>
        <w:rPr>
          <w:rFonts w:ascii="宋体" w:hAnsi="宋体" w:cs="宋体"/>
        </w:rPr>
      </w:pPr>
    </w:p>
    <w:p w14:paraId="637FE498">
      <w:pPr>
        <w:spacing w:line="600" w:lineRule="exact"/>
        <w:rPr>
          <w:rFonts w:ascii="宋体" w:hAnsi="宋体" w:cs="宋体"/>
        </w:rPr>
      </w:pPr>
    </w:p>
    <w:p w14:paraId="6BD33A5E">
      <w:pPr>
        <w:spacing w:line="600" w:lineRule="exact"/>
        <w:rPr>
          <w:rFonts w:ascii="宋体" w:hAnsi="宋体" w:cs="宋体"/>
        </w:rPr>
      </w:pPr>
    </w:p>
    <w:p w14:paraId="24BB6554">
      <w:pPr>
        <w:spacing w:line="600" w:lineRule="exact"/>
        <w:jc w:val="center"/>
        <w:outlineLvl w:val="1"/>
        <w:rPr>
          <w:rFonts w:ascii="宋体" w:hAnsi="宋体" w:cs="宋体"/>
          <w:sz w:val="32"/>
          <w:szCs w:val="32"/>
        </w:rPr>
      </w:pPr>
      <w:r>
        <w:rPr>
          <w:rFonts w:hint="eastAsia" w:ascii="宋体" w:hAnsi="宋体" w:cs="宋体"/>
        </w:rPr>
        <w:br w:type="page"/>
      </w:r>
      <w:bookmarkStart w:id="111" w:name="_Toc35856206"/>
      <w:bookmarkStart w:id="112" w:name="_Toc48044744"/>
      <w:bookmarkStart w:id="113" w:name="_Toc35856333"/>
      <w:r>
        <w:rPr>
          <w:rFonts w:hint="eastAsia" w:ascii="宋体" w:hAnsi="宋体" w:cs="宋体"/>
          <w:sz w:val="32"/>
          <w:szCs w:val="32"/>
        </w:rPr>
        <w:t>三、响 应 函</w:t>
      </w:r>
      <w:bookmarkEnd w:id="111"/>
      <w:bookmarkEnd w:id="112"/>
      <w:bookmarkEnd w:id="113"/>
    </w:p>
    <w:p w14:paraId="0AB1E2C5">
      <w:pPr>
        <w:spacing w:line="600" w:lineRule="exact"/>
        <w:rPr>
          <w:rFonts w:ascii="宋体" w:hAnsi="宋体" w:cs="宋体"/>
        </w:rPr>
      </w:pPr>
    </w:p>
    <w:p w14:paraId="6BA4DEF3">
      <w:pPr>
        <w:adjustRightInd w:val="0"/>
        <w:spacing w:line="600" w:lineRule="exact"/>
        <w:rPr>
          <w:rFonts w:ascii="宋体" w:hAnsi="宋体" w:cs="宋体"/>
        </w:rPr>
      </w:pPr>
      <w:r>
        <w:rPr>
          <w:rFonts w:hint="eastAsia" w:ascii="宋体" w:hAnsi="宋体" w:cs="宋体"/>
          <w:u w:val="single"/>
        </w:rPr>
        <w:t>（采购代理机构）</w:t>
      </w:r>
      <w:r>
        <w:rPr>
          <w:rFonts w:hint="eastAsia" w:ascii="宋体" w:hAnsi="宋体" w:cs="宋体"/>
        </w:rPr>
        <w:t>：</w:t>
      </w:r>
    </w:p>
    <w:p w14:paraId="297EDAFE">
      <w:pPr>
        <w:spacing w:line="600" w:lineRule="exact"/>
        <w:ind w:firstLine="480" w:firstLineChars="200"/>
        <w:rPr>
          <w:rFonts w:ascii="宋体" w:hAnsi="宋体" w:cs="宋体"/>
        </w:rPr>
      </w:pPr>
      <w:r>
        <w:rPr>
          <w:rFonts w:hint="eastAsia" w:ascii="宋体" w:hAnsi="宋体" w:cs="宋体"/>
        </w:rPr>
        <w:t>根据贵公司</w:t>
      </w:r>
      <w:r>
        <w:rPr>
          <w:rFonts w:hint="eastAsia" w:ascii="宋体" w:hAnsi="宋体" w:cs="宋体"/>
          <w:u w:val="single"/>
        </w:rPr>
        <w:t>（项目名称）</w:t>
      </w:r>
      <w:r>
        <w:rPr>
          <w:rFonts w:hint="eastAsia" w:ascii="宋体" w:hAnsi="宋体" w:cs="宋体"/>
        </w:rPr>
        <w:t>项目</w:t>
      </w:r>
      <w:r>
        <w:rPr>
          <w:rFonts w:hint="eastAsia" w:ascii="宋体" w:hAnsi="宋体" w:cs="宋体"/>
          <w:u w:val="single"/>
        </w:rPr>
        <w:t>（项目编号）</w:t>
      </w:r>
      <w:r>
        <w:rPr>
          <w:rFonts w:hint="eastAsia" w:ascii="宋体" w:hAnsi="宋体" w:cs="宋体"/>
        </w:rPr>
        <w:t>的竞争性磋商公告，本响应代表</w:t>
      </w:r>
      <w:r>
        <w:rPr>
          <w:rFonts w:hint="eastAsia" w:ascii="宋体" w:hAnsi="宋体" w:cs="宋体"/>
          <w:u w:val="single"/>
        </w:rPr>
        <w:t>（全名）</w:t>
      </w:r>
      <w:r>
        <w:rPr>
          <w:rFonts w:hint="eastAsia" w:ascii="宋体" w:hAnsi="宋体" w:cs="宋体"/>
        </w:rPr>
        <w:t>代表本单位</w:t>
      </w:r>
      <w:r>
        <w:rPr>
          <w:rFonts w:hint="eastAsia" w:ascii="宋体" w:hAnsi="宋体" w:cs="宋体"/>
          <w:u w:val="single"/>
        </w:rPr>
        <w:t>（供应商名称）</w:t>
      </w:r>
      <w:r>
        <w:rPr>
          <w:rFonts w:hint="eastAsia" w:ascii="宋体" w:hAnsi="宋体" w:cs="宋体"/>
        </w:rPr>
        <w:t>提交下述文件正本一份和副本二份及电子版一份。</w:t>
      </w:r>
    </w:p>
    <w:p w14:paraId="4BF2AD36">
      <w:pPr>
        <w:spacing w:line="600" w:lineRule="exact"/>
        <w:ind w:firstLine="480" w:firstLineChars="200"/>
        <w:rPr>
          <w:rFonts w:ascii="宋体" w:hAnsi="宋体" w:cs="宋体"/>
        </w:rPr>
      </w:pPr>
      <w:r>
        <w:rPr>
          <w:rFonts w:hint="eastAsia" w:ascii="宋体" w:hAnsi="宋体" w:cs="宋体"/>
        </w:rPr>
        <w:t>据此函，响应代表承诺如下内容（本承诺内容为响应基本要求，如不满足或有缺漏项的，视为响应无效）：</w:t>
      </w:r>
    </w:p>
    <w:p w14:paraId="29252F15">
      <w:pPr>
        <w:spacing w:line="600" w:lineRule="exact"/>
        <w:ind w:firstLine="480" w:firstLineChars="200"/>
        <w:rPr>
          <w:rFonts w:ascii="宋体" w:hAnsi="宋体" w:cs="宋体"/>
        </w:rPr>
      </w:pPr>
      <w:r>
        <w:rPr>
          <w:rFonts w:hint="eastAsia" w:ascii="宋体" w:hAnsi="宋体" w:cs="宋体"/>
        </w:rPr>
        <w:t>1、同意在本项目采购文件中规定的提交响应文件之日起60日历天内遵守本响应文件中的承诺且在此期限期满之前均具有约束力。</w:t>
      </w:r>
    </w:p>
    <w:p w14:paraId="3A70C31A">
      <w:pPr>
        <w:spacing w:line="600" w:lineRule="exact"/>
        <w:ind w:firstLine="480" w:firstLineChars="200"/>
        <w:rPr>
          <w:rFonts w:ascii="宋体" w:hAnsi="宋体" w:cs="宋体"/>
        </w:rPr>
      </w:pPr>
      <w:r>
        <w:rPr>
          <w:rFonts w:hint="eastAsia" w:ascii="宋体" w:hAnsi="宋体" w:cs="宋体"/>
        </w:rPr>
        <w:t>2、完全理解磋商文件的要求，若有偏差，已在响应文件中予以明确特别说明。</w:t>
      </w:r>
    </w:p>
    <w:p w14:paraId="3081EBF4">
      <w:pPr>
        <w:spacing w:line="600" w:lineRule="exact"/>
        <w:ind w:firstLine="480" w:firstLineChars="200"/>
        <w:rPr>
          <w:rFonts w:ascii="宋体" w:hAnsi="宋体" w:cs="宋体"/>
        </w:rPr>
      </w:pPr>
      <w:r>
        <w:rPr>
          <w:rFonts w:hint="eastAsia" w:ascii="宋体" w:hAnsi="宋体" w:cs="宋体"/>
        </w:rPr>
        <w:t>3、本单位完全理解采购人不一定将合同授予最低报价的供应商的行为。</w:t>
      </w:r>
    </w:p>
    <w:p w14:paraId="431B8038">
      <w:pPr>
        <w:spacing w:line="600" w:lineRule="exact"/>
        <w:ind w:firstLine="480" w:firstLineChars="200"/>
        <w:rPr>
          <w:rFonts w:ascii="宋体" w:hAnsi="宋体" w:cs="宋体"/>
        </w:rPr>
      </w:pPr>
      <w:r>
        <w:rPr>
          <w:rFonts w:hint="eastAsia" w:ascii="宋体" w:hAnsi="宋体" w:cs="宋体"/>
        </w:rPr>
        <w:t>4、愿意向贵公司提供任何与本项响应有关的数据、情况和技术资料。若贵公司需要，本单位愿意提供本单位作出的一切承诺的证明材料。</w:t>
      </w:r>
    </w:p>
    <w:p w14:paraId="42B8B12C">
      <w:pPr>
        <w:spacing w:line="600" w:lineRule="exact"/>
        <w:ind w:firstLine="480" w:firstLineChars="200"/>
        <w:rPr>
          <w:rFonts w:ascii="宋体" w:hAnsi="宋体" w:cs="宋体"/>
        </w:rPr>
      </w:pPr>
      <w:r>
        <w:rPr>
          <w:rFonts w:hint="eastAsia" w:ascii="宋体" w:hAnsi="宋体" w:cs="宋体"/>
        </w:rPr>
        <w:t>5、本单位已详细研究并接受磋商文件的所有内容包括修改文件(如果有)、所有已提供的参考资料以及有关附件，并完全明白此磋商文件没有倾向性及排斥潜在供应商的内容，以及磋商文件关于实质性要求的内容，本单位放弃在此方面提出含糊意见或误解的一切权力。</w:t>
      </w:r>
    </w:p>
    <w:p w14:paraId="2299CF72">
      <w:pPr>
        <w:spacing w:line="600" w:lineRule="exact"/>
        <w:ind w:firstLine="480" w:firstLineChars="200"/>
        <w:rPr>
          <w:rFonts w:ascii="宋体" w:hAnsi="宋体" w:cs="宋体"/>
        </w:rPr>
      </w:pPr>
      <w:r>
        <w:rPr>
          <w:rFonts w:hint="eastAsia" w:ascii="宋体" w:hAnsi="宋体" w:cs="宋体"/>
        </w:rPr>
        <w:t>6、采购人若需追加采购本项目磋商文件所列相关货物和服务，在不改变合同其他实质性条款的前提下，按相同或更优惠的折扣率保证质量。</w:t>
      </w:r>
    </w:p>
    <w:p w14:paraId="2247D8E2">
      <w:pPr>
        <w:spacing w:line="600" w:lineRule="exact"/>
        <w:ind w:firstLine="480" w:firstLineChars="200"/>
        <w:rPr>
          <w:rFonts w:ascii="宋体" w:hAnsi="宋体" w:cs="宋体"/>
        </w:rPr>
      </w:pPr>
      <w:r>
        <w:rPr>
          <w:rFonts w:hint="eastAsia" w:ascii="宋体" w:hAnsi="宋体" w:cs="宋体"/>
        </w:rPr>
        <w:t>7、我单位具有符合《中华人民共和国政府采购法》《中华人民共和国政府采购法实施条例》及采购文件资格要求规定的良好的商业信誉和健全的财务会计制度、依法缴纳税收和社会保障资金、履行合同所必需的设备和专业技术能力、在参加政府采购活动前三年内，在经营活动中没有重大违法记录。</w:t>
      </w:r>
    </w:p>
    <w:p w14:paraId="2D0D3A8E">
      <w:pPr>
        <w:spacing w:line="600" w:lineRule="exact"/>
        <w:ind w:firstLine="480" w:firstLineChars="200"/>
        <w:rPr>
          <w:rFonts w:ascii="宋体" w:hAnsi="宋体" w:cs="宋体"/>
        </w:rPr>
      </w:pPr>
      <w:r>
        <w:rPr>
          <w:rFonts w:hint="eastAsia" w:ascii="宋体" w:hAnsi="宋体" w:cs="宋体"/>
        </w:rPr>
        <w:t>若我单位以上承诺不实，自愿承担提供虚假材料谋取中标、成交的法律责任。</w:t>
      </w:r>
    </w:p>
    <w:p w14:paraId="77E1CBB6">
      <w:pPr>
        <w:spacing w:line="600" w:lineRule="exact"/>
        <w:ind w:firstLine="480" w:firstLineChars="200"/>
        <w:rPr>
          <w:rFonts w:ascii="宋体" w:hAnsi="宋体" w:cs="宋体"/>
        </w:rPr>
      </w:pPr>
      <w:r>
        <w:rPr>
          <w:rFonts w:hint="eastAsia" w:ascii="宋体" w:hAnsi="宋体" w:cs="宋体"/>
        </w:rPr>
        <w:t xml:space="preserve">供应商名称（加盖公章）： </w:t>
      </w:r>
    </w:p>
    <w:p w14:paraId="41AC19D7">
      <w:pPr>
        <w:spacing w:line="600" w:lineRule="exact"/>
        <w:ind w:firstLine="480" w:firstLineChars="200"/>
        <w:rPr>
          <w:rFonts w:ascii="宋体" w:hAnsi="宋体" w:cs="宋体"/>
        </w:rPr>
      </w:pPr>
      <w:r>
        <w:rPr>
          <w:rFonts w:hint="eastAsia" w:ascii="宋体" w:hAnsi="宋体" w:cs="宋体"/>
        </w:rPr>
        <w:t>响应代表（签字或盖章）：</w:t>
      </w:r>
    </w:p>
    <w:p w14:paraId="7F1FEF03">
      <w:pPr>
        <w:spacing w:line="600" w:lineRule="exact"/>
        <w:ind w:firstLine="480" w:firstLineChars="200"/>
        <w:rPr>
          <w:rFonts w:ascii="宋体" w:hAnsi="宋体" w:cs="宋体"/>
        </w:rPr>
      </w:pPr>
      <w:r>
        <w:rPr>
          <w:rFonts w:hint="eastAsia" w:ascii="宋体" w:hAnsi="宋体" w:cs="宋体"/>
        </w:rPr>
        <w:t>日    期：   年   月  日</w:t>
      </w:r>
      <w:r>
        <w:rPr>
          <w:rFonts w:hint="eastAsia" w:ascii="宋体" w:hAnsi="宋体" w:cs="宋体"/>
        </w:rPr>
        <w:br w:type="page"/>
      </w:r>
    </w:p>
    <w:bookmarkEnd w:id="106"/>
    <w:bookmarkEnd w:id="107"/>
    <w:p w14:paraId="0902C797">
      <w:pPr>
        <w:spacing w:line="600" w:lineRule="exact"/>
        <w:jc w:val="center"/>
        <w:outlineLvl w:val="1"/>
        <w:rPr>
          <w:rFonts w:ascii="宋体" w:hAnsi="宋体" w:cs="宋体"/>
          <w:sz w:val="32"/>
          <w:szCs w:val="32"/>
        </w:rPr>
      </w:pPr>
      <w:bookmarkStart w:id="114" w:name="_Toc47973752"/>
      <w:bookmarkStart w:id="115" w:name="_Toc48044745"/>
      <w:r>
        <w:rPr>
          <w:rFonts w:hint="eastAsia" w:ascii="宋体" w:hAnsi="宋体" w:cs="宋体"/>
          <w:sz w:val="32"/>
          <w:szCs w:val="32"/>
        </w:rPr>
        <w:t>四、资格</w:t>
      </w:r>
      <w:bookmarkEnd w:id="114"/>
      <w:r>
        <w:rPr>
          <w:rFonts w:hint="eastAsia" w:ascii="宋体" w:hAnsi="宋体" w:cs="宋体"/>
          <w:sz w:val="32"/>
          <w:szCs w:val="32"/>
        </w:rPr>
        <w:t>审查资料</w:t>
      </w:r>
      <w:bookmarkEnd w:id="115"/>
    </w:p>
    <w:p w14:paraId="435BF8A8">
      <w:pPr>
        <w:spacing w:line="600" w:lineRule="exact"/>
        <w:rPr>
          <w:rFonts w:ascii="宋体" w:hAnsi="宋体" w:cs="宋体"/>
        </w:rPr>
      </w:pPr>
    </w:p>
    <w:p w14:paraId="2C91D6B2">
      <w:pPr>
        <w:spacing w:line="600" w:lineRule="exact"/>
        <w:ind w:firstLine="480" w:firstLineChars="200"/>
        <w:jc w:val="center"/>
        <w:rPr>
          <w:rFonts w:ascii="宋体" w:hAnsi="宋体" w:cs="宋体"/>
          <w:sz w:val="32"/>
        </w:rPr>
      </w:pPr>
      <w:r>
        <w:rPr>
          <w:rFonts w:hint="eastAsia" w:ascii="宋体" w:hAnsi="宋体" w:cs="宋体"/>
        </w:rPr>
        <w:t>有格式的按照格式提供，无格式的自拟。</w:t>
      </w:r>
      <w:r>
        <w:rPr>
          <w:rFonts w:hint="eastAsia" w:ascii="宋体" w:hAnsi="宋体" w:cs="宋体"/>
          <w:sz w:val="32"/>
          <w:szCs w:val="32"/>
        </w:rPr>
        <w:br w:type="page"/>
      </w:r>
      <w:bookmarkStart w:id="116" w:name="_Toc35856332"/>
      <w:bookmarkStart w:id="117" w:name="_Toc47973753"/>
      <w:bookmarkStart w:id="118" w:name="_Toc35856205"/>
    </w:p>
    <w:p w14:paraId="2B49BA06">
      <w:pPr>
        <w:pStyle w:val="8"/>
        <w:spacing w:line="600" w:lineRule="exact"/>
        <w:rPr>
          <w:rFonts w:ascii="宋体" w:hAnsi="宋体" w:cs="宋体"/>
        </w:rPr>
      </w:pPr>
      <w:r>
        <w:rPr>
          <w:rFonts w:hint="eastAsia" w:ascii="宋体" w:hAnsi="宋体" w:cs="宋体"/>
        </w:rPr>
        <w:t>格式1：资格承诺函</w:t>
      </w:r>
    </w:p>
    <w:p w14:paraId="1FE28E7F">
      <w:pPr>
        <w:pStyle w:val="104"/>
        <w:spacing w:line="600" w:lineRule="exact"/>
        <w:ind w:firstLine="482"/>
        <w:jc w:val="center"/>
        <w:rPr>
          <w:rFonts w:ascii="宋体" w:hAnsi="宋体" w:cs="宋体"/>
        </w:rPr>
      </w:pPr>
      <w:r>
        <w:rPr>
          <w:rFonts w:hint="eastAsia" w:ascii="宋体" w:hAnsi="宋体" w:cs="宋体"/>
          <w:b/>
          <w:bCs/>
          <w:szCs w:val="24"/>
        </w:rPr>
        <w:t>资格承诺函</w:t>
      </w:r>
    </w:p>
    <w:p w14:paraId="59CB2BD4">
      <w:pPr>
        <w:spacing w:line="600" w:lineRule="exact"/>
        <w:jc w:val="left"/>
        <w:rPr>
          <w:rFonts w:ascii="宋体" w:hAnsi="宋体" w:cs="宋体"/>
        </w:rPr>
      </w:pPr>
      <w:r>
        <w:rPr>
          <w:rFonts w:hint="eastAsia" w:ascii="宋体" w:hAnsi="宋体" w:cs="宋体"/>
        </w:rPr>
        <w:t>致：</w:t>
      </w:r>
      <w:r>
        <w:rPr>
          <w:rFonts w:hint="eastAsia" w:ascii="宋体" w:hAnsi="宋体" w:cs="宋体"/>
          <w:u w:val="single"/>
        </w:rPr>
        <w:t>（采购人、采购代理机构）</w:t>
      </w:r>
    </w:p>
    <w:p w14:paraId="458F5682">
      <w:pPr>
        <w:spacing w:line="600" w:lineRule="exact"/>
        <w:ind w:firstLine="424" w:firstLineChars="177"/>
        <w:jc w:val="left"/>
        <w:rPr>
          <w:rFonts w:ascii="宋体" w:hAnsi="宋体" w:cs="宋体"/>
        </w:rPr>
      </w:pPr>
      <w:r>
        <w:rPr>
          <w:rFonts w:hint="eastAsia" w:ascii="宋体" w:hAnsi="宋体" w:cs="宋体"/>
        </w:rPr>
        <w:t>我单位参与</w:t>
      </w:r>
      <w:r>
        <w:rPr>
          <w:rFonts w:hint="eastAsia" w:ascii="宋体" w:hAnsi="宋体" w:cs="宋体"/>
          <w:u w:val="single"/>
        </w:rPr>
        <w:t>（项目名称）（项目编号：）</w:t>
      </w:r>
      <w:r>
        <w:rPr>
          <w:rFonts w:hint="eastAsia" w:ascii="宋体" w:hAnsi="宋体" w:cs="宋体"/>
        </w:rPr>
        <w:t>项目的政府采购活动，现承诺如下：</w:t>
      </w:r>
    </w:p>
    <w:p w14:paraId="6687734F">
      <w:pPr>
        <w:spacing w:line="600" w:lineRule="exact"/>
        <w:ind w:firstLine="480" w:firstLineChars="200"/>
        <w:jc w:val="left"/>
        <w:rPr>
          <w:rFonts w:ascii="宋体" w:hAnsi="宋体" w:cs="宋体"/>
        </w:rPr>
      </w:pPr>
      <w:r>
        <w:rPr>
          <w:rFonts w:hint="eastAsia" w:ascii="宋体" w:hAnsi="宋体" w:cs="宋体"/>
        </w:rPr>
        <w:t>1.我单位具有符合《中华人民共和国政府采购法》《中华人民共和国政府采购法实施条例》及采购文件资格要求规定的良好的商业信誉和健全的财务会计制度。</w:t>
      </w:r>
    </w:p>
    <w:p w14:paraId="059A79A9">
      <w:pPr>
        <w:spacing w:line="600" w:lineRule="exact"/>
        <w:ind w:firstLine="480" w:firstLineChars="200"/>
        <w:jc w:val="left"/>
        <w:rPr>
          <w:rFonts w:ascii="宋体" w:hAnsi="宋体" w:cs="宋体"/>
        </w:rPr>
      </w:pPr>
      <w:r>
        <w:rPr>
          <w:rFonts w:hint="eastAsia" w:ascii="宋体" w:hAnsi="宋体" w:cs="宋体"/>
        </w:rPr>
        <w:t>2.我单位具有符合《中华人民共和国政府采购法》《中华人民共和国政府采购法实施条例》及采购文件资格要求规定的履行合同所必需的设备和专业技术能力。</w:t>
      </w:r>
    </w:p>
    <w:p w14:paraId="121CEB59">
      <w:pPr>
        <w:spacing w:line="600" w:lineRule="exact"/>
        <w:ind w:firstLine="480" w:firstLineChars="200"/>
        <w:jc w:val="left"/>
        <w:rPr>
          <w:rFonts w:ascii="宋体" w:hAnsi="宋体" w:cs="宋体"/>
        </w:rPr>
      </w:pPr>
      <w:r>
        <w:rPr>
          <w:rFonts w:hint="eastAsia" w:ascii="宋体" w:hAnsi="宋体" w:cs="宋体"/>
        </w:rPr>
        <w:t>3.我单位具有符合《中华人民共和国政府采购法》《中华人民共和国政府采购法实施条例》及采购文件资格要求规定的依法缴纳税收和社会保障资金的相关证明材料。</w:t>
      </w:r>
    </w:p>
    <w:p w14:paraId="3DE84D96">
      <w:pPr>
        <w:spacing w:line="600" w:lineRule="exact"/>
        <w:ind w:firstLine="480" w:firstLineChars="200"/>
        <w:jc w:val="left"/>
        <w:rPr>
          <w:rFonts w:ascii="宋体" w:hAnsi="宋体" w:cs="宋体"/>
        </w:rPr>
      </w:pPr>
      <w:r>
        <w:rPr>
          <w:rFonts w:hint="eastAsia" w:ascii="宋体" w:hAnsi="宋体" w:cs="宋体"/>
        </w:rPr>
        <w:t>4.我单位符合《中华人民共和国政府采购法》《中华人民共和国政府采购法实施条例》及采购文件资格要求规定的在参加政府采购活动前三年内，在经营活动中没有重大违法记录及环保类行政处罚记录。</w:t>
      </w:r>
    </w:p>
    <w:p w14:paraId="7998F452">
      <w:pPr>
        <w:spacing w:line="600" w:lineRule="exact"/>
        <w:ind w:firstLine="480" w:firstLineChars="200"/>
        <w:jc w:val="left"/>
        <w:rPr>
          <w:rFonts w:ascii="宋体" w:hAnsi="宋体" w:cs="宋体"/>
        </w:rPr>
      </w:pPr>
      <w:r>
        <w:rPr>
          <w:rFonts w:hint="eastAsia" w:ascii="宋体" w:hAnsi="宋体" w:cs="宋体"/>
        </w:rPr>
        <w:t>5.我单位没有被列入失信被执行人名单、重大税收违法失信主体名单以及政府采购严重违法失信行为记录名单。</w:t>
      </w:r>
    </w:p>
    <w:p w14:paraId="1D862D79">
      <w:pPr>
        <w:spacing w:line="600" w:lineRule="exact"/>
        <w:ind w:firstLine="480" w:firstLineChars="200"/>
        <w:jc w:val="left"/>
        <w:rPr>
          <w:rFonts w:ascii="宋体" w:hAnsi="宋体" w:cs="宋体"/>
        </w:rPr>
      </w:pPr>
      <w:r>
        <w:rPr>
          <w:rFonts w:hint="eastAsia" w:ascii="宋体" w:hAnsi="宋体" w:cs="宋体"/>
        </w:rPr>
        <w:t>6.投标(或参与采购活动)资格没有被取消、暂停，没有处于被责令停业、财产被接管、冻结、破产状态。</w:t>
      </w:r>
    </w:p>
    <w:p w14:paraId="0A5A71EC">
      <w:pPr>
        <w:spacing w:line="600" w:lineRule="exact"/>
        <w:ind w:firstLine="480" w:firstLineChars="200"/>
        <w:jc w:val="left"/>
        <w:rPr>
          <w:rFonts w:ascii="宋体" w:hAnsi="宋体" w:cs="宋体"/>
        </w:rPr>
      </w:pPr>
      <w:r>
        <w:rPr>
          <w:rFonts w:hint="eastAsia" w:ascii="宋体" w:hAnsi="宋体" w:cs="宋体"/>
        </w:rPr>
        <w:t>7.与我单位存在“单位负责人为同一人或者存在直接控股、管理关系”的其他单位信息如下(如无,填写“无”)，将不参加同一合同项下的政府采购活动:</w:t>
      </w:r>
    </w:p>
    <w:p w14:paraId="0AF076E6">
      <w:pPr>
        <w:spacing w:line="600" w:lineRule="exact"/>
        <w:ind w:firstLine="480" w:firstLineChars="200"/>
        <w:jc w:val="left"/>
        <w:rPr>
          <w:rFonts w:ascii="宋体" w:hAnsi="宋体" w:cs="宋体"/>
        </w:rPr>
      </w:pPr>
      <w:r>
        <w:rPr>
          <w:rFonts w:hint="eastAsia" w:ascii="宋体" w:hAnsi="宋体" w:cs="宋体"/>
        </w:rPr>
        <w:t>（1）我单位的法定代表人(单位负责人)为同一人的其他单位如下：</w:t>
      </w:r>
      <w:r>
        <w:rPr>
          <w:rFonts w:hint="eastAsia" w:ascii="宋体" w:hAnsi="宋体" w:cs="宋体"/>
          <w:u w:val="single"/>
        </w:rPr>
        <w:t xml:space="preserve">            </w:t>
      </w:r>
      <w:r>
        <w:rPr>
          <w:rFonts w:hint="eastAsia" w:ascii="宋体" w:hAnsi="宋体" w:cs="宋体"/>
        </w:rPr>
        <w:t>。</w:t>
      </w:r>
    </w:p>
    <w:p w14:paraId="27E37843">
      <w:pPr>
        <w:spacing w:line="600" w:lineRule="exact"/>
        <w:ind w:firstLine="480" w:firstLineChars="200"/>
        <w:jc w:val="left"/>
        <w:rPr>
          <w:rFonts w:ascii="宋体" w:hAnsi="宋体" w:cs="宋体"/>
        </w:rPr>
      </w:pPr>
      <w:r>
        <w:rPr>
          <w:rFonts w:hint="eastAsia" w:ascii="宋体" w:hAnsi="宋体" w:cs="宋体"/>
        </w:rPr>
        <w:t>（2）我单位直接控股的其他单位如下：</w:t>
      </w:r>
      <w:r>
        <w:rPr>
          <w:rFonts w:hint="eastAsia" w:ascii="宋体" w:hAnsi="宋体" w:cs="宋体"/>
          <w:u w:val="single"/>
        </w:rPr>
        <w:t xml:space="preserve">            </w:t>
      </w:r>
      <w:r>
        <w:rPr>
          <w:rFonts w:hint="eastAsia" w:ascii="宋体" w:hAnsi="宋体" w:cs="宋体"/>
        </w:rPr>
        <w:t>。</w:t>
      </w:r>
    </w:p>
    <w:p w14:paraId="2737A9DC">
      <w:pPr>
        <w:spacing w:line="600" w:lineRule="exact"/>
        <w:ind w:firstLine="480" w:firstLineChars="200"/>
        <w:jc w:val="left"/>
        <w:rPr>
          <w:rFonts w:ascii="宋体" w:hAnsi="宋体" w:cs="宋体"/>
        </w:rPr>
      </w:pPr>
      <w:r>
        <w:rPr>
          <w:rFonts w:hint="eastAsia" w:ascii="宋体" w:hAnsi="宋体" w:cs="宋体"/>
        </w:rPr>
        <w:t>（3）与我单位存在管理关系的其他单位如下：</w:t>
      </w:r>
      <w:r>
        <w:rPr>
          <w:rFonts w:hint="eastAsia" w:ascii="宋体" w:hAnsi="宋体" w:cs="宋体"/>
          <w:u w:val="single"/>
        </w:rPr>
        <w:t xml:space="preserve">            </w:t>
      </w:r>
      <w:r>
        <w:rPr>
          <w:rFonts w:hint="eastAsia" w:ascii="宋体" w:hAnsi="宋体" w:cs="宋体"/>
        </w:rPr>
        <w:t>。</w:t>
      </w:r>
    </w:p>
    <w:p w14:paraId="0E5E3BEF">
      <w:pPr>
        <w:spacing w:line="600" w:lineRule="exact"/>
        <w:ind w:firstLine="480" w:firstLineChars="200"/>
        <w:jc w:val="left"/>
        <w:rPr>
          <w:rFonts w:ascii="宋体" w:hAnsi="宋体" w:cs="宋体"/>
        </w:rPr>
      </w:pPr>
      <w:r>
        <w:rPr>
          <w:rFonts w:hint="eastAsia" w:ascii="宋体" w:hAnsi="宋体" w:cs="宋体"/>
        </w:rPr>
        <w:t>8.我单位不属于为本项目提供整体设计、规范编制或者项目管理、监理、检测等服务的供应商。</w:t>
      </w:r>
    </w:p>
    <w:p w14:paraId="6B77FB29">
      <w:pPr>
        <w:spacing w:line="600" w:lineRule="exact"/>
        <w:ind w:firstLine="480" w:firstLineChars="200"/>
        <w:jc w:val="left"/>
        <w:rPr>
          <w:rFonts w:ascii="宋体" w:hAnsi="宋体" w:cs="宋体"/>
        </w:rPr>
      </w:pPr>
      <w:r>
        <w:rPr>
          <w:rFonts w:hint="eastAsia" w:ascii="宋体" w:hAnsi="宋体" w:cs="宋体"/>
        </w:rPr>
        <w:t>9.本项目如为信息系统建设项目，我单位不属于该整体项目或其中分项目前期工作提供过设计、编制、管理等服务的法人及附属单位。</w:t>
      </w:r>
    </w:p>
    <w:p w14:paraId="7E642BCF">
      <w:pPr>
        <w:spacing w:line="600" w:lineRule="exact"/>
        <w:ind w:firstLine="480" w:firstLineChars="200"/>
        <w:jc w:val="left"/>
        <w:rPr>
          <w:rFonts w:ascii="宋体" w:hAnsi="宋体" w:cs="宋体"/>
        </w:rPr>
      </w:pPr>
      <w:r>
        <w:rPr>
          <w:rFonts w:hint="eastAsia" w:ascii="宋体" w:hAnsi="宋体" w:cs="宋体"/>
        </w:rPr>
        <w:t>10.如违反上述承诺，同意将相关失信行为纳入信用信息共享平台。</w:t>
      </w:r>
    </w:p>
    <w:p w14:paraId="7FDD8AB0">
      <w:pPr>
        <w:spacing w:line="600" w:lineRule="exact"/>
        <w:ind w:firstLine="480" w:firstLineChars="200"/>
        <w:jc w:val="left"/>
        <w:rPr>
          <w:rFonts w:ascii="宋体" w:hAnsi="宋体" w:cs="宋体"/>
        </w:rPr>
      </w:pPr>
      <w:r>
        <w:rPr>
          <w:rFonts w:hint="eastAsia" w:ascii="宋体" w:hAnsi="宋体" w:cs="宋体"/>
        </w:rPr>
        <w:t>11.同意此承诺书在本项目采购公告公示平台公示，接受社会各界监督。</w:t>
      </w:r>
    </w:p>
    <w:p w14:paraId="66A2F538">
      <w:pPr>
        <w:spacing w:line="600" w:lineRule="exact"/>
        <w:ind w:firstLine="424" w:firstLineChars="177"/>
        <w:jc w:val="left"/>
        <w:rPr>
          <w:rFonts w:ascii="宋体" w:hAnsi="宋体" w:cs="宋体"/>
        </w:rPr>
      </w:pPr>
      <w:r>
        <w:rPr>
          <w:rFonts w:hint="eastAsia" w:ascii="宋体" w:hAnsi="宋体" w:cs="宋体"/>
        </w:rPr>
        <w:t>若我单位以上承诺不实，自愿承担提供虚假材料谋取中标、成交的法律责任。</w:t>
      </w:r>
    </w:p>
    <w:p w14:paraId="65751C0C">
      <w:pPr>
        <w:spacing w:line="600" w:lineRule="exact"/>
        <w:ind w:firstLine="424" w:firstLineChars="177"/>
        <w:jc w:val="left"/>
        <w:rPr>
          <w:rFonts w:ascii="宋体" w:hAnsi="宋体" w:cs="宋体"/>
        </w:rPr>
      </w:pPr>
      <w:r>
        <w:rPr>
          <w:rFonts w:hint="eastAsia" w:ascii="宋体" w:hAnsi="宋体" w:cs="宋体"/>
        </w:rPr>
        <w:t>注：第4条所述“重大违法记录”是指未因违法经营受到刑事处罚或者责令停产停业、吊销许可证或者执照、较大数额罚款等行政处罚。其中较大数额罚款是指达到处罚地行政处罚听证范围中“较大数额罚款”标准；法律、法规、规章、国务院有关行政主管部门对“较大数额罚款”标准另有规定的，从其规定。供应商在参加政府采购活动前3年内因违法经营被禁止在一定期限内参加政府采购活动，期限届满的，可以参加政府采购活动。</w:t>
      </w:r>
    </w:p>
    <w:p w14:paraId="3F4F153E">
      <w:pPr>
        <w:spacing w:line="600" w:lineRule="exact"/>
        <w:ind w:firstLine="480" w:firstLineChars="200"/>
        <w:jc w:val="left"/>
        <w:rPr>
          <w:rFonts w:ascii="宋体" w:hAnsi="宋体" w:cs="宋体"/>
        </w:rPr>
      </w:pPr>
      <w:r>
        <w:rPr>
          <w:rFonts w:hint="eastAsia" w:ascii="宋体" w:hAnsi="宋体" w:cs="宋体"/>
        </w:rPr>
        <w:t>供应商可自行选择是否提供本承诺函，若不提供本承诺函，应按《中华人民共和国政府采购法》《中华人民共和国政府采购法实施条例》及采购文件资格要求提供相应的证明材料（证明材料有时间效应的，应提供自发布公告之日起最近1年内的证明材料）。提供以上某项资格要求对应的证明材料时供应商可以删减承诺函中对应的承诺事项并调整序号。</w:t>
      </w:r>
    </w:p>
    <w:p w14:paraId="4A57F645">
      <w:pPr>
        <w:spacing w:line="600" w:lineRule="exact"/>
        <w:ind w:firstLine="480" w:firstLineChars="200"/>
        <w:jc w:val="left"/>
        <w:rPr>
          <w:rFonts w:ascii="宋体" w:hAnsi="宋体" w:cs="宋体"/>
        </w:rPr>
      </w:pPr>
    </w:p>
    <w:p w14:paraId="319646E1">
      <w:pPr>
        <w:spacing w:line="600" w:lineRule="exact"/>
        <w:ind w:firstLine="480" w:firstLineChars="200"/>
        <w:jc w:val="left"/>
        <w:rPr>
          <w:rFonts w:ascii="宋体" w:hAnsi="宋体" w:cs="宋体"/>
        </w:rPr>
      </w:pPr>
      <w:r>
        <w:rPr>
          <w:rFonts w:hint="eastAsia" w:ascii="宋体" w:hAnsi="宋体" w:cs="宋体"/>
        </w:rPr>
        <w:t>承诺供应商：</w:t>
      </w:r>
      <w:r>
        <w:rPr>
          <w:rFonts w:hint="eastAsia" w:ascii="宋体" w:hAnsi="宋体" w:cs="宋体"/>
          <w:u w:val="single"/>
        </w:rPr>
        <w:t xml:space="preserve">                     </w:t>
      </w:r>
      <w:r>
        <w:rPr>
          <w:rFonts w:hint="eastAsia" w:ascii="宋体" w:hAnsi="宋体" w:cs="宋体"/>
        </w:rPr>
        <w:t>（全称并加盖公章）</w:t>
      </w:r>
    </w:p>
    <w:p w14:paraId="22546BC6">
      <w:pPr>
        <w:spacing w:line="600" w:lineRule="exact"/>
        <w:ind w:firstLine="480" w:firstLineChars="200"/>
        <w:jc w:val="left"/>
        <w:rPr>
          <w:rFonts w:ascii="宋体" w:hAnsi="宋体" w:cs="宋体"/>
        </w:rPr>
      </w:pPr>
      <w:r>
        <w:rPr>
          <w:rFonts w:hint="eastAsia" w:ascii="宋体" w:hAnsi="宋体" w:cs="宋体"/>
        </w:rPr>
        <w:t>单位负责人或授权代表：</w:t>
      </w:r>
      <w:r>
        <w:rPr>
          <w:rFonts w:hint="eastAsia" w:ascii="宋体" w:hAnsi="宋体" w:cs="宋体"/>
          <w:u w:val="single"/>
        </w:rPr>
        <w:t xml:space="preserve">                     </w:t>
      </w:r>
      <w:r>
        <w:rPr>
          <w:rFonts w:hint="eastAsia" w:ascii="宋体" w:hAnsi="宋体" w:cs="宋体"/>
        </w:rPr>
        <w:t>（签字或盖章）</w:t>
      </w:r>
    </w:p>
    <w:p w14:paraId="3CD5F8B6">
      <w:pPr>
        <w:spacing w:line="600" w:lineRule="exact"/>
        <w:ind w:firstLine="480" w:firstLineChars="200"/>
        <w:jc w:val="left"/>
        <w:rPr>
          <w:rFonts w:ascii="宋体" w:hAnsi="宋体" w:cs="宋体"/>
          <w:sz w:val="32"/>
          <w:szCs w:val="32"/>
        </w:rPr>
      </w:pPr>
      <w:r>
        <w:rPr>
          <w:rFonts w:hint="eastAsia" w:ascii="宋体" w:hAnsi="宋体" w:cs="宋体"/>
        </w:rPr>
        <w:t>日期：       年    月    日</w:t>
      </w:r>
    </w:p>
    <w:p w14:paraId="1F7EAEDD">
      <w:pPr>
        <w:pStyle w:val="8"/>
        <w:spacing w:line="600" w:lineRule="exact"/>
        <w:rPr>
          <w:rFonts w:ascii="宋体" w:hAnsi="宋体" w:cs="宋体"/>
        </w:rPr>
      </w:pPr>
      <w:r>
        <w:rPr>
          <w:rFonts w:hint="eastAsia" w:ascii="宋体" w:hAnsi="宋体" w:cs="宋体"/>
        </w:rPr>
        <w:t>格式2：</w:t>
      </w:r>
    </w:p>
    <w:p w14:paraId="2E9E8BAE">
      <w:pPr>
        <w:snapToGrid w:val="0"/>
        <w:spacing w:line="600" w:lineRule="exact"/>
        <w:jc w:val="center"/>
        <w:rPr>
          <w:rFonts w:ascii="宋体" w:hAnsi="宋体" w:cs="宋体"/>
          <w:sz w:val="32"/>
          <w:szCs w:val="32"/>
        </w:rPr>
      </w:pPr>
    </w:p>
    <w:p w14:paraId="74582B58">
      <w:pPr>
        <w:snapToGrid w:val="0"/>
        <w:spacing w:line="600" w:lineRule="exact"/>
        <w:jc w:val="center"/>
        <w:rPr>
          <w:rFonts w:ascii="宋体" w:hAnsi="宋体" w:cs="宋体"/>
          <w:sz w:val="32"/>
          <w:szCs w:val="32"/>
        </w:rPr>
      </w:pPr>
      <w:r>
        <w:rPr>
          <w:rFonts w:hint="eastAsia" w:ascii="宋体" w:hAnsi="宋体" w:cs="宋体"/>
          <w:sz w:val="32"/>
          <w:szCs w:val="32"/>
        </w:rPr>
        <w:t>政府采购活动前三年内无环保类行政处罚记录声明函</w:t>
      </w:r>
    </w:p>
    <w:p w14:paraId="2294650F">
      <w:pPr>
        <w:shd w:val="clear" w:color="auto" w:fill="FFFFFF"/>
        <w:snapToGrid w:val="0"/>
        <w:spacing w:line="600" w:lineRule="exact"/>
        <w:rPr>
          <w:rFonts w:ascii="宋体" w:hAnsi="宋体" w:cs="宋体"/>
          <w:szCs w:val="28"/>
        </w:rPr>
      </w:pPr>
      <w:r>
        <w:rPr>
          <w:rFonts w:hint="eastAsia" w:ascii="宋体" w:hAnsi="宋体" w:cs="宋体"/>
          <w:szCs w:val="28"/>
          <w:u w:val="single"/>
        </w:rPr>
        <w:t>（采购人、采购代理机构）</w:t>
      </w:r>
      <w:r>
        <w:rPr>
          <w:rFonts w:hint="eastAsia" w:ascii="宋体" w:hAnsi="宋体" w:cs="宋体"/>
          <w:szCs w:val="28"/>
        </w:rPr>
        <w:t>：</w:t>
      </w:r>
      <w:r>
        <w:rPr>
          <w:rFonts w:hint="eastAsia" w:ascii="宋体" w:hAnsi="宋体" w:cs="宋体"/>
          <w:b/>
          <w:bCs/>
          <w:szCs w:val="28"/>
        </w:rPr>
        <w:t> </w:t>
      </w:r>
    </w:p>
    <w:p w14:paraId="70C9030D">
      <w:pPr>
        <w:shd w:val="clear" w:color="auto" w:fill="FFFFFF"/>
        <w:snapToGrid w:val="0"/>
        <w:spacing w:line="600" w:lineRule="exact"/>
        <w:rPr>
          <w:rFonts w:ascii="宋体" w:hAnsi="宋体" w:cs="宋体"/>
          <w:szCs w:val="28"/>
        </w:rPr>
      </w:pPr>
      <w:r>
        <w:rPr>
          <w:rFonts w:hint="eastAsia" w:ascii="宋体" w:hAnsi="宋体" w:cs="宋体"/>
          <w:szCs w:val="28"/>
        </w:rPr>
        <w:t>本公司声明如下：</w:t>
      </w:r>
    </w:p>
    <w:p w14:paraId="0A453756">
      <w:pPr>
        <w:shd w:val="clear" w:color="auto" w:fill="FFFFFF"/>
        <w:snapToGrid w:val="0"/>
        <w:spacing w:line="600" w:lineRule="exact"/>
        <w:ind w:firstLine="480" w:firstLineChars="200"/>
        <w:rPr>
          <w:rFonts w:ascii="宋体" w:hAnsi="宋体" w:cs="宋体"/>
          <w:szCs w:val="28"/>
        </w:rPr>
      </w:pPr>
      <w:r>
        <w:rPr>
          <w:rFonts w:hint="eastAsia" w:ascii="宋体" w:hAnsi="宋体" w:cs="宋体"/>
          <w:szCs w:val="28"/>
        </w:rPr>
        <w:t>本单位在参加</w:t>
      </w:r>
      <w:r>
        <w:rPr>
          <w:rFonts w:hint="eastAsia" w:ascii="宋体" w:hAnsi="宋体" w:cs="宋体"/>
          <w:u w:val="single"/>
        </w:rPr>
        <w:t>（项目名称）</w:t>
      </w:r>
      <w:r>
        <w:rPr>
          <w:rFonts w:hint="eastAsia" w:ascii="宋体" w:hAnsi="宋体" w:cs="宋体"/>
          <w:szCs w:val="28"/>
        </w:rPr>
        <w:t>项目（采购编号:</w:t>
      </w:r>
      <w:r>
        <w:rPr>
          <w:rFonts w:hint="eastAsia" w:ascii="宋体" w:hAnsi="宋体" w:cs="宋体"/>
          <w:u w:val="single"/>
        </w:rPr>
        <w:t xml:space="preserve"> （项目编号）</w:t>
      </w:r>
      <w:r>
        <w:rPr>
          <w:rFonts w:hint="eastAsia" w:ascii="宋体" w:hAnsi="宋体" w:cs="宋体"/>
          <w:szCs w:val="28"/>
        </w:rPr>
        <w:t>）的政府采购活动前三年内，未有环保类行政处罚记录。若我单位以上承诺不实，自愿承担提供虚假材料谋取中标、成交的法律责任。</w:t>
      </w:r>
    </w:p>
    <w:p w14:paraId="38163F7B">
      <w:pPr>
        <w:shd w:val="clear" w:color="auto" w:fill="FFFFFF"/>
        <w:snapToGrid w:val="0"/>
        <w:spacing w:line="600" w:lineRule="exact"/>
        <w:rPr>
          <w:rFonts w:ascii="宋体" w:hAnsi="宋体" w:cs="宋体"/>
          <w:szCs w:val="28"/>
        </w:rPr>
      </w:pPr>
      <w:r>
        <w:rPr>
          <w:rFonts w:hint="eastAsia" w:ascii="宋体" w:hAnsi="宋体" w:cs="宋体"/>
          <w:szCs w:val="28"/>
        </w:rPr>
        <w:t> </w:t>
      </w:r>
    </w:p>
    <w:p w14:paraId="058EE026">
      <w:pPr>
        <w:shd w:val="clear" w:color="auto" w:fill="FFFFFF"/>
        <w:snapToGrid w:val="0"/>
        <w:spacing w:line="600" w:lineRule="exact"/>
        <w:jc w:val="right"/>
        <w:rPr>
          <w:rFonts w:ascii="宋体" w:hAnsi="宋体" w:cs="宋体"/>
          <w:szCs w:val="28"/>
        </w:rPr>
      </w:pPr>
      <w:r>
        <w:rPr>
          <w:rFonts w:hint="eastAsia" w:ascii="宋体" w:hAnsi="宋体" w:cs="宋体"/>
          <w:szCs w:val="28"/>
        </w:rPr>
        <w:t> </w:t>
      </w:r>
    </w:p>
    <w:p w14:paraId="5CA94723">
      <w:pPr>
        <w:shd w:val="clear" w:color="auto" w:fill="FFFFFF"/>
        <w:snapToGrid w:val="0"/>
        <w:spacing w:line="600" w:lineRule="exact"/>
        <w:jc w:val="right"/>
        <w:rPr>
          <w:rFonts w:ascii="宋体" w:hAnsi="宋体" w:cs="宋体"/>
          <w:szCs w:val="28"/>
        </w:rPr>
      </w:pPr>
      <w:r>
        <w:rPr>
          <w:rFonts w:hint="eastAsia" w:ascii="宋体" w:hAnsi="宋体" w:cs="宋体"/>
          <w:szCs w:val="28"/>
        </w:rPr>
        <w:t> </w:t>
      </w:r>
    </w:p>
    <w:p w14:paraId="57C6FD17">
      <w:pPr>
        <w:shd w:val="clear" w:color="auto" w:fill="FFFFFF"/>
        <w:snapToGrid w:val="0"/>
        <w:spacing w:line="600" w:lineRule="exact"/>
        <w:ind w:firstLine="555"/>
        <w:rPr>
          <w:rFonts w:ascii="宋体" w:hAnsi="宋体" w:cs="宋体"/>
          <w:szCs w:val="28"/>
        </w:rPr>
      </w:pPr>
      <w:r>
        <w:rPr>
          <w:rFonts w:hint="eastAsia" w:ascii="宋体" w:hAnsi="宋体" w:cs="宋体"/>
          <w:szCs w:val="28"/>
        </w:rPr>
        <w:t>    承诺供应商（全称并加盖公章）：</w:t>
      </w:r>
    </w:p>
    <w:p w14:paraId="1232B6DF">
      <w:pPr>
        <w:shd w:val="clear" w:color="auto" w:fill="FFFFFF"/>
        <w:snapToGrid w:val="0"/>
        <w:spacing w:line="600" w:lineRule="exact"/>
        <w:ind w:firstLine="555"/>
        <w:rPr>
          <w:rFonts w:ascii="宋体" w:hAnsi="宋体" w:cs="宋体"/>
          <w:szCs w:val="28"/>
        </w:rPr>
      </w:pPr>
      <w:r>
        <w:rPr>
          <w:rFonts w:hint="eastAsia" w:ascii="宋体" w:hAnsi="宋体" w:cs="宋体"/>
          <w:szCs w:val="28"/>
        </w:rPr>
        <w:t>    单位负责人或授权代表（签字）：</w:t>
      </w:r>
    </w:p>
    <w:p w14:paraId="4917491C">
      <w:pPr>
        <w:shd w:val="clear" w:color="auto" w:fill="FFFFFF"/>
        <w:snapToGrid w:val="0"/>
        <w:spacing w:line="600" w:lineRule="exact"/>
        <w:jc w:val="center"/>
        <w:rPr>
          <w:rFonts w:ascii="宋体" w:hAnsi="宋体" w:cs="宋体"/>
        </w:rPr>
      </w:pPr>
      <w:r>
        <w:rPr>
          <w:rFonts w:hint="eastAsia" w:ascii="宋体" w:hAnsi="宋体" w:cs="宋体"/>
          <w:szCs w:val="28"/>
        </w:rPr>
        <w:t>      </w:t>
      </w:r>
      <w:r>
        <w:rPr>
          <w:rFonts w:hint="eastAsia" w:ascii="宋体" w:hAnsi="宋体" w:cs="宋体"/>
        </w:rPr>
        <w:t>日    期：   年   月  日</w:t>
      </w:r>
    </w:p>
    <w:p w14:paraId="0097A8F4">
      <w:pPr>
        <w:spacing w:line="600" w:lineRule="exact"/>
        <w:rPr>
          <w:rFonts w:ascii="宋体" w:hAnsi="宋体" w:cs="宋体"/>
        </w:rPr>
      </w:pPr>
      <w:r>
        <w:rPr>
          <w:rFonts w:hint="eastAsia" w:ascii="宋体" w:hAnsi="宋体" w:cs="宋体"/>
        </w:rPr>
        <w:br w:type="page"/>
      </w:r>
    </w:p>
    <w:p w14:paraId="66E4D20F">
      <w:pPr>
        <w:shd w:val="clear" w:color="auto" w:fill="FFFFFF"/>
        <w:snapToGrid w:val="0"/>
        <w:spacing w:line="600" w:lineRule="exact"/>
        <w:ind w:firstLine="643" w:firstLineChars="200"/>
        <w:jc w:val="center"/>
        <w:rPr>
          <w:rFonts w:ascii="宋体" w:hAnsi="宋体" w:cs="宋体"/>
          <w:b/>
          <w:bCs/>
          <w:sz w:val="32"/>
          <w:szCs w:val="32"/>
        </w:rPr>
      </w:pPr>
      <w:r>
        <w:rPr>
          <w:rFonts w:hint="eastAsia" w:ascii="宋体" w:hAnsi="宋体" w:cs="宋体"/>
          <w:b/>
          <w:bCs/>
          <w:sz w:val="32"/>
          <w:szCs w:val="32"/>
        </w:rPr>
        <w:t>联合体协议</w:t>
      </w:r>
    </w:p>
    <w:p w14:paraId="71D82807">
      <w:pPr>
        <w:shd w:val="clear" w:color="auto" w:fill="FFFFFF"/>
        <w:snapToGrid w:val="0"/>
        <w:spacing w:line="600" w:lineRule="exact"/>
        <w:jc w:val="center"/>
        <w:rPr>
          <w:rFonts w:ascii="宋体" w:hAnsi="宋体" w:cs="宋体"/>
        </w:rPr>
      </w:pPr>
      <w:r>
        <w:rPr>
          <w:rFonts w:hint="eastAsia" w:ascii="宋体" w:hAnsi="宋体" w:cs="宋体"/>
        </w:rPr>
        <w:t>本项目不接受联合体。</w:t>
      </w:r>
    </w:p>
    <w:p w14:paraId="14668A5A">
      <w:pPr>
        <w:shd w:val="clear" w:color="auto" w:fill="FFFFFF"/>
        <w:snapToGrid w:val="0"/>
        <w:spacing w:line="600" w:lineRule="exact"/>
        <w:jc w:val="center"/>
        <w:rPr>
          <w:rFonts w:ascii="宋体" w:hAnsi="宋体" w:cs="宋体"/>
        </w:rPr>
      </w:pPr>
    </w:p>
    <w:p w14:paraId="0DD1EB92">
      <w:pPr>
        <w:shd w:val="clear" w:color="auto" w:fill="FFFFFF"/>
        <w:snapToGrid w:val="0"/>
        <w:spacing w:line="600" w:lineRule="exact"/>
        <w:jc w:val="center"/>
        <w:rPr>
          <w:rFonts w:ascii="宋体" w:hAnsi="宋体" w:cs="宋体"/>
        </w:rPr>
      </w:pPr>
    </w:p>
    <w:bookmarkEnd w:id="116"/>
    <w:bookmarkEnd w:id="117"/>
    <w:bookmarkEnd w:id="118"/>
    <w:p w14:paraId="0F3AD461">
      <w:pPr>
        <w:shd w:val="clear" w:color="auto" w:fill="FFFFFF"/>
        <w:snapToGrid w:val="0"/>
        <w:spacing w:line="600" w:lineRule="exact"/>
        <w:jc w:val="center"/>
        <w:rPr>
          <w:rFonts w:ascii="宋体" w:hAnsi="宋体" w:cs="宋体"/>
        </w:rPr>
      </w:pPr>
    </w:p>
    <w:p w14:paraId="262EB4A1">
      <w:pPr>
        <w:spacing w:line="600" w:lineRule="exact"/>
        <w:rPr>
          <w:rFonts w:ascii="宋体" w:hAnsi="宋体" w:cs="宋体"/>
        </w:rPr>
      </w:pPr>
      <w:r>
        <w:rPr>
          <w:rFonts w:hint="eastAsia" w:ascii="宋体" w:hAnsi="宋体" w:cs="宋体"/>
        </w:rPr>
        <w:br w:type="page"/>
      </w:r>
    </w:p>
    <w:p w14:paraId="53D7DDA1">
      <w:pPr>
        <w:spacing w:line="600" w:lineRule="exact"/>
        <w:jc w:val="center"/>
        <w:outlineLvl w:val="1"/>
        <w:rPr>
          <w:rFonts w:ascii="宋体" w:hAnsi="宋体" w:cs="宋体"/>
          <w:sz w:val="32"/>
          <w:szCs w:val="32"/>
        </w:rPr>
      </w:pPr>
      <w:bookmarkStart w:id="119" w:name="_Toc48044747"/>
      <w:bookmarkStart w:id="120" w:name="_Toc35856338"/>
      <w:bookmarkStart w:id="121" w:name="_Toc35856211"/>
      <w:bookmarkStart w:id="122" w:name="_Toc217446085"/>
      <w:r>
        <w:rPr>
          <w:rFonts w:hint="eastAsia" w:ascii="宋体" w:hAnsi="宋体" w:cs="宋体"/>
          <w:sz w:val="32"/>
          <w:szCs w:val="32"/>
        </w:rPr>
        <w:t>五、磋商保证金缴纳凭证</w:t>
      </w:r>
    </w:p>
    <w:p w14:paraId="7AE540D0">
      <w:pPr>
        <w:pStyle w:val="40"/>
        <w:spacing w:line="600" w:lineRule="exact"/>
        <w:jc w:val="center"/>
        <w:rPr>
          <w:b/>
          <w:bCs/>
          <w:sz w:val="36"/>
          <w:szCs w:val="40"/>
        </w:rPr>
      </w:pPr>
    </w:p>
    <w:p w14:paraId="041FFCCF">
      <w:pPr>
        <w:pStyle w:val="40"/>
        <w:spacing w:line="600" w:lineRule="exact"/>
        <w:jc w:val="center"/>
      </w:pPr>
      <w:r>
        <w:rPr>
          <w:rFonts w:hint="eastAsia"/>
          <w:b/>
          <w:bCs/>
          <w:sz w:val="36"/>
          <w:szCs w:val="40"/>
        </w:rPr>
        <w:t>本项目不做保证金要求</w:t>
      </w:r>
      <w:r>
        <w:br w:type="page"/>
      </w:r>
    </w:p>
    <w:p w14:paraId="55624480">
      <w:pPr>
        <w:spacing w:line="600" w:lineRule="exact"/>
        <w:jc w:val="center"/>
        <w:outlineLvl w:val="1"/>
        <w:rPr>
          <w:rFonts w:ascii="宋体" w:hAnsi="宋体" w:cs="宋体"/>
          <w:sz w:val="32"/>
          <w:szCs w:val="32"/>
        </w:rPr>
      </w:pPr>
      <w:r>
        <w:rPr>
          <w:rFonts w:hint="eastAsia" w:ascii="宋体" w:hAnsi="宋体" w:cs="宋体"/>
          <w:sz w:val="32"/>
          <w:szCs w:val="32"/>
        </w:rPr>
        <w:t>六、技术、商务要求响应表</w:t>
      </w:r>
      <w:bookmarkEnd w:id="119"/>
      <w:bookmarkEnd w:id="120"/>
      <w:bookmarkEnd w:id="121"/>
    </w:p>
    <w:p w14:paraId="45A2471F">
      <w:pPr>
        <w:adjustRightInd w:val="0"/>
        <w:snapToGrid w:val="0"/>
        <w:spacing w:line="600" w:lineRule="exact"/>
        <w:rPr>
          <w:rFonts w:ascii="宋体" w:hAnsi="宋体" w:cs="宋体"/>
        </w:rPr>
      </w:pPr>
      <w:r>
        <w:rPr>
          <w:rFonts w:hint="eastAsia" w:ascii="宋体" w:hAnsi="宋体" w:cs="宋体"/>
        </w:rPr>
        <w:t xml:space="preserve"> </w:t>
      </w:r>
    </w:p>
    <w:p w14:paraId="152E0DDF">
      <w:pPr>
        <w:snapToGrid w:val="0"/>
        <w:spacing w:line="600" w:lineRule="exact"/>
        <w:rPr>
          <w:rFonts w:ascii="宋体" w:hAnsi="宋体" w:cs="宋体"/>
        </w:rPr>
      </w:pPr>
      <w:r>
        <w:rPr>
          <w:rFonts w:hint="eastAsia" w:ascii="宋体" w:hAnsi="宋体" w:cs="宋体"/>
        </w:rPr>
        <w:t>本表编制说明：</w:t>
      </w:r>
    </w:p>
    <w:p w14:paraId="3F79E94F">
      <w:pPr>
        <w:numPr>
          <w:ilvl w:val="0"/>
          <w:numId w:val="5"/>
        </w:numPr>
        <w:snapToGrid w:val="0"/>
        <w:spacing w:line="600" w:lineRule="exact"/>
        <w:rPr>
          <w:rFonts w:ascii="宋体" w:hAnsi="宋体" w:cs="宋体"/>
        </w:rPr>
      </w:pPr>
      <w:r>
        <w:rPr>
          <w:rFonts w:hint="eastAsia" w:ascii="宋体" w:hAnsi="宋体" w:cs="宋体"/>
        </w:rPr>
        <w:t>供应商须把第三章、采购需求书的内容按顺序列入此表对应逐条应答。</w:t>
      </w:r>
    </w:p>
    <w:tbl>
      <w:tblPr>
        <w:tblStyle w:val="26"/>
        <w:tblW w:w="946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129"/>
        <w:gridCol w:w="2210"/>
        <w:gridCol w:w="2630"/>
        <w:gridCol w:w="1794"/>
      </w:tblGrid>
      <w:tr w14:paraId="4302D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blHeader/>
        </w:trPr>
        <w:tc>
          <w:tcPr>
            <w:tcW w:w="706" w:type="dxa"/>
            <w:tcBorders>
              <w:bottom w:val="single" w:color="auto" w:sz="4" w:space="0"/>
            </w:tcBorders>
            <w:shd w:val="clear" w:color="auto" w:fill="D9D9D9"/>
            <w:vAlign w:val="center"/>
          </w:tcPr>
          <w:p w14:paraId="3C8F9A19">
            <w:pPr>
              <w:snapToGrid w:val="0"/>
              <w:spacing w:line="600" w:lineRule="exact"/>
              <w:jc w:val="center"/>
              <w:rPr>
                <w:rFonts w:ascii="宋体" w:hAnsi="宋体" w:cs="宋体"/>
                <w:szCs w:val="21"/>
              </w:rPr>
            </w:pPr>
            <w:r>
              <w:rPr>
                <w:rFonts w:hint="eastAsia" w:ascii="宋体" w:hAnsi="宋体" w:cs="宋体"/>
                <w:szCs w:val="21"/>
              </w:rPr>
              <w:t>序号</w:t>
            </w:r>
          </w:p>
        </w:tc>
        <w:tc>
          <w:tcPr>
            <w:tcW w:w="2129" w:type="dxa"/>
            <w:tcBorders>
              <w:bottom w:val="single" w:color="auto" w:sz="4" w:space="0"/>
            </w:tcBorders>
            <w:shd w:val="clear" w:color="auto" w:fill="D9D9D9"/>
            <w:vAlign w:val="center"/>
          </w:tcPr>
          <w:p w14:paraId="12F30935">
            <w:pPr>
              <w:snapToGrid w:val="0"/>
              <w:spacing w:line="600" w:lineRule="exact"/>
              <w:jc w:val="center"/>
              <w:rPr>
                <w:rFonts w:ascii="宋体" w:hAnsi="宋体" w:cs="宋体"/>
                <w:szCs w:val="21"/>
              </w:rPr>
            </w:pPr>
            <w:r>
              <w:rPr>
                <w:rFonts w:hint="eastAsia" w:ascii="宋体" w:hAnsi="宋体" w:cs="宋体"/>
                <w:szCs w:val="21"/>
              </w:rPr>
              <w:t>服务名称（或需求类别、服务内容、服务要求等条款）</w:t>
            </w:r>
          </w:p>
        </w:tc>
        <w:tc>
          <w:tcPr>
            <w:tcW w:w="2210" w:type="dxa"/>
            <w:tcBorders>
              <w:bottom w:val="single" w:color="auto" w:sz="4" w:space="0"/>
            </w:tcBorders>
            <w:shd w:val="clear" w:color="auto" w:fill="D9D9D9"/>
            <w:vAlign w:val="center"/>
          </w:tcPr>
          <w:p w14:paraId="01D16965">
            <w:pPr>
              <w:snapToGrid w:val="0"/>
              <w:spacing w:line="600" w:lineRule="exact"/>
              <w:jc w:val="center"/>
              <w:rPr>
                <w:rFonts w:ascii="宋体" w:hAnsi="宋体" w:cs="宋体"/>
                <w:szCs w:val="21"/>
              </w:rPr>
            </w:pPr>
            <w:r>
              <w:rPr>
                <w:rFonts w:hint="eastAsia" w:ascii="宋体" w:hAnsi="宋体" w:cs="宋体"/>
                <w:szCs w:val="21"/>
              </w:rPr>
              <w:t>原技术规范和其他要求条款描述</w:t>
            </w:r>
          </w:p>
        </w:tc>
        <w:tc>
          <w:tcPr>
            <w:tcW w:w="2630" w:type="dxa"/>
            <w:tcBorders>
              <w:bottom w:val="single" w:color="auto" w:sz="4" w:space="0"/>
            </w:tcBorders>
            <w:shd w:val="clear" w:color="auto" w:fill="D9D9D9"/>
            <w:vAlign w:val="center"/>
          </w:tcPr>
          <w:p w14:paraId="3478A0A1">
            <w:pPr>
              <w:snapToGrid w:val="0"/>
              <w:spacing w:line="600" w:lineRule="exact"/>
              <w:jc w:val="center"/>
              <w:rPr>
                <w:rFonts w:ascii="宋体" w:hAnsi="宋体" w:cs="宋体"/>
                <w:szCs w:val="21"/>
              </w:rPr>
            </w:pPr>
            <w:r>
              <w:rPr>
                <w:rFonts w:hint="eastAsia" w:ascii="宋体" w:hAnsi="宋体" w:cs="宋体"/>
                <w:szCs w:val="21"/>
              </w:rPr>
              <w:t>供应商技术规范和其他要求响应条款描述</w:t>
            </w:r>
          </w:p>
        </w:tc>
        <w:tc>
          <w:tcPr>
            <w:tcW w:w="1794" w:type="dxa"/>
            <w:tcBorders>
              <w:bottom w:val="single" w:color="auto" w:sz="4" w:space="0"/>
            </w:tcBorders>
            <w:shd w:val="clear" w:color="auto" w:fill="D9D9D9"/>
            <w:vAlign w:val="center"/>
          </w:tcPr>
          <w:p w14:paraId="12FA145D">
            <w:pPr>
              <w:snapToGrid w:val="0"/>
              <w:spacing w:line="600" w:lineRule="exact"/>
              <w:jc w:val="center"/>
              <w:rPr>
                <w:rFonts w:ascii="宋体" w:hAnsi="宋体" w:cs="宋体"/>
                <w:szCs w:val="21"/>
              </w:rPr>
            </w:pPr>
            <w:r>
              <w:rPr>
                <w:rFonts w:hint="eastAsia" w:ascii="宋体" w:hAnsi="宋体" w:cs="宋体"/>
                <w:szCs w:val="21"/>
              </w:rPr>
              <w:t>偏离情况说明</w:t>
            </w:r>
          </w:p>
          <w:p w14:paraId="213DCD68">
            <w:pPr>
              <w:snapToGrid w:val="0"/>
              <w:spacing w:line="600" w:lineRule="exact"/>
              <w:jc w:val="center"/>
              <w:rPr>
                <w:rFonts w:ascii="宋体" w:hAnsi="宋体" w:cs="宋体"/>
                <w:szCs w:val="21"/>
              </w:rPr>
            </w:pPr>
            <w:r>
              <w:rPr>
                <w:rFonts w:hint="eastAsia" w:ascii="宋体" w:hAnsi="宋体" w:cs="宋体"/>
                <w:szCs w:val="21"/>
              </w:rPr>
              <w:t>（＋/-/=）</w:t>
            </w:r>
          </w:p>
        </w:tc>
      </w:tr>
      <w:tr w14:paraId="1D11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blHeader/>
        </w:trPr>
        <w:tc>
          <w:tcPr>
            <w:tcW w:w="706" w:type="dxa"/>
            <w:vAlign w:val="center"/>
          </w:tcPr>
          <w:p w14:paraId="61BBF824">
            <w:pPr>
              <w:spacing w:line="600" w:lineRule="exact"/>
              <w:jc w:val="center"/>
              <w:rPr>
                <w:rFonts w:ascii="宋体" w:hAnsi="宋体" w:cs="宋体"/>
                <w:szCs w:val="21"/>
              </w:rPr>
            </w:pPr>
            <w:r>
              <w:rPr>
                <w:rFonts w:hint="eastAsia" w:ascii="宋体" w:hAnsi="宋体" w:cs="宋体"/>
                <w:szCs w:val="21"/>
              </w:rPr>
              <w:t>1</w:t>
            </w:r>
          </w:p>
        </w:tc>
        <w:tc>
          <w:tcPr>
            <w:tcW w:w="2129" w:type="dxa"/>
            <w:vAlign w:val="center"/>
          </w:tcPr>
          <w:p w14:paraId="7F32B63D">
            <w:pPr>
              <w:spacing w:line="600" w:lineRule="exact"/>
              <w:jc w:val="center"/>
              <w:rPr>
                <w:rFonts w:ascii="宋体" w:hAnsi="宋体" w:cs="宋体"/>
                <w:szCs w:val="21"/>
              </w:rPr>
            </w:pPr>
          </w:p>
        </w:tc>
        <w:tc>
          <w:tcPr>
            <w:tcW w:w="2210" w:type="dxa"/>
            <w:vAlign w:val="center"/>
          </w:tcPr>
          <w:p w14:paraId="341FF53E">
            <w:pPr>
              <w:snapToGrid w:val="0"/>
              <w:spacing w:line="600" w:lineRule="exact"/>
              <w:jc w:val="center"/>
              <w:rPr>
                <w:rFonts w:ascii="宋体" w:hAnsi="宋体" w:cs="宋体"/>
                <w:szCs w:val="21"/>
              </w:rPr>
            </w:pPr>
          </w:p>
        </w:tc>
        <w:tc>
          <w:tcPr>
            <w:tcW w:w="2630" w:type="dxa"/>
            <w:vAlign w:val="center"/>
          </w:tcPr>
          <w:p w14:paraId="52665162">
            <w:pPr>
              <w:snapToGrid w:val="0"/>
              <w:spacing w:line="600" w:lineRule="exact"/>
              <w:jc w:val="center"/>
              <w:rPr>
                <w:rFonts w:ascii="宋体" w:hAnsi="宋体" w:cs="宋体"/>
                <w:szCs w:val="21"/>
              </w:rPr>
            </w:pPr>
          </w:p>
        </w:tc>
        <w:tc>
          <w:tcPr>
            <w:tcW w:w="1794" w:type="dxa"/>
            <w:vAlign w:val="center"/>
          </w:tcPr>
          <w:p w14:paraId="366DB733">
            <w:pPr>
              <w:snapToGrid w:val="0"/>
              <w:spacing w:line="600" w:lineRule="exact"/>
              <w:jc w:val="center"/>
              <w:rPr>
                <w:rFonts w:ascii="宋体" w:hAnsi="宋体" w:cs="宋体"/>
                <w:szCs w:val="21"/>
              </w:rPr>
            </w:pPr>
          </w:p>
        </w:tc>
      </w:tr>
      <w:tr w14:paraId="2145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blHeader/>
        </w:trPr>
        <w:tc>
          <w:tcPr>
            <w:tcW w:w="706" w:type="dxa"/>
            <w:vAlign w:val="center"/>
          </w:tcPr>
          <w:p w14:paraId="121137C9">
            <w:pPr>
              <w:spacing w:line="600" w:lineRule="exact"/>
              <w:jc w:val="center"/>
              <w:rPr>
                <w:rFonts w:ascii="宋体" w:hAnsi="宋体" w:cs="宋体"/>
                <w:szCs w:val="21"/>
              </w:rPr>
            </w:pPr>
            <w:r>
              <w:rPr>
                <w:rFonts w:hint="eastAsia" w:ascii="宋体" w:hAnsi="宋体" w:cs="宋体"/>
                <w:szCs w:val="21"/>
              </w:rPr>
              <w:t>2</w:t>
            </w:r>
          </w:p>
        </w:tc>
        <w:tc>
          <w:tcPr>
            <w:tcW w:w="2129" w:type="dxa"/>
            <w:vAlign w:val="center"/>
          </w:tcPr>
          <w:p w14:paraId="2F4DC39E">
            <w:pPr>
              <w:spacing w:line="600" w:lineRule="exact"/>
              <w:jc w:val="center"/>
              <w:rPr>
                <w:rFonts w:ascii="宋体" w:hAnsi="宋体" w:cs="宋体"/>
                <w:szCs w:val="21"/>
              </w:rPr>
            </w:pPr>
          </w:p>
        </w:tc>
        <w:tc>
          <w:tcPr>
            <w:tcW w:w="2210" w:type="dxa"/>
            <w:vAlign w:val="center"/>
          </w:tcPr>
          <w:p w14:paraId="199F34A8">
            <w:pPr>
              <w:snapToGrid w:val="0"/>
              <w:spacing w:line="600" w:lineRule="exact"/>
              <w:jc w:val="center"/>
              <w:rPr>
                <w:rFonts w:ascii="宋体" w:hAnsi="宋体" w:cs="宋体"/>
                <w:szCs w:val="21"/>
              </w:rPr>
            </w:pPr>
          </w:p>
        </w:tc>
        <w:tc>
          <w:tcPr>
            <w:tcW w:w="2630" w:type="dxa"/>
            <w:vAlign w:val="center"/>
          </w:tcPr>
          <w:p w14:paraId="45E21EBB">
            <w:pPr>
              <w:snapToGrid w:val="0"/>
              <w:spacing w:line="600" w:lineRule="exact"/>
              <w:jc w:val="center"/>
              <w:rPr>
                <w:rFonts w:ascii="宋体" w:hAnsi="宋体" w:cs="宋体"/>
                <w:szCs w:val="21"/>
              </w:rPr>
            </w:pPr>
          </w:p>
        </w:tc>
        <w:tc>
          <w:tcPr>
            <w:tcW w:w="1794" w:type="dxa"/>
            <w:vAlign w:val="center"/>
          </w:tcPr>
          <w:p w14:paraId="7F8413EF">
            <w:pPr>
              <w:snapToGrid w:val="0"/>
              <w:spacing w:line="600" w:lineRule="exact"/>
              <w:jc w:val="center"/>
              <w:rPr>
                <w:rFonts w:ascii="宋体" w:hAnsi="宋体" w:cs="宋体"/>
                <w:szCs w:val="21"/>
              </w:rPr>
            </w:pPr>
          </w:p>
        </w:tc>
      </w:tr>
      <w:tr w14:paraId="0CC8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blHeader/>
        </w:trPr>
        <w:tc>
          <w:tcPr>
            <w:tcW w:w="706" w:type="dxa"/>
            <w:vAlign w:val="center"/>
          </w:tcPr>
          <w:p w14:paraId="11A9072F">
            <w:pPr>
              <w:spacing w:line="600" w:lineRule="exact"/>
              <w:jc w:val="center"/>
              <w:rPr>
                <w:rFonts w:ascii="宋体" w:hAnsi="宋体" w:cs="宋体"/>
                <w:szCs w:val="21"/>
              </w:rPr>
            </w:pPr>
            <w:r>
              <w:rPr>
                <w:rFonts w:hint="eastAsia" w:ascii="宋体" w:hAnsi="宋体" w:cs="宋体"/>
                <w:szCs w:val="21"/>
              </w:rPr>
              <w:t>……</w:t>
            </w:r>
          </w:p>
        </w:tc>
        <w:tc>
          <w:tcPr>
            <w:tcW w:w="2129" w:type="dxa"/>
            <w:vAlign w:val="center"/>
          </w:tcPr>
          <w:p w14:paraId="4C7ADC42">
            <w:pPr>
              <w:spacing w:line="600" w:lineRule="exact"/>
              <w:rPr>
                <w:rFonts w:ascii="宋体" w:hAnsi="宋体" w:cs="宋体"/>
                <w:szCs w:val="21"/>
              </w:rPr>
            </w:pPr>
          </w:p>
        </w:tc>
        <w:tc>
          <w:tcPr>
            <w:tcW w:w="2210" w:type="dxa"/>
            <w:vAlign w:val="center"/>
          </w:tcPr>
          <w:p w14:paraId="1D85E74D">
            <w:pPr>
              <w:snapToGrid w:val="0"/>
              <w:spacing w:line="600" w:lineRule="exact"/>
              <w:jc w:val="center"/>
              <w:rPr>
                <w:rFonts w:ascii="宋体" w:hAnsi="宋体" w:cs="宋体"/>
                <w:szCs w:val="21"/>
              </w:rPr>
            </w:pPr>
          </w:p>
        </w:tc>
        <w:tc>
          <w:tcPr>
            <w:tcW w:w="2630" w:type="dxa"/>
            <w:vAlign w:val="center"/>
          </w:tcPr>
          <w:p w14:paraId="6A024497">
            <w:pPr>
              <w:snapToGrid w:val="0"/>
              <w:spacing w:line="600" w:lineRule="exact"/>
              <w:jc w:val="center"/>
              <w:rPr>
                <w:rFonts w:ascii="宋体" w:hAnsi="宋体" w:cs="宋体"/>
                <w:szCs w:val="21"/>
              </w:rPr>
            </w:pPr>
          </w:p>
        </w:tc>
        <w:tc>
          <w:tcPr>
            <w:tcW w:w="1794" w:type="dxa"/>
            <w:vAlign w:val="center"/>
          </w:tcPr>
          <w:p w14:paraId="11967004">
            <w:pPr>
              <w:snapToGrid w:val="0"/>
              <w:spacing w:line="600" w:lineRule="exact"/>
              <w:jc w:val="center"/>
              <w:rPr>
                <w:rFonts w:ascii="宋体" w:hAnsi="宋体" w:cs="宋体"/>
                <w:szCs w:val="21"/>
              </w:rPr>
            </w:pPr>
          </w:p>
        </w:tc>
      </w:tr>
    </w:tbl>
    <w:p w14:paraId="5D24FFC9">
      <w:pPr>
        <w:snapToGrid w:val="0"/>
        <w:spacing w:line="600" w:lineRule="exact"/>
        <w:rPr>
          <w:rFonts w:ascii="宋体" w:hAnsi="宋体" w:cs="宋体"/>
        </w:rPr>
      </w:pPr>
    </w:p>
    <w:p w14:paraId="07FC8908">
      <w:pPr>
        <w:snapToGrid w:val="0"/>
        <w:spacing w:line="600" w:lineRule="exact"/>
        <w:rPr>
          <w:rFonts w:ascii="宋体" w:hAnsi="宋体" w:cs="宋体"/>
          <w:bCs/>
        </w:rPr>
      </w:pPr>
      <w:r>
        <w:rPr>
          <w:rFonts w:hint="eastAsia" w:ascii="宋体" w:hAnsi="宋体" w:cs="宋体"/>
          <w:bCs/>
        </w:rPr>
        <w:t>注：1、此表为表样，列数和行数可根据采购需求的内容调整，其他部分表式不变。</w:t>
      </w:r>
    </w:p>
    <w:p w14:paraId="3D9197EB">
      <w:pPr>
        <w:snapToGrid w:val="0"/>
        <w:spacing w:line="600" w:lineRule="exact"/>
        <w:ind w:firstLine="462"/>
        <w:rPr>
          <w:rFonts w:ascii="宋体" w:hAnsi="宋体" w:cs="宋体"/>
          <w:bCs/>
        </w:rPr>
      </w:pPr>
      <w:r>
        <w:rPr>
          <w:rFonts w:hint="eastAsia" w:ascii="宋体" w:hAnsi="宋体" w:cs="宋体"/>
          <w:bCs/>
        </w:rPr>
        <w:t>2、如采购需求中的服务名称或要求类别目录级别下有子项，应按其目录级别的最小单元进行逐条对应响应。</w:t>
      </w:r>
    </w:p>
    <w:p w14:paraId="2909EBF7">
      <w:pPr>
        <w:snapToGrid w:val="0"/>
        <w:spacing w:line="600" w:lineRule="exact"/>
        <w:ind w:firstLine="462"/>
        <w:rPr>
          <w:rFonts w:ascii="宋体" w:hAnsi="宋体" w:cs="宋体"/>
          <w:bCs/>
        </w:rPr>
      </w:pPr>
      <w:r>
        <w:rPr>
          <w:rFonts w:hint="eastAsia" w:ascii="宋体" w:hAnsi="宋体" w:cs="宋体"/>
          <w:bCs/>
        </w:rPr>
        <w:t>3、是否偏离用符号“+、=、-”分别表示正偏离、完全响应、负偏离。</w:t>
      </w:r>
      <w:r>
        <w:rPr>
          <w:rFonts w:hint="eastAsia" w:ascii="宋体" w:hAnsi="宋体" w:cs="宋体"/>
        </w:rPr>
        <w:t>磋商小组评审时不能只根据供应商填写的偏离情况说明来判断是否响应，而应认真查阅第三章</w:t>
      </w:r>
      <w:r>
        <w:rPr>
          <w:rFonts w:hint="eastAsia" w:ascii="宋体" w:hAnsi="宋体" w:cs="宋体"/>
          <w:bCs/>
        </w:rPr>
        <w:t>采购需求</w:t>
      </w:r>
      <w:r>
        <w:rPr>
          <w:rFonts w:hint="eastAsia" w:ascii="宋体" w:hAnsi="宋体" w:cs="宋体"/>
        </w:rPr>
        <w:t>中相关内容描述以及要求提供的相关技术资料判断是否满足要求。</w:t>
      </w:r>
    </w:p>
    <w:p w14:paraId="388A5771">
      <w:pPr>
        <w:spacing w:line="600" w:lineRule="exact"/>
        <w:rPr>
          <w:rFonts w:ascii="宋体" w:hAnsi="宋体" w:cs="宋体"/>
        </w:rPr>
      </w:pPr>
    </w:p>
    <w:p w14:paraId="21024EBB">
      <w:pPr>
        <w:spacing w:line="600" w:lineRule="exact"/>
        <w:ind w:firstLine="480" w:firstLineChars="200"/>
        <w:rPr>
          <w:rFonts w:ascii="宋体" w:hAnsi="宋体" w:cs="宋体"/>
        </w:rPr>
      </w:pPr>
      <w:r>
        <w:rPr>
          <w:rFonts w:hint="eastAsia" w:ascii="宋体" w:hAnsi="宋体" w:cs="宋体"/>
        </w:rPr>
        <w:t xml:space="preserve">供应商名称（加盖公章）： </w:t>
      </w:r>
    </w:p>
    <w:p w14:paraId="35ABCC06">
      <w:pPr>
        <w:spacing w:line="600" w:lineRule="exact"/>
        <w:ind w:firstLine="480" w:firstLineChars="200"/>
        <w:rPr>
          <w:rFonts w:ascii="宋体" w:hAnsi="宋体" w:cs="宋体"/>
        </w:rPr>
      </w:pPr>
      <w:r>
        <w:rPr>
          <w:rFonts w:hint="eastAsia" w:ascii="宋体" w:hAnsi="宋体" w:cs="宋体"/>
        </w:rPr>
        <w:t>日    期：   年   月  日</w:t>
      </w:r>
    </w:p>
    <w:p w14:paraId="0B25B75A">
      <w:pPr>
        <w:spacing w:line="600" w:lineRule="exact"/>
      </w:pPr>
    </w:p>
    <w:p w14:paraId="606A8615">
      <w:pPr>
        <w:spacing w:line="600" w:lineRule="exact"/>
        <w:rPr>
          <w:rFonts w:ascii="宋体" w:hAnsi="宋体" w:cs="宋体"/>
        </w:rPr>
      </w:pPr>
    </w:p>
    <w:bookmarkEnd w:id="122"/>
    <w:p w14:paraId="58FE44B1">
      <w:pPr>
        <w:snapToGrid w:val="0"/>
        <w:spacing w:line="600" w:lineRule="exact"/>
        <w:jc w:val="center"/>
        <w:outlineLvl w:val="1"/>
        <w:rPr>
          <w:rFonts w:ascii="宋体" w:hAnsi="宋体" w:cs="宋体"/>
          <w:sz w:val="32"/>
          <w:szCs w:val="32"/>
        </w:rPr>
      </w:pPr>
      <w:bookmarkStart w:id="123" w:name="_Toc25164"/>
      <w:bookmarkStart w:id="124" w:name="_Toc48044749"/>
      <w:bookmarkStart w:id="125" w:name="_Toc35856218"/>
      <w:bookmarkStart w:id="126" w:name="_Toc35856340"/>
      <w:r>
        <w:rPr>
          <w:rFonts w:hint="eastAsia" w:ascii="宋体" w:hAnsi="宋体" w:cs="宋体"/>
          <w:sz w:val="32"/>
          <w:szCs w:val="32"/>
        </w:rPr>
        <w:t>七、其他商务技术证明材料</w:t>
      </w:r>
      <w:bookmarkEnd w:id="123"/>
      <w:bookmarkEnd w:id="124"/>
      <w:bookmarkEnd w:id="125"/>
      <w:bookmarkEnd w:id="126"/>
    </w:p>
    <w:p w14:paraId="2E19C3B2">
      <w:pPr>
        <w:snapToGrid w:val="0"/>
        <w:spacing w:line="600" w:lineRule="exact"/>
        <w:rPr>
          <w:rFonts w:ascii="宋体" w:hAnsi="宋体" w:cs="宋体"/>
        </w:rPr>
      </w:pPr>
      <w:r>
        <w:rPr>
          <w:rFonts w:hint="eastAsia" w:ascii="宋体" w:hAnsi="宋体" w:cs="宋体"/>
        </w:rPr>
        <w:t>供应商根据竞争性磋商文件要求认为需提供的其他商务技术说明材料，格式自定。</w:t>
      </w:r>
    </w:p>
    <w:p w14:paraId="1ABA2481">
      <w:pPr>
        <w:pStyle w:val="8"/>
        <w:spacing w:line="600" w:lineRule="exact"/>
        <w:rPr>
          <w:rFonts w:ascii="宋体" w:hAnsi="宋体" w:cs="宋体"/>
        </w:rPr>
      </w:pPr>
      <w:r>
        <w:rPr>
          <w:rFonts w:hint="eastAsia" w:ascii="宋体" w:hAnsi="宋体" w:cs="宋体"/>
        </w:rPr>
        <w:br w:type="page"/>
      </w:r>
    </w:p>
    <w:p w14:paraId="0C652C0D">
      <w:pPr>
        <w:snapToGrid w:val="0"/>
        <w:spacing w:line="600" w:lineRule="exact"/>
        <w:outlineLvl w:val="1"/>
        <w:rPr>
          <w:rFonts w:ascii="宋体" w:hAnsi="宋体" w:cs="宋体"/>
          <w:sz w:val="32"/>
          <w:szCs w:val="32"/>
        </w:rPr>
      </w:pPr>
      <w:r>
        <w:rPr>
          <w:rFonts w:hint="eastAsia" w:ascii="宋体" w:hAnsi="宋体" w:cs="宋体"/>
          <w:sz w:val="32"/>
          <w:szCs w:val="32"/>
        </w:rPr>
        <w:t>以下格式由供应商自行选择提供，如不符合可不提供。</w:t>
      </w:r>
    </w:p>
    <w:p w14:paraId="2FA4737E">
      <w:pPr>
        <w:snapToGrid w:val="0"/>
        <w:spacing w:line="600" w:lineRule="exact"/>
        <w:outlineLvl w:val="1"/>
        <w:rPr>
          <w:rFonts w:ascii="宋体" w:hAnsi="宋体" w:cs="宋体"/>
          <w:sz w:val="32"/>
          <w:szCs w:val="32"/>
        </w:rPr>
      </w:pPr>
      <w:r>
        <w:rPr>
          <w:rFonts w:hint="eastAsia" w:ascii="宋体" w:hAnsi="宋体" w:cs="宋体"/>
          <w:sz w:val="32"/>
          <w:szCs w:val="32"/>
        </w:rPr>
        <w:t>附件1：中小企业声明函</w:t>
      </w:r>
    </w:p>
    <w:p w14:paraId="591A8D55">
      <w:pPr>
        <w:adjustRightInd w:val="0"/>
        <w:snapToGrid w:val="0"/>
        <w:spacing w:line="600" w:lineRule="exact"/>
        <w:ind w:firstLine="560"/>
        <w:jc w:val="left"/>
        <w:rPr>
          <w:rFonts w:ascii="宋体" w:hAnsi="宋体" w:cs="宋体"/>
          <w:kern w:val="0"/>
          <w:szCs w:val="28"/>
        </w:rPr>
      </w:pPr>
      <w:r>
        <w:rPr>
          <w:rFonts w:hint="eastAsia" w:ascii="宋体" w:hAnsi="宋体" w:cs="宋体"/>
          <w:kern w:val="0"/>
          <w:szCs w:val="28"/>
        </w:rPr>
        <w:t>本公司（联合体）郑重声明，根据《政府采购促进中小企业发展管理办法》（财库﹝2020﹞46 号）的规定，本公司（联合体）参加</w:t>
      </w:r>
      <w:r>
        <w:rPr>
          <w:rFonts w:hint="eastAsia" w:ascii="宋体" w:hAnsi="宋体" w:cs="宋体"/>
          <w:kern w:val="0"/>
          <w:szCs w:val="28"/>
          <w:u w:val="single"/>
        </w:rPr>
        <w:t>（单位名称）</w:t>
      </w:r>
      <w:r>
        <w:rPr>
          <w:rFonts w:hint="eastAsia" w:ascii="宋体" w:hAnsi="宋体" w:cs="宋体"/>
          <w:kern w:val="0"/>
          <w:szCs w:val="28"/>
        </w:rPr>
        <w:t>的</w:t>
      </w:r>
      <w:r>
        <w:rPr>
          <w:rFonts w:hint="eastAsia" w:ascii="宋体" w:hAnsi="宋体" w:cs="宋体"/>
          <w:kern w:val="0"/>
          <w:szCs w:val="28"/>
          <w:u w:val="single"/>
        </w:rPr>
        <w:t>（项目名称）</w:t>
      </w:r>
      <w:r>
        <w:rPr>
          <w:rFonts w:hint="eastAsia" w:ascii="宋体" w:hAnsi="宋体" w:cs="宋体"/>
          <w:kern w:val="0"/>
          <w:szCs w:val="28"/>
        </w:rPr>
        <w:t>采购活动，服务全部由符合政策要求的中小企业承接。相关企业（含联合体中的中小企业、签订分包意向协议的中小企业）的具体情况如下：</w:t>
      </w:r>
    </w:p>
    <w:p w14:paraId="2E1B123C">
      <w:pPr>
        <w:adjustRightInd w:val="0"/>
        <w:snapToGrid w:val="0"/>
        <w:spacing w:line="600" w:lineRule="exact"/>
        <w:ind w:firstLine="560"/>
        <w:jc w:val="left"/>
        <w:rPr>
          <w:rFonts w:ascii="宋体" w:hAnsi="宋体" w:cs="宋体"/>
          <w:kern w:val="0"/>
          <w:szCs w:val="28"/>
        </w:rPr>
      </w:pPr>
      <w:r>
        <w:rPr>
          <w:rFonts w:hint="eastAsia" w:ascii="宋体" w:hAnsi="宋体" w:cs="宋体"/>
          <w:kern w:val="0"/>
          <w:szCs w:val="28"/>
        </w:rPr>
        <w:t>1.</w:t>
      </w:r>
      <w:r>
        <w:rPr>
          <w:rFonts w:hint="eastAsia" w:ascii="宋体" w:hAnsi="宋体" w:cs="宋体"/>
          <w:kern w:val="0"/>
          <w:szCs w:val="28"/>
          <w:u w:val="single"/>
        </w:rPr>
        <w:t>（标的名称）</w:t>
      </w:r>
      <w:r>
        <w:rPr>
          <w:rFonts w:hint="eastAsia" w:ascii="宋体" w:hAnsi="宋体" w:cs="宋体"/>
          <w:kern w:val="0"/>
          <w:szCs w:val="28"/>
        </w:rPr>
        <w:t>，属于</w:t>
      </w:r>
      <w:r>
        <w:rPr>
          <w:rFonts w:hint="eastAsia" w:ascii="宋体" w:hAnsi="宋体" w:cs="宋体"/>
          <w:kern w:val="0"/>
          <w:szCs w:val="28"/>
          <w:u w:val="single"/>
        </w:rPr>
        <w:t>（采购文件中明确的所属行业）</w:t>
      </w:r>
      <w:r>
        <w:rPr>
          <w:rFonts w:hint="eastAsia" w:ascii="宋体" w:hAnsi="宋体" w:cs="宋体"/>
          <w:kern w:val="0"/>
          <w:szCs w:val="28"/>
        </w:rPr>
        <w:t>；承接企业为</w:t>
      </w:r>
      <w:r>
        <w:rPr>
          <w:rFonts w:hint="eastAsia" w:ascii="宋体" w:hAnsi="宋体" w:cs="宋体"/>
          <w:kern w:val="0"/>
          <w:szCs w:val="28"/>
          <w:u w:val="single"/>
        </w:rPr>
        <w:t>（企业名称）</w:t>
      </w:r>
      <w:r>
        <w:rPr>
          <w:rFonts w:hint="eastAsia" w:ascii="宋体" w:hAnsi="宋体" w:cs="宋体"/>
          <w:kern w:val="0"/>
          <w:szCs w:val="28"/>
        </w:rPr>
        <w:t>，从业人员</w:t>
      </w:r>
      <w:r>
        <w:rPr>
          <w:rFonts w:hint="eastAsia" w:ascii="宋体" w:hAnsi="宋体" w:cs="宋体"/>
          <w:kern w:val="0"/>
          <w:szCs w:val="28"/>
          <w:u w:val="single"/>
        </w:rPr>
        <w:t xml:space="preserve"> </w:t>
      </w:r>
      <w:r>
        <w:rPr>
          <w:rFonts w:hint="eastAsia" w:ascii="宋体" w:hAnsi="宋体" w:cs="宋体"/>
          <w:kern w:val="0"/>
          <w:szCs w:val="28"/>
          <w:u w:val="single"/>
        </w:rPr>
        <w:tab/>
      </w:r>
      <w:r>
        <w:rPr>
          <w:rFonts w:hint="eastAsia" w:ascii="宋体" w:hAnsi="宋体" w:cs="宋体"/>
          <w:kern w:val="0"/>
          <w:szCs w:val="28"/>
        </w:rPr>
        <w:t>人，营业收入为</w:t>
      </w:r>
      <w:r>
        <w:rPr>
          <w:rFonts w:hint="eastAsia" w:ascii="宋体" w:hAnsi="宋体" w:cs="宋体"/>
          <w:kern w:val="0"/>
          <w:szCs w:val="28"/>
          <w:u w:val="single"/>
        </w:rPr>
        <w:t xml:space="preserve"> </w:t>
      </w:r>
      <w:r>
        <w:rPr>
          <w:rFonts w:hint="eastAsia" w:ascii="宋体" w:hAnsi="宋体" w:cs="宋体"/>
          <w:kern w:val="0"/>
          <w:szCs w:val="28"/>
          <w:u w:val="single"/>
        </w:rPr>
        <w:tab/>
      </w:r>
      <w:r>
        <w:rPr>
          <w:rFonts w:hint="eastAsia" w:ascii="宋体" w:hAnsi="宋体" w:cs="宋体"/>
          <w:kern w:val="0"/>
          <w:szCs w:val="28"/>
        </w:rPr>
        <w:t>万元，资产总额为</w:t>
      </w:r>
      <w:r>
        <w:rPr>
          <w:rFonts w:hint="eastAsia" w:ascii="宋体" w:hAnsi="宋体" w:cs="宋体"/>
          <w:kern w:val="0"/>
          <w:szCs w:val="28"/>
          <w:u w:val="single"/>
        </w:rPr>
        <w:t xml:space="preserve"> </w:t>
      </w:r>
      <w:r>
        <w:rPr>
          <w:rFonts w:hint="eastAsia" w:ascii="宋体" w:hAnsi="宋体" w:cs="宋体"/>
          <w:kern w:val="0"/>
          <w:szCs w:val="28"/>
          <w:u w:val="single"/>
        </w:rPr>
        <w:tab/>
      </w:r>
      <w:r>
        <w:rPr>
          <w:rFonts w:hint="eastAsia" w:ascii="宋体" w:hAnsi="宋体" w:cs="宋体"/>
          <w:kern w:val="0"/>
          <w:szCs w:val="28"/>
        </w:rPr>
        <w:t>万元</w:t>
      </w:r>
      <w:r>
        <w:rPr>
          <w:rFonts w:hint="eastAsia" w:ascii="宋体" w:hAnsi="宋体" w:cs="宋体"/>
          <w:kern w:val="0"/>
          <w:szCs w:val="28"/>
          <w:vertAlign w:val="superscript"/>
        </w:rPr>
        <w:footnoteReference w:id="0"/>
      </w:r>
      <w:r>
        <w:rPr>
          <w:rFonts w:hint="eastAsia" w:ascii="宋体" w:hAnsi="宋体" w:cs="宋体"/>
          <w:kern w:val="0"/>
          <w:szCs w:val="28"/>
        </w:rPr>
        <w:t>，属于</w:t>
      </w:r>
      <w:r>
        <w:rPr>
          <w:rFonts w:hint="eastAsia" w:ascii="宋体" w:hAnsi="宋体" w:cs="宋体"/>
          <w:kern w:val="0"/>
          <w:szCs w:val="28"/>
          <w:u w:val="single"/>
        </w:rPr>
        <w:t>（中型企业、小型企业、微型企业）</w:t>
      </w:r>
      <w:r>
        <w:rPr>
          <w:rFonts w:hint="eastAsia" w:ascii="宋体" w:hAnsi="宋体" w:cs="宋体"/>
          <w:kern w:val="0"/>
          <w:szCs w:val="28"/>
        </w:rPr>
        <w:t>；</w:t>
      </w:r>
    </w:p>
    <w:p w14:paraId="4B569EC2">
      <w:pPr>
        <w:adjustRightInd w:val="0"/>
        <w:snapToGrid w:val="0"/>
        <w:spacing w:line="600" w:lineRule="exact"/>
        <w:ind w:firstLine="560"/>
        <w:jc w:val="left"/>
        <w:rPr>
          <w:rFonts w:ascii="宋体" w:hAnsi="宋体" w:cs="宋体"/>
          <w:kern w:val="0"/>
          <w:szCs w:val="28"/>
        </w:rPr>
      </w:pPr>
      <w:r>
        <w:rPr>
          <w:rFonts w:hint="eastAsia" w:ascii="宋体" w:hAnsi="宋体" w:cs="宋体"/>
          <w:kern w:val="0"/>
          <w:szCs w:val="28"/>
        </w:rPr>
        <w:t xml:space="preserve">2. </w:t>
      </w:r>
      <w:r>
        <w:rPr>
          <w:rFonts w:hint="eastAsia" w:ascii="宋体" w:hAnsi="宋体" w:cs="宋体"/>
          <w:kern w:val="0"/>
          <w:szCs w:val="28"/>
          <w:u w:val="single"/>
        </w:rPr>
        <w:t>（标的名称）</w:t>
      </w:r>
      <w:r>
        <w:rPr>
          <w:rFonts w:hint="eastAsia" w:ascii="宋体" w:hAnsi="宋体" w:cs="宋体"/>
          <w:kern w:val="0"/>
          <w:szCs w:val="28"/>
        </w:rPr>
        <w:t>，属于</w:t>
      </w:r>
      <w:r>
        <w:rPr>
          <w:rFonts w:hint="eastAsia" w:ascii="宋体" w:hAnsi="宋体" w:cs="宋体"/>
          <w:kern w:val="0"/>
          <w:szCs w:val="28"/>
          <w:u w:val="single"/>
        </w:rPr>
        <w:t>（采购文件中明确的所属行业）</w:t>
      </w:r>
      <w:r>
        <w:rPr>
          <w:rFonts w:hint="eastAsia" w:ascii="宋体" w:hAnsi="宋体" w:cs="宋体"/>
          <w:kern w:val="0"/>
          <w:szCs w:val="28"/>
        </w:rPr>
        <w:t>；承接企业为</w:t>
      </w:r>
      <w:r>
        <w:rPr>
          <w:rFonts w:hint="eastAsia" w:ascii="宋体" w:hAnsi="宋体" w:cs="宋体"/>
          <w:kern w:val="0"/>
          <w:szCs w:val="28"/>
          <w:u w:val="single"/>
        </w:rPr>
        <w:t>（企业名称）</w:t>
      </w:r>
      <w:r>
        <w:rPr>
          <w:rFonts w:hint="eastAsia" w:ascii="宋体" w:hAnsi="宋体" w:cs="宋体"/>
          <w:kern w:val="0"/>
          <w:szCs w:val="28"/>
        </w:rPr>
        <w:t>，从业人员</w:t>
      </w:r>
      <w:r>
        <w:rPr>
          <w:rFonts w:hint="eastAsia" w:ascii="宋体" w:hAnsi="宋体" w:cs="宋体"/>
          <w:kern w:val="0"/>
          <w:szCs w:val="28"/>
          <w:u w:val="single"/>
        </w:rPr>
        <w:t xml:space="preserve"> </w:t>
      </w:r>
      <w:r>
        <w:rPr>
          <w:rFonts w:hint="eastAsia" w:ascii="宋体" w:hAnsi="宋体" w:cs="宋体"/>
          <w:kern w:val="0"/>
          <w:szCs w:val="28"/>
          <w:u w:val="single"/>
        </w:rPr>
        <w:tab/>
      </w:r>
      <w:r>
        <w:rPr>
          <w:rFonts w:hint="eastAsia" w:ascii="宋体" w:hAnsi="宋体" w:cs="宋体"/>
          <w:kern w:val="0"/>
          <w:szCs w:val="28"/>
        </w:rPr>
        <w:t>人，营业收入为</w:t>
      </w:r>
      <w:r>
        <w:rPr>
          <w:rFonts w:hint="eastAsia" w:ascii="宋体" w:hAnsi="宋体" w:cs="宋体"/>
          <w:kern w:val="0"/>
          <w:szCs w:val="28"/>
          <w:u w:val="single"/>
        </w:rPr>
        <w:t xml:space="preserve"> </w:t>
      </w:r>
      <w:r>
        <w:rPr>
          <w:rFonts w:hint="eastAsia" w:ascii="宋体" w:hAnsi="宋体" w:cs="宋体"/>
          <w:kern w:val="0"/>
          <w:szCs w:val="28"/>
          <w:u w:val="single"/>
        </w:rPr>
        <w:tab/>
      </w:r>
      <w:r>
        <w:rPr>
          <w:rFonts w:hint="eastAsia" w:ascii="宋体" w:hAnsi="宋体" w:cs="宋体"/>
          <w:kern w:val="0"/>
          <w:szCs w:val="28"/>
        </w:rPr>
        <w:t>万元，资产总额为</w:t>
      </w:r>
      <w:r>
        <w:rPr>
          <w:rFonts w:hint="eastAsia" w:ascii="宋体" w:hAnsi="宋体" w:cs="宋体"/>
          <w:kern w:val="0"/>
          <w:szCs w:val="28"/>
          <w:u w:val="single"/>
        </w:rPr>
        <w:t xml:space="preserve"> </w:t>
      </w:r>
      <w:r>
        <w:rPr>
          <w:rFonts w:hint="eastAsia" w:ascii="宋体" w:hAnsi="宋体" w:cs="宋体"/>
          <w:kern w:val="0"/>
          <w:szCs w:val="28"/>
          <w:u w:val="single"/>
        </w:rPr>
        <w:tab/>
      </w:r>
      <w:r>
        <w:rPr>
          <w:rFonts w:hint="eastAsia" w:ascii="宋体" w:hAnsi="宋体" w:cs="宋体"/>
          <w:kern w:val="0"/>
          <w:szCs w:val="28"/>
        </w:rPr>
        <w:t>万元，属于</w:t>
      </w:r>
      <w:r>
        <w:rPr>
          <w:rFonts w:hint="eastAsia" w:ascii="宋体" w:hAnsi="宋体" w:cs="宋体"/>
          <w:kern w:val="0"/>
          <w:szCs w:val="28"/>
          <w:u w:val="single"/>
        </w:rPr>
        <w:t>（中型企业、小型企业、微型企业）</w:t>
      </w:r>
      <w:r>
        <w:rPr>
          <w:rFonts w:hint="eastAsia" w:ascii="宋体" w:hAnsi="宋体" w:cs="宋体"/>
          <w:kern w:val="0"/>
          <w:szCs w:val="28"/>
        </w:rPr>
        <w:t>；</w:t>
      </w:r>
    </w:p>
    <w:p w14:paraId="2F91D983">
      <w:pPr>
        <w:adjustRightInd w:val="0"/>
        <w:snapToGrid w:val="0"/>
        <w:spacing w:line="600" w:lineRule="exact"/>
        <w:ind w:firstLine="560"/>
        <w:jc w:val="left"/>
        <w:rPr>
          <w:rFonts w:ascii="宋体" w:hAnsi="宋体" w:cs="宋体"/>
          <w:kern w:val="0"/>
          <w:szCs w:val="28"/>
        </w:rPr>
      </w:pPr>
      <w:r>
        <w:rPr>
          <w:rFonts w:hint="eastAsia" w:ascii="宋体" w:hAnsi="宋体" w:cs="宋体"/>
          <w:kern w:val="0"/>
          <w:szCs w:val="28"/>
        </w:rPr>
        <w:t xml:space="preserve">…… </w:t>
      </w:r>
    </w:p>
    <w:p w14:paraId="01FFC23C">
      <w:pPr>
        <w:adjustRightInd w:val="0"/>
        <w:snapToGrid w:val="0"/>
        <w:spacing w:line="600" w:lineRule="exact"/>
        <w:ind w:firstLine="560"/>
        <w:jc w:val="left"/>
        <w:rPr>
          <w:rFonts w:ascii="宋体" w:hAnsi="宋体" w:cs="宋体"/>
          <w:kern w:val="0"/>
          <w:szCs w:val="28"/>
        </w:rPr>
      </w:pPr>
      <w:r>
        <w:rPr>
          <w:rFonts w:hint="eastAsia" w:ascii="宋体" w:hAnsi="宋体" w:cs="宋体"/>
          <w:kern w:val="0"/>
          <w:szCs w:val="28"/>
        </w:rPr>
        <w:t>以上企业，不属于大企业的分支机构，不存在控股股东为大企业的情形，也不存在与大企业的负责人为同一人的情形。</w:t>
      </w:r>
    </w:p>
    <w:p w14:paraId="4B4A7608">
      <w:pPr>
        <w:adjustRightInd w:val="0"/>
        <w:snapToGrid w:val="0"/>
        <w:spacing w:line="600" w:lineRule="exact"/>
        <w:ind w:firstLine="560"/>
        <w:jc w:val="left"/>
        <w:rPr>
          <w:rFonts w:ascii="宋体" w:hAnsi="宋体" w:cs="宋体"/>
          <w:kern w:val="0"/>
          <w:szCs w:val="28"/>
        </w:rPr>
      </w:pPr>
      <w:r>
        <w:rPr>
          <w:rFonts w:hint="eastAsia" w:ascii="宋体" w:hAnsi="宋体" w:cs="宋体"/>
          <w:kern w:val="0"/>
          <w:szCs w:val="28"/>
        </w:rPr>
        <w:t>本企业对上述声明内容的真实性负责。如有虚假，将依法承担相应责任。</w:t>
      </w:r>
    </w:p>
    <w:p w14:paraId="28D713A0">
      <w:pPr>
        <w:adjustRightInd w:val="0"/>
        <w:snapToGrid w:val="0"/>
        <w:spacing w:line="600" w:lineRule="exact"/>
        <w:ind w:firstLine="4111"/>
        <w:jc w:val="left"/>
        <w:rPr>
          <w:rFonts w:ascii="宋体" w:hAnsi="宋体" w:cs="宋体"/>
          <w:kern w:val="0"/>
          <w:szCs w:val="28"/>
        </w:rPr>
      </w:pPr>
    </w:p>
    <w:p w14:paraId="13ACD7E9">
      <w:pPr>
        <w:adjustRightInd w:val="0"/>
        <w:snapToGrid w:val="0"/>
        <w:spacing w:line="600" w:lineRule="exact"/>
        <w:ind w:firstLine="4111"/>
        <w:jc w:val="left"/>
        <w:rPr>
          <w:rFonts w:ascii="宋体" w:hAnsi="宋体" w:cs="宋体"/>
          <w:kern w:val="0"/>
          <w:szCs w:val="28"/>
        </w:rPr>
      </w:pPr>
      <w:r>
        <w:rPr>
          <w:rFonts w:hint="eastAsia" w:ascii="宋体" w:hAnsi="宋体" w:cs="宋体"/>
          <w:kern w:val="0"/>
          <w:szCs w:val="28"/>
        </w:rPr>
        <w:t>企业名称（盖章）：</w:t>
      </w:r>
    </w:p>
    <w:p w14:paraId="247ADCC4">
      <w:pPr>
        <w:widowControl/>
        <w:spacing w:line="600" w:lineRule="exact"/>
        <w:ind w:firstLine="4108" w:firstLineChars="1712"/>
        <w:jc w:val="left"/>
        <w:rPr>
          <w:rFonts w:ascii="宋体" w:hAnsi="宋体" w:cs="宋体"/>
          <w:kern w:val="0"/>
          <w:szCs w:val="28"/>
        </w:rPr>
      </w:pPr>
      <w:r>
        <w:rPr>
          <w:rFonts w:hint="eastAsia" w:ascii="宋体" w:hAnsi="宋体" w:cs="宋体"/>
          <w:kern w:val="0"/>
          <w:szCs w:val="28"/>
        </w:rPr>
        <w:t>日 期：</w:t>
      </w:r>
    </w:p>
    <w:p w14:paraId="2C455678">
      <w:pPr>
        <w:pStyle w:val="40"/>
        <w:spacing w:line="600" w:lineRule="exact"/>
        <w:rPr>
          <w:rFonts w:cs="宋体"/>
          <w:szCs w:val="28"/>
        </w:rPr>
      </w:pPr>
    </w:p>
    <w:p w14:paraId="57591BE1">
      <w:pPr>
        <w:spacing w:line="600" w:lineRule="exact"/>
        <w:rPr>
          <w:rFonts w:cs="宋体"/>
          <w:szCs w:val="28"/>
        </w:rPr>
      </w:pPr>
      <w:r>
        <w:rPr>
          <w:rFonts w:hint="eastAsia" w:ascii="宋体" w:hAnsi="宋体" w:cs="宋体"/>
        </w:rPr>
        <w:t>注：从业人员、营业收入、资产总额填报上一年度数据，无上一年度数据的新成立企业可不填报。</w:t>
      </w:r>
    </w:p>
    <w:p w14:paraId="79E70CAD">
      <w:r>
        <w:rPr>
          <w:rFonts w:hint="eastAsia"/>
        </w:rPr>
        <w:br w:type="page"/>
      </w:r>
    </w:p>
    <w:p w14:paraId="10597D88">
      <w:pPr>
        <w:snapToGrid w:val="0"/>
        <w:spacing w:line="600" w:lineRule="exact"/>
        <w:outlineLvl w:val="1"/>
        <w:rPr>
          <w:rFonts w:ascii="宋体" w:hAnsi="宋体" w:cs="宋体"/>
          <w:sz w:val="32"/>
          <w:szCs w:val="32"/>
        </w:rPr>
      </w:pPr>
      <w:r>
        <w:rPr>
          <w:rFonts w:hint="eastAsia" w:ascii="宋体" w:hAnsi="宋体" w:cs="宋体"/>
          <w:sz w:val="32"/>
          <w:szCs w:val="32"/>
        </w:rPr>
        <w:t>附件2：</w:t>
      </w:r>
      <w:bookmarkStart w:id="127" w:name="OLE_LINK13"/>
      <w:bookmarkStart w:id="128" w:name="OLE_LINK14"/>
      <w:r>
        <w:rPr>
          <w:rFonts w:hint="eastAsia" w:ascii="宋体" w:hAnsi="宋体" w:cs="宋体"/>
          <w:sz w:val="32"/>
          <w:szCs w:val="32"/>
        </w:rPr>
        <w:t>残疾人福利性单位声明函</w:t>
      </w:r>
    </w:p>
    <w:bookmarkEnd w:id="127"/>
    <w:bookmarkEnd w:id="128"/>
    <w:p w14:paraId="3E563ADB">
      <w:pPr>
        <w:spacing w:line="600" w:lineRule="exact"/>
        <w:ind w:firstLine="504" w:firstLineChars="200"/>
        <w:rPr>
          <w:rFonts w:ascii="宋体" w:hAnsi="宋体" w:cs="宋体"/>
          <w:spacing w:val="6"/>
        </w:rPr>
      </w:pPr>
      <w:r>
        <w:rPr>
          <w:rFonts w:hint="eastAsia" w:ascii="宋体" w:hAnsi="宋体" w:cs="宋体"/>
          <w:spacing w:val="6"/>
        </w:rPr>
        <w:t>本单位郑重声明，根据《财政部民政部中国残疾人联合会关于促进残疾人就业政府采购政策的通知》（财库</w:t>
      </w:r>
      <w:r>
        <w:rPr>
          <w:rFonts w:hint="eastAsia" w:ascii="宋体" w:hAnsi="宋体" w:cs="宋体"/>
        </w:rPr>
        <w:t>〔2017〕141</w:t>
      </w:r>
      <w:r>
        <w:rPr>
          <w:rFonts w:hint="eastAsia" w:ascii="宋体" w:hAnsi="宋体" w:cs="宋体"/>
          <w:spacing w:val="6"/>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1F42B40">
      <w:pPr>
        <w:spacing w:line="600" w:lineRule="exact"/>
        <w:ind w:firstLine="504" w:firstLineChars="200"/>
        <w:rPr>
          <w:rFonts w:ascii="宋体" w:hAnsi="宋体" w:cs="宋体"/>
          <w:spacing w:val="6"/>
        </w:rPr>
      </w:pPr>
      <w:r>
        <w:rPr>
          <w:rFonts w:hint="eastAsia" w:ascii="宋体" w:hAnsi="宋体" w:cs="宋体"/>
          <w:spacing w:val="6"/>
        </w:rPr>
        <w:t>本单位对上述声明的真实性负责。如有虚假，将依法承担相应责任。</w:t>
      </w:r>
    </w:p>
    <w:p w14:paraId="5B842B31">
      <w:pPr>
        <w:spacing w:line="600" w:lineRule="exact"/>
        <w:ind w:firstLine="504" w:firstLineChars="200"/>
        <w:rPr>
          <w:rFonts w:ascii="宋体" w:hAnsi="宋体" w:cs="宋体"/>
          <w:spacing w:val="6"/>
        </w:rPr>
      </w:pPr>
    </w:p>
    <w:p w14:paraId="0C93A713">
      <w:pPr>
        <w:spacing w:line="600" w:lineRule="exact"/>
        <w:ind w:firstLine="504" w:firstLineChars="200"/>
        <w:rPr>
          <w:rFonts w:ascii="宋体" w:hAnsi="宋体" w:cs="宋体"/>
          <w:spacing w:val="6"/>
        </w:rPr>
      </w:pPr>
    </w:p>
    <w:p w14:paraId="69CCE6CD">
      <w:pPr>
        <w:tabs>
          <w:tab w:val="left" w:pos="4860"/>
        </w:tabs>
        <w:spacing w:line="600" w:lineRule="exact"/>
        <w:ind w:firstLine="504" w:firstLineChars="200"/>
        <w:jc w:val="center"/>
        <w:rPr>
          <w:rFonts w:ascii="宋体" w:hAnsi="宋体" w:cs="宋体"/>
          <w:spacing w:val="6"/>
        </w:rPr>
      </w:pPr>
      <w:r>
        <w:rPr>
          <w:rFonts w:hint="eastAsia" w:ascii="宋体" w:hAnsi="宋体" w:cs="宋体"/>
          <w:spacing w:val="6"/>
        </w:rPr>
        <w:t>单位名称（盖章）：</w:t>
      </w:r>
    </w:p>
    <w:p w14:paraId="023C79B6">
      <w:pPr>
        <w:tabs>
          <w:tab w:val="left" w:pos="4860"/>
        </w:tabs>
        <w:spacing w:line="600" w:lineRule="exact"/>
        <w:ind w:firstLine="504" w:firstLineChars="200"/>
        <w:jc w:val="center"/>
        <w:rPr>
          <w:rFonts w:ascii="宋体" w:hAnsi="宋体" w:cs="宋体"/>
          <w:spacing w:val="6"/>
        </w:rPr>
      </w:pPr>
      <w:r>
        <w:rPr>
          <w:rFonts w:hint="eastAsia" w:ascii="宋体" w:hAnsi="宋体" w:cs="宋体"/>
          <w:spacing w:val="6"/>
        </w:rPr>
        <w:t>日期：</w:t>
      </w:r>
    </w:p>
    <w:p w14:paraId="4CA81F51">
      <w:pPr>
        <w:spacing w:line="600" w:lineRule="exact"/>
        <w:rPr>
          <w:rFonts w:ascii="宋体" w:hAnsi="宋体" w:cs="宋体"/>
        </w:rPr>
      </w:pPr>
      <w:r>
        <w:rPr>
          <w:rFonts w:hint="eastAsia" w:ascii="宋体" w:hAnsi="宋体" w:cs="宋体"/>
        </w:rPr>
        <w:t>注：</w:t>
      </w:r>
    </w:p>
    <w:p w14:paraId="37DFCA62">
      <w:pPr>
        <w:spacing w:line="600" w:lineRule="exact"/>
        <w:rPr>
          <w:rFonts w:ascii="宋体" w:hAnsi="宋体" w:cs="宋体"/>
        </w:rPr>
      </w:pPr>
      <w:r>
        <w:rPr>
          <w:rFonts w:hint="eastAsia" w:ascii="宋体" w:hAnsi="宋体" w:cs="宋体"/>
        </w:rPr>
        <w:t>1、残疾人福利性单位视同小型、微型企业，享受预留份额、评审中价格扣除等促进中小企业发展的政府采购政策。残疾人福利性单位属于小型、微型企业的，不重复享受政策。</w:t>
      </w:r>
    </w:p>
    <w:p w14:paraId="1EAC14A6">
      <w:pPr>
        <w:spacing w:line="600" w:lineRule="exact"/>
        <w:rPr>
          <w:rFonts w:ascii="宋体" w:hAnsi="宋体" w:cs="宋体"/>
        </w:rPr>
      </w:pPr>
      <w:r>
        <w:rPr>
          <w:rFonts w:hint="eastAsia" w:ascii="宋体" w:hAnsi="宋体" w:cs="宋体"/>
        </w:rPr>
        <w:t>2、供应商为非残疾人福利性单位的，可不提供此声明。</w:t>
      </w:r>
    </w:p>
    <w:p w14:paraId="7CF36E4C">
      <w:pPr>
        <w:spacing w:line="600" w:lineRule="exact"/>
        <w:rPr>
          <w:rFonts w:ascii="宋体" w:hAnsi="宋体" w:cs="宋体"/>
        </w:rPr>
      </w:pPr>
      <w:r>
        <w:rPr>
          <w:rFonts w:hint="eastAsia" w:ascii="宋体" w:hAnsi="宋体" w:cs="宋体"/>
        </w:rPr>
        <w:br w:type="page"/>
      </w:r>
    </w:p>
    <w:p w14:paraId="1E133012">
      <w:pPr>
        <w:snapToGrid w:val="0"/>
        <w:spacing w:line="600" w:lineRule="exact"/>
        <w:outlineLvl w:val="1"/>
        <w:rPr>
          <w:rFonts w:ascii="宋体" w:hAnsi="宋体" w:cs="宋体"/>
          <w:sz w:val="32"/>
          <w:szCs w:val="32"/>
        </w:rPr>
      </w:pPr>
      <w:r>
        <w:rPr>
          <w:rFonts w:hint="eastAsia" w:ascii="宋体" w:hAnsi="宋体" w:cs="宋体"/>
          <w:sz w:val="32"/>
          <w:szCs w:val="32"/>
        </w:rPr>
        <w:t>附件3：监狱企业证明文件（如有）</w:t>
      </w:r>
    </w:p>
    <w:p w14:paraId="4FB4FD4A">
      <w:pPr>
        <w:spacing w:line="600" w:lineRule="exact"/>
        <w:ind w:firstLine="504" w:firstLineChars="200"/>
        <w:rPr>
          <w:rFonts w:ascii="宋体" w:hAnsi="宋体" w:cs="宋体"/>
          <w:spacing w:val="6"/>
        </w:rPr>
      </w:pPr>
      <w:r>
        <w:rPr>
          <w:rFonts w:hint="eastAsia" w:ascii="宋体" w:hAnsi="宋体" w:cs="宋体"/>
          <w:spacing w:val="6"/>
        </w:rPr>
        <w:t>根据《财政部 司法部关于政府采购支持监狱企业发展有关问题的通知》（财库[2014]68号）文件规定，监狱企业参加政府采购活动时，应当提供由省级以上监狱管理局、戒毒管理局（含新疆生产建设兵团）出具的属于监狱企业的证明文件。</w:t>
      </w:r>
    </w:p>
    <w:p w14:paraId="4E1BE475">
      <w:pPr>
        <w:spacing w:line="600" w:lineRule="exact"/>
        <w:ind w:firstLine="504" w:firstLineChars="200"/>
        <w:rPr>
          <w:rFonts w:ascii="宋体" w:hAnsi="宋体" w:cs="宋体"/>
          <w:spacing w:val="6"/>
        </w:rPr>
      </w:pPr>
      <w:r>
        <w:rPr>
          <w:rFonts w:hint="eastAsia" w:ascii="宋体" w:hAnsi="宋体" w:cs="宋体"/>
          <w:spacing w:val="6"/>
        </w:rPr>
        <w:t>本公司对上述声明的真实性负责。如有虚假，将依法承担相应责任。</w:t>
      </w:r>
    </w:p>
    <w:p w14:paraId="6135BB16">
      <w:pPr>
        <w:tabs>
          <w:tab w:val="left" w:pos="4860"/>
        </w:tabs>
        <w:spacing w:line="600" w:lineRule="exact"/>
        <w:ind w:firstLine="504" w:firstLineChars="200"/>
        <w:jc w:val="center"/>
        <w:rPr>
          <w:rFonts w:ascii="宋体" w:hAnsi="宋体" w:cs="宋体"/>
          <w:spacing w:val="6"/>
        </w:rPr>
      </w:pPr>
    </w:p>
    <w:p w14:paraId="43CA8CF2">
      <w:pPr>
        <w:tabs>
          <w:tab w:val="left" w:pos="4860"/>
        </w:tabs>
        <w:spacing w:line="600" w:lineRule="exact"/>
        <w:ind w:firstLine="504" w:firstLineChars="200"/>
        <w:jc w:val="center"/>
        <w:rPr>
          <w:rFonts w:ascii="宋体" w:hAnsi="宋体" w:cs="宋体"/>
          <w:spacing w:val="6"/>
        </w:rPr>
      </w:pPr>
    </w:p>
    <w:p w14:paraId="6B9F2A82">
      <w:pPr>
        <w:tabs>
          <w:tab w:val="left" w:pos="4860"/>
        </w:tabs>
        <w:spacing w:line="600" w:lineRule="exact"/>
        <w:ind w:firstLine="504" w:firstLineChars="200"/>
        <w:jc w:val="center"/>
        <w:rPr>
          <w:rFonts w:ascii="宋体" w:hAnsi="宋体" w:cs="宋体"/>
          <w:spacing w:val="6"/>
        </w:rPr>
      </w:pPr>
    </w:p>
    <w:p w14:paraId="28FC570B">
      <w:pPr>
        <w:tabs>
          <w:tab w:val="left" w:pos="4860"/>
        </w:tabs>
        <w:spacing w:line="600" w:lineRule="exact"/>
        <w:ind w:firstLine="504" w:firstLineChars="200"/>
        <w:jc w:val="center"/>
        <w:rPr>
          <w:rFonts w:ascii="宋体" w:hAnsi="宋体" w:cs="宋体"/>
          <w:spacing w:val="6"/>
        </w:rPr>
      </w:pPr>
      <w:r>
        <w:rPr>
          <w:rFonts w:hint="eastAsia" w:ascii="宋体" w:hAnsi="宋体" w:cs="宋体"/>
          <w:spacing w:val="6"/>
        </w:rPr>
        <w:t>单位名称（盖章）：</w:t>
      </w:r>
    </w:p>
    <w:p w14:paraId="10F5792D">
      <w:pPr>
        <w:tabs>
          <w:tab w:val="left" w:pos="4860"/>
        </w:tabs>
        <w:spacing w:line="600" w:lineRule="exact"/>
        <w:ind w:firstLine="504" w:firstLineChars="200"/>
        <w:jc w:val="center"/>
        <w:rPr>
          <w:rFonts w:ascii="宋体" w:hAnsi="宋体" w:cs="宋体"/>
          <w:spacing w:val="6"/>
        </w:rPr>
      </w:pPr>
      <w:r>
        <w:rPr>
          <w:rFonts w:hint="eastAsia" w:ascii="宋体" w:hAnsi="宋体" w:cs="宋体"/>
          <w:spacing w:val="6"/>
        </w:rPr>
        <w:t>日期：</w:t>
      </w:r>
    </w:p>
    <w:p w14:paraId="2055457C">
      <w:pPr>
        <w:pStyle w:val="8"/>
        <w:spacing w:line="600" w:lineRule="exact"/>
        <w:ind w:firstLine="0"/>
        <w:rPr>
          <w:rFonts w:ascii="宋体" w:hAnsi="宋体" w:cs="宋体"/>
          <w:sz w:val="32"/>
          <w:szCs w:val="32"/>
        </w:rPr>
      </w:pPr>
    </w:p>
    <w:p w14:paraId="20911911">
      <w:pPr>
        <w:spacing w:line="600" w:lineRule="exact"/>
        <w:rPr>
          <w:rFonts w:ascii="宋体" w:hAnsi="宋体" w:cs="宋体"/>
        </w:rPr>
      </w:pPr>
      <w:r>
        <w:rPr>
          <w:rFonts w:hint="eastAsia" w:ascii="宋体" w:hAnsi="宋体" w:cs="宋体"/>
        </w:rPr>
        <w:t>注：</w:t>
      </w:r>
    </w:p>
    <w:p w14:paraId="3EF56FF3">
      <w:pPr>
        <w:spacing w:line="600" w:lineRule="exact"/>
        <w:rPr>
          <w:rFonts w:ascii="宋体" w:hAnsi="宋体" w:cs="宋体"/>
        </w:rPr>
      </w:pPr>
      <w:r>
        <w:rPr>
          <w:rFonts w:hint="eastAsia" w:ascii="宋体" w:hAnsi="宋体" w:cs="宋体"/>
        </w:rPr>
        <w:t>1、监狱企业视同小型、微型企业，享受预留份额、评审中价格扣除等促进中小企业发展的政府采购政策。监狱企业属于小型、微型企业的，不重复享受政策。</w:t>
      </w:r>
    </w:p>
    <w:p w14:paraId="45BDAB79">
      <w:pPr>
        <w:spacing w:line="600" w:lineRule="exact"/>
        <w:rPr>
          <w:rFonts w:ascii="宋体" w:hAnsi="宋体" w:cs="宋体"/>
          <w:sz w:val="32"/>
          <w:szCs w:val="32"/>
        </w:rPr>
      </w:pPr>
      <w:r>
        <w:rPr>
          <w:rFonts w:hint="eastAsia" w:ascii="宋体" w:hAnsi="宋体" w:cs="宋体"/>
        </w:rPr>
        <w:t>2、供应商为非监狱企业的，可不提供此声明。</w:t>
      </w:r>
    </w:p>
    <w:sectPr>
      <w:headerReference r:id="rId5" w:type="default"/>
      <w:footerReference r:id="rId6" w:type="default"/>
      <w:pgSz w:w="11906" w:h="16838"/>
      <w:pgMar w:top="1417" w:right="1474" w:bottom="1134" w:left="1474" w:header="851" w:footer="992" w:gutter="0"/>
      <w:pgNumType w:start="1"/>
      <w:cols w:space="720" w:num="1"/>
      <w:docGrid w:linePitch="579" w:charSpace="-142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Î¢ï¿½ï¿½ï¿½Åºï¿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panose1 w:val="02010609030101010101"/>
    <w:charset w:val="86"/>
    <w:family w:val="modern"/>
    <w:pitch w:val="default"/>
    <w:sig w:usb0="00000001" w:usb1="080E0000" w:usb2="00000000" w:usb3="00000000" w:csb0="00040000" w:csb1="00000000"/>
  </w:font>
  <w:font w:name="PingFangSC-Regular">
    <w:altName w:val="宋体"/>
    <w:panose1 w:val="00000000000000000000"/>
    <w:charset w:val="86"/>
    <w:family w:val="auto"/>
    <w:pitch w:val="default"/>
    <w:sig w:usb0="00000000" w:usb1="00000000" w:usb2="00000017"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5C68A">
    <w:pPr>
      <w:pStyle w:val="1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50D26">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B7197">
                          <w:pPr>
                            <w:pStyle w:val="1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2CB7197">
                    <w:pPr>
                      <w:pStyle w:val="1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3B590A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A7290">
    <w:pPr>
      <w:pStyle w:val="130"/>
      <w:pBdr>
        <w:bottom w:val="none" w:color="000000"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BFD85C"/>
    <w:multiLevelType w:val="singleLevel"/>
    <w:tmpl w:val="D1BFD85C"/>
    <w:lvl w:ilvl="0" w:tentative="0">
      <w:start w:val="1"/>
      <w:numFmt w:val="decimal"/>
      <w:lvlText w:val="%1."/>
      <w:lvlJc w:val="left"/>
      <w:pPr>
        <w:tabs>
          <w:tab w:val="left" w:pos="312"/>
        </w:tabs>
        <w:ind w:left="120" w:firstLine="0"/>
      </w:pPr>
    </w:lvl>
  </w:abstractNum>
  <w:abstractNum w:abstractNumId="1">
    <w:nsid w:val="0000001A"/>
    <w:multiLevelType w:val="multilevel"/>
    <w:tmpl w:val="0000001A"/>
    <w:lvl w:ilvl="0" w:tentative="0">
      <w:start w:val="1"/>
      <w:numFmt w:val="decimal"/>
      <w:pStyle w:val="99"/>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5CF051FD"/>
    <w:multiLevelType w:val="singleLevel"/>
    <w:tmpl w:val="5CF051FD"/>
    <w:lvl w:ilvl="0" w:tentative="0">
      <w:start w:val="1"/>
      <w:numFmt w:val="decimal"/>
      <w:lvlText w:val="%1."/>
      <w:lvlJc w:val="left"/>
      <w:pPr>
        <w:tabs>
          <w:tab w:val="left" w:pos="312"/>
        </w:tabs>
      </w:pPr>
    </w:lvl>
  </w:abstractNum>
  <w:abstractNum w:abstractNumId="3">
    <w:nsid w:val="6BB24FC0"/>
    <w:multiLevelType w:val="multilevel"/>
    <w:tmpl w:val="6BB24FC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4676622"/>
    <w:multiLevelType w:val="multilevel"/>
    <w:tmpl w:val="74676622"/>
    <w:lvl w:ilvl="0" w:tentative="0">
      <w:start w:val="1"/>
      <w:numFmt w:val="decimal"/>
      <w:lvlText w:val="3.%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0"/>
  <w:drawingGridVerticalSpacing w:val="156"/>
  <w:noPunctuationKerning w:val="1"/>
  <w:characterSpacingControl w:val="compressPunctuation"/>
  <w:doNotValidateAgainstSchema/>
  <w:doNotDemarcateInvalidXml/>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087"/>
    <w:rsid w:val="00070301"/>
    <w:rsid w:val="000803F5"/>
    <w:rsid w:val="0009385C"/>
    <w:rsid w:val="00217874"/>
    <w:rsid w:val="002B307A"/>
    <w:rsid w:val="00466087"/>
    <w:rsid w:val="00690BBB"/>
    <w:rsid w:val="006C3274"/>
    <w:rsid w:val="00714946"/>
    <w:rsid w:val="00724903"/>
    <w:rsid w:val="007A0C0A"/>
    <w:rsid w:val="007F7662"/>
    <w:rsid w:val="00813C5B"/>
    <w:rsid w:val="008E3A53"/>
    <w:rsid w:val="008E4672"/>
    <w:rsid w:val="0091528F"/>
    <w:rsid w:val="00950240"/>
    <w:rsid w:val="00A05CCA"/>
    <w:rsid w:val="00A35F66"/>
    <w:rsid w:val="00A5171D"/>
    <w:rsid w:val="00A81D22"/>
    <w:rsid w:val="00B162C9"/>
    <w:rsid w:val="00C11304"/>
    <w:rsid w:val="00C76EAD"/>
    <w:rsid w:val="00DA7FA6"/>
    <w:rsid w:val="00DD6F4F"/>
    <w:rsid w:val="00DE65A6"/>
    <w:rsid w:val="00E40880"/>
    <w:rsid w:val="00E81FFA"/>
    <w:rsid w:val="00EA3E04"/>
    <w:rsid w:val="00F56E08"/>
    <w:rsid w:val="00F82BE2"/>
    <w:rsid w:val="012C4839"/>
    <w:rsid w:val="01C7267B"/>
    <w:rsid w:val="02DA1B05"/>
    <w:rsid w:val="02DA1F3A"/>
    <w:rsid w:val="02EB406C"/>
    <w:rsid w:val="03A72764"/>
    <w:rsid w:val="03FF56CD"/>
    <w:rsid w:val="043A7135"/>
    <w:rsid w:val="063876A4"/>
    <w:rsid w:val="06C278B5"/>
    <w:rsid w:val="07726BE5"/>
    <w:rsid w:val="078A03D3"/>
    <w:rsid w:val="07EF6488"/>
    <w:rsid w:val="08021C9A"/>
    <w:rsid w:val="08AB18BC"/>
    <w:rsid w:val="0A595E3B"/>
    <w:rsid w:val="0B93537C"/>
    <w:rsid w:val="0BAD643E"/>
    <w:rsid w:val="0BED2CDE"/>
    <w:rsid w:val="0D054058"/>
    <w:rsid w:val="0E155E70"/>
    <w:rsid w:val="0E1622B8"/>
    <w:rsid w:val="0E197DBB"/>
    <w:rsid w:val="0E386A59"/>
    <w:rsid w:val="0E567CB6"/>
    <w:rsid w:val="0E820056"/>
    <w:rsid w:val="0E8E78D5"/>
    <w:rsid w:val="0EDA0330"/>
    <w:rsid w:val="0F2729AB"/>
    <w:rsid w:val="0F59068B"/>
    <w:rsid w:val="11D706B9"/>
    <w:rsid w:val="11FEC58A"/>
    <w:rsid w:val="13201BEB"/>
    <w:rsid w:val="13AF6871"/>
    <w:rsid w:val="13C61B7D"/>
    <w:rsid w:val="14101C60"/>
    <w:rsid w:val="14FD3004"/>
    <w:rsid w:val="155E626C"/>
    <w:rsid w:val="15794927"/>
    <w:rsid w:val="159E00F5"/>
    <w:rsid w:val="15BE749A"/>
    <w:rsid w:val="16482F1B"/>
    <w:rsid w:val="16A909BC"/>
    <w:rsid w:val="178E7A6B"/>
    <w:rsid w:val="17DB2818"/>
    <w:rsid w:val="18243302"/>
    <w:rsid w:val="183C74C7"/>
    <w:rsid w:val="198656A5"/>
    <w:rsid w:val="19F23DCA"/>
    <w:rsid w:val="1A07140F"/>
    <w:rsid w:val="1A361CF4"/>
    <w:rsid w:val="1A7A6085"/>
    <w:rsid w:val="1B1B4F57"/>
    <w:rsid w:val="1B7F1479"/>
    <w:rsid w:val="1B854C33"/>
    <w:rsid w:val="1CD13F56"/>
    <w:rsid w:val="1EEF39FA"/>
    <w:rsid w:val="1F51312D"/>
    <w:rsid w:val="1FBF109E"/>
    <w:rsid w:val="20032679"/>
    <w:rsid w:val="20157FD3"/>
    <w:rsid w:val="201B3E66"/>
    <w:rsid w:val="20B10327"/>
    <w:rsid w:val="20B53316"/>
    <w:rsid w:val="20BB72C4"/>
    <w:rsid w:val="21A51D10"/>
    <w:rsid w:val="21B6F0D2"/>
    <w:rsid w:val="22284619"/>
    <w:rsid w:val="22CE3412"/>
    <w:rsid w:val="22FA4207"/>
    <w:rsid w:val="232171A8"/>
    <w:rsid w:val="23DC5358"/>
    <w:rsid w:val="243523CB"/>
    <w:rsid w:val="2440195E"/>
    <w:rsid w:val="24A106B2"/>
    <w:rsid w:val="25021151"/>
    <w:rsid w:val="25427059"/>
    <w:rsid w:val="25FA451E"/>
    <w:rsid w:val="26093A26"/>
    <w:rsid w:val="264D6D44"/>
    <w:rsid w:val="26FC7203"/>
    <w:rsid w:val="27363334"/>
    <w:rsid w:val="273C6392"/>
    <w:rsid w:val="27D56FF1"/>
    <w:rsid w:val="28497097"/>
    <w:rsid w:val="286914E7"/>
    <w:rsid w:val="28C826B1"/>
    <w:rsid w:val="28E924BD"/>
    <w:rsid w:val="2A364AEF"/>
    <w:rsid w:val="2AEB58C2"/>
    <w:rsid w:val="2B1716CE"/>
    <w:rsid w:val="2B1C5750"/>
    <w:rsid w:val="2BAA609E"/>
    <w:rsid w:val="2BEC66B7"/>
    <w:rsid w:val="2CB43B90"/>
    <w:rsid w:val="2CE51A84"/>
    <w:rsid w:val="2D502DA8"/>
    <w:rsid w:val="2FC31E25"/>
    <w:rsid w:val="2FEF0361"/>
    <w:rsid w:val="304E59DB"/>
    <w:rsid w:val="309C4B4F"/>
    <w:rsid w:val="30BF25EC"/>
    <w:rsid w:val="30D00355"/>
    <w:rsid w:val="314C48BC"/>
    <w:rsid w:val="31C679AA"/>
    <w:rsid w:val="322C4985"/>
    <w:rsid w:val="32C11F32"/>
    <w:rsid w:val="32FE3D2B"/>
    <w:rsid w:val="333C7F24"/>
    <w:rsid w:val="33461B50"/>
    <w:rsid w:val="338A536B"/>
    <w:rsid w:val="34565F53"/>
    <w:rsid w:val="34B54432"/>
    <w:rsid w:val="362D618D"/>
    <w:rsid w:val="377F2AD5"/>
    <w:rsid w:val="37D0718F"/>
    <w:rsid w:val="37DB545B"/>
    <w:rsid w:val="386FCF0F"/>
    <w:rsid w:val="38743CBC"/>
    <w:rsid w:val="38AF49BF"/>
    <w:rsid w:val="38CC3F59"/>
    <w:rsid w:val="38E54BBA"/>
    <w:rsid w:val="396B0CCE"/>
    <w:rsid w:val="3A5E2E76"/>
    <w:rsid w:val="3A91380B"/>
    <w:rsid w:val="3A941815"/>
    <w:rsid w:val="3AA7481D"/>
    <w:rsid w:val="3AAA60BB"/>
    <w:rsid w:val="3B179880"/>
    <w:rsid w:val="3B1D4A7E"/>
    <w:rsid w:val="3B2A146C"/>
    <w:rsid w:val="3B47390A"/>
    <w:rsid w:val="3B4F57CF"/>
    <w:rsid w:val="3B9257F6"/>
    <w:rsid w:val="3B951075"/>
    <w:rsid w:val="3BF75441"/>
    <w:rsid w:val="3BFF7251"/>
    <w:rsid w:val="3C2554CB"/>
    <w:rsid w:val="3C2A3832"/>
    <w:rsid w:val="3CEAE759"/>
    <w:rsid w:val="3D741B32"/>
    <w:rsid w:val="3E6447D3"/>
    <w:rsid w:val="3EBE6303"/>
    <w:rsid w:val="3EEC9FF7"/>
    <w:rsid w:val="3F794F40"/>
    <w:rsid w:val="3F8F3AD1"/>
    <w:rsid w:val="3FFB4221"/>
    <w:rsid w:val="4001677D"/>
    <w:rsid w:val="403B1AEB"/>
    <w:rsid w:val="40580367"/>
    <w:rsid w:val="417C4DB9"/>
    <w:rsid w:val="41BD66D4"/>
    <w:rsid w:val="41DD7F0E"/>
    <w:rsid w:val="421D102A"/>
    <w:rsid w:val="424C7A58"/>
    <w:rsid w:val="429C1204"/>
    <w:rsid w:val="430F5D06"/>
    <w:rsid w:val="43122926"/>
    <w:rsid w:val="432F4252"/>
    <w:rsid w:val="433724B6"/>
    <w:rsid w:val="4392593E"/>
    <w:rsid w:val="44727C49"/>
    <w:rsid w:val="44EE3263"/>
    <w:rsid w:val="46A361BC"/>
    <w:rsid w:val="47305B9A"/>
    <w:rsid w:val="4763737A"/>
    <w:rsid w:val="48013092"/>
    <w:rsid w:val="486553CA"/>
    <w:rsid w:val="489E6AAA"/>
    <w:rsid w:val="48D72771"/>
    <w:rsid w:val="48FC21D7"/>
    <w:rsid w:val="494E0559"/>
    <w:rsid w:val="496933A1"/>
    <w:rsid w:val="4A2F4538"/>
    <w:rsid w:val="4A3802B7"/>
    <w:rsid w:val="4A38723F"/>
    <w:rsid w:val="4A547DF1"/>
    <w:rsid w:val="4A653DAC"/>
    <w:rsid w:val="4B980882"/>
    <w:rsid w:val="4B983D0E"/>
    <w:rsid w:val="4BB9615E"/>
    <w:rsid w:val="4C490E2F"/>
    <w:rsid w:val="4D135C3F"/>
    <w:rsid w:val="4D4128AF"/>
    <w:rsid w:val="4D6C7C33"/>
    <w:rsid w:val="4D812CAB"/>
    <w:rsid w:val="4DF94F37"/>
    <w:rsid w:val="4E8D6FCE"/>
    <w:rsid w:val="4FFB5E25"/>
    <w:rsid w:val="50901457"/>
    <w:rsid w:val="50D715FA"/>
    <w:rsid w:val="50F213FF"/>
    <w:rsid w:val="511B51C5"/>
    <w:rsid w:val="518647B8"/>
    <w:rsid w:val="52DB10B0"/>
    <w:rsid w:val="535F206B"/>
    <w:rsid w:val="542F4F48"/>
    <w:rsid w:val="54F93A6F"/>
    <w:rsid w:val="55180399"/>
    <w:rsid w:val="55733F14"/>
    <w:rsid w:val="568A1191"/>
    <w:rsid w:val="574A2840"/>
    <w:rsid w:val="5861790D"/>
    <w:rsid w:val="58BF7917"/>
    <w:rsid w:val="596551ED"/>
    <w:rsid w:val="59814033"/>
    <w:rsid w:val="598D4786"/>
    <w:rsid w:val="59CA3C2C"/>
    <w:rsid w:val="59DF76D7"/>
    <w:rsid w:val="5AB521E6"/>
    <w:rsid w:val="5B965A13"/>
    <w:rsid w:val="5BA504AD"/>
    <w:rsid w:val="5BB57FC4"/>
    <w:rsid w:val="5BED775E"/>
    <w:rsid w:val="5BFD5013"/>
    <w:rsid w:val="5C0D1BAE"/>
    <w:rsid w:val="5CE31779"/>
    <w:rsid w:val="5D1D3805"/>
    <w:rsid w:val="5DD38F7B"/>
    <w:rsid w:val="5DDDE215"/>
    <w:rsid w:val="5E222B67"/>
    <w:rsid w:val="5E5D4751"/>
    <w:rsid w:val="5E993FAF"/>
    <w:rsid w:val="5F3B6A32"/>
    <w:rsid w:val="5F6FA093"/>
    <w:rsid w:val="602D0A71"/>
    <w:rsid w:val="60AF592A"/>
    <w:rsid w:val="61243C22"/>
    <w:rsid w:val="620D3E17"/>
    <w:rsid w:val="620E12B1"/>
    <w:rsid w:val="628D3A49"/>
    <w:rsid w:val="63433E8C"/>
    <w:rsid w:val="63520F1A"/>
    <w:rsid w:val="63A603A1"/>
    <w:rsid w:val="63EA73A4"/>
    <w:rsid w:val="642207D6"/>
    <w:rsid w:val="6424218B"/>
    <w:rsid w:val="647D6696"/>
    <w:rsid w:val="64DB6CED"/>
    <w:rsid w:val="65444892"/>
    <w:rsid w:val="65614E97"/>
    <w:rsid w:val="65E25E59"/>
    <w:rsid w:val="66FA0A10"/>
    <w:rsid w:val="673FA9B8"/>
    <w:rsid w:val="6760172C"/>
    <w:rsid w:val="67744A29"/>
    <w:rsid w:val="67C9107F"/>
    <w:rsid w:val="68ED4969"/>
    <w:rsid w:val="694D247D"/>
    <w:rsid w:val="697F5871"/>
    <w:rsid w:val="6A40194C"/>
    <w:rsid w:val="6A79456D"/>
    <w:rsid w:val="6AAFFE65"/>
    <w:rsid w:val="6AFB1E97"/>
    <w:rsid w:val="6B0E348C"/>
    <w:rsid w:val="6B170353"/>
    <w:rsid w:val="6B361C5A"/>
    <w:rsid w:val="6BB362CE"/>
    <w:rsid w:val="6BC7538B"/>
    <w:rsid w:val="6BD85D34"/>
    <w:rsid w:val="6BDB5825"/>
    <w:rsid w:val="6BDF969F"/>
    <w:rsid w:val="6BE0108D"/>
    <w:rsid w:val="6BE33269"/>
    <w:rsid w:val="6BE98E56"/>
    <w:rsid w:val="6BFFBBCE"/>
    <w:rsid w:val="6CB57E24"/>
    <w:rsid w:val="6D4C4C2C"/>
    <w:rsid w:val="6D54554A"/>
    <w:rsid w:val="6DF53CDC"/>
    <w:rsid w:val="6E3F02ED"/>
    <w:rsid w:val="6EC68903"/>
    <w:rsid w:val="6EF10234"/>
    <w:rsid w:val="6F111F75"/>
    <w:rsid w:val="6F235B91"/>
    <w:rsid w:val="6F6A75EB"/>
    <w:rsid w:val="6F834209"/>
    <w:rsid w:val="6FB7F36E"/>
    <w:rsid w:val="6FDE872F"/>
    <w:rsid w:val="6FEF34D4"/>
    <w:rsid w:val="70090BB2"/>
    <w:rsid w:val="70853A8E"/>
    <w:rsid w:val="712D08D1"/>
    <w:rsid w:val="718D5813"/>
    <w:rsid w:val="71E06D6B"/>
    <w:rsid w:val="72799676"/>
    <w:rsid w:val="72FF20D7"/>
    <w:rsid w:val="731411EF"/>
    <w:rsid w:val="73DF9380"/>
    <w:rsid w:val="73ECC2AD"/>
    <w:rsid w:val="753C267B"/>
    <w:rsid w:val="75CE0FC7"/>
    <w:rsid w:val="75F61BD9"/>
    <w:rsid w:val="75FD74D3"/>
    <w:rsid w:val="76984A3E"/>
    <w:rsid w:val="77CBB313"/>
    <w:rsid w:val="77CE088D"/>
    <w:rsid w:val="77EC9446"/>
    <w:rsid w:val="77F02658"/>
    <w:rsid w:val="781D6913"/>
    <w:rsid w:val="78485FF0"/>
    <w:rsid w:val="787B66C1"/>
    <w:rsid w:val="79627585"/>
    <w:rsid w:val="796E7CD8"/>
    <w:rsid w:val="7977266C"/>
    <w:rsid w:val="7A2E4CE5"/>
    <w:rsid w:val="7A46050B"/>
    <w:rsid w:val="7A7F16FB"/>
    <w:rsid w:val="7AA240DD"/>
    <w:rsid w:val="7AAA343A"/>
    <w:rsid w:val="7AE7D73F"/>
    <w:rsid w:val="7AF727C0"/>
    <w:rsid w:val="7B046B46"/>
    <w:rsid w:val="7BB73547"/>
    <w:rsid w:val="7BD792EE"/>
    <w:rsid w:val="7BD7D3B0"/>
    <w:rsid w:val="7BEEEC87"/>
    <w:rsid w:val="7C3C40BE"/>
    <w:rsid w:val="7C5036C5"/>
    <w:rsid w:val="7D2744BD"/>
    <w:rsid w:val="7D536708"/>
    <w:rsid w:val="7D9FE4D1"/>
    <w:rsid w:val="7DB67EA0"/>
    <w:rsid w:val="7DFF2122"/>
    <w:rsid w:val="7E8A7362"/>
    <w:rsid w:val="7F2534E1"/>
    <w:rsid w:val="7F7B674B"/>
    <w:rsid w:val="7F7FCFB1"/>
    <w:rsid w:val="7FBD9AA2"/>
    <w:rsid w:val="7FD74441"/>
    <w:rsid w:val="7FED3FB2"/>
    <w:rsid w:val="7FEF9149"/>
    <w:rsid w:val="7FF664F0"/>
    <w:rsid w:val="7FFA0ABB"/>
    <w:rsid w:val="7FFD10E3"/>
    <w:rsid w:val="7FFF6B10"/>
    <w:rsid w:val="7FFFCF83"/>
    <w:rsid w:val="958B0B6D"/>
    <w:rsid w:val="95E7F1AD"/>
    <w:rsid w:val="9BBF1DE0"/>
    <w:rsid w:val="9DDB484D"/>
    <w:rsid w:val="9EFFA129"/>
    <w:rsid w:val="9FEDEFED"/>
    <w:rsid w:val="9FFA0A70"/>
    <w:rsid w:val="9FFAEA1F"/>
    <w:rsid w:val="A7532BB3"/>
    <w:rsid w:val="B7FF49FE"/>
    <w:rsid w:val="BBD8E20A"/>
    <w:rsid w:val="BBDE4F1D"/>
    <w:rsid w:val="BCEC7359"/>
    <w:rsid w:val="BD917474"/>
    <w:rsid w:val="BF775C2D"/>
    <w:rsid w:val="BF7FA1D0"/>
    <w:rsid w:val="BFA56D86"/>
    <w:rsid w:val="BFFF623F"/>
    <w:rsid w:val="CBFF474B"/>
    <w:rsid w:val="D735C0F4"/>
    <w:rsid w:val="D7BF9588"/>
    <w:rsid w:val="DB5F3BF3"/>
    <w:rsid w:val="DB77E015"/>
    <w:rsid w:val="DD3B4FC5"/>
    <w:rsid w:val="DDB69EDB"/>
    <w:rsid w:val="DEF5A796"/>
    <w:rsid w:val="DF7FC0CF"/>
    <w:rsid w:val="DFECC9F0"/>
    <w:rsid w:val="DFED51DD"/>
    <w:rsid w:val="E57D37E4"/>
    <w:rsid w:val="E7EF1285"/>
    <w:rsid w:val="E7FDF299"/>
    <w:rsid w:val="EB5F290C"/>
    <w:rsid w:val="EBBFBA24"/>
    <w:rsid w:val="EDD6A121"/>
    <w:rsid w:val="EE7A113D"/>
    <w:rsid w:val="EF6A2DE3"/>
    <w:rsid w:val="EFFFA9F9"/>
    <w:rsid w:val="F5F7F2FD"/>
    <w:rsid w:val="F6DB167C"/>
    <w:rsid w:val="F73D21BB"/>
    <w:rsid w:val="F74F8221"/>
    <w:rsid w:val="F7FD6EE2"/>
    <w:rsid w:val="F9EFB4FB"/>
    <w:rsid w:val="F9FA2A59"/>
    <w:rsid w:val="FB366AFA"/>
    <w:rsid w:val="FB7F2242"/>
    <w:rsid w:val="FD7E4168"/>
    <w:rsid w:val="FDD76C61"/>
    <w:rsid w:val="FDFD6147"/>
    <w:rsid w:val="FE5FA964"/>
    <w:rsid w:val="FEEB1FFE"/>
    <w:rsid w:val="FEF2A86C"/>
    <w:rsid w:val="FF1F5DD7"/>
    <w:rsid w:val="FF5761CE"/>
    <w:rsid w:val="FF7EEFBB"/>
    <w:rsid w:val="FFB77AC2"/>
    <w:rsid w:val="FFCE4E32"/>
    <w:rsid w:val="FFD7D07A"/>
    <w:rsid w:val="FFDD9311"/>
    <w:rsid w:val="FFFC1E87"/>
    <w:rsid w:val="FFFF373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uiPriority="99" w:name="HTML Preformatted"/>
    <w:lsdException w:uiPriority="99"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10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tabs>
        <w:tab w:val="left" w:pos="5852"/>
      </w:tabs>
      <w:snapToGrid w:val="0"/>
      <w:spacing w:line="360" w:lineRule="auto"/>
      <w:ind w:firstLine="200" w:firstLineChars="200"/>
      <w:jc w:val="left"/>
      <w:outlineLvl w:val="2"/>
    </w:pPr>
    <w:rPr>
      <w:rFonts w:eastAsia="仿宋"/>
      <w:b/>
      <w:szCs w:val="20"/>
    </w:rPr>
  </w:style>
  <w:style w:type="paragraph" w:styleId="6">
    <w:name w:val="heading 4"/>
    <w:basedOn w:val="1"/>
    <w:next w:val="1"/>
    <w:unhideWhenUsed/>
    <w:qFormat/>
    <w:uiPriority w:val="9"/>
    <w:pPr>
      <w:keepNext/>
      <w:keepLines/>
      <w:spacing w:before="280" w:after="290" w:line="372" w:lineRule="auto"/>
      <w:outlineLvl w:val="3"/>
    </w:pPr>
    <w:rPr>
      <w:rFonts w:ascii="Cambria" w:hAnsi="Cambria"/>
      <w:b/>
      <w:bCs/>
      <w:sz w:val="28"/>
      <w:szCs w:val="28"/>
    </w:rPr>
  </w:style>
  <w:style w:type="paragraph" w:styleId="7">
    <w:name w:val="heading 5"/>
    <w:basedOn w:val="1"/>
    <w:next w:val="1"/>
    <w:unhideWhenUsed/>
    <w:qFormat/>
    <w:uiPriority w:val="9"/>
    <w:pPr>
      <w:keepNext/>
      <w:keepLines/>
      <w:spacing w:before="280" w:after="290" w:line="376" w:lineRule="auto"/>
      <w:outlineLvl w:val="4"/>
    </w:pPr>
    <w:rPr>
      <w:b/>
      <w:bCs/>
      <w:sz w:val="28"/>
      <w:szCs w:val="28"/>
    </w:rPr>
  </w:style>
  <w:style w:type="character" w:default="1" w:styleId="28">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86"/>
    <w:qFormat/>
    <w:uiPriority w:val="0"/>
    <w:pPr>
      <w:tabs>
        <w:tab w:val="left" w:pos="420"/>
      </w:tabs>
      <w:spacing w:before="120" w:after="120" w:line="360" w:lineRule="auto"/>
      <w:ind w:left="420"/>
      <w:jc w:val="center"/>
      <w:outlineLvl w:val="0"/>
    </w:pPr>
    <w:rPr>
      <w:rFonts w:ascii="宋体" w:hAnsi="Verdana" w:cs="Arial"/>
      <w:b/>
      <w:bCs/>
      <w:sz w:val="32"/>
      <w:szCs w:val="32"/>
    </w:rPr>
  </w:style>
  <w:style w:type="paragraph" w:styleId="8">
    <w:name w:val="Normal Indent"/>
    <w:basedOn w:val="1"/>
    <w:link w:val="42"/>
    <w:qFormat/>
    <w:uiPriority w:val="99"/>
    <w:pPr>
      <w:ind w:firstLine="420"/>
    </w:pPr>
    <w:rPr>
      <w:szCs w:val="20"/>
    </w:rPr>
  </w:style>
  <w:style w:type="paragraph" w:styleId="9">
    <w:name w:val="Document Map"/>
    <w:basedOn w:val="1"/>
    <w:qFormat/>
    <w:uiPriority w:val="0"/>
    <w:pPr>
      <w:shd w:val="clear" w:color="auto" w:fill="000080"/>
    </w:pPr>
  </w:style>
  <w:style w:type="paragraph" w:styleId="10">
    <w:name w:val="annotation text"/>
    <w:basedOn w:val="1"/>
    <w:link w:val="53"/>
    <w:qFormat/>
    <w:uiPriority w:val="0"/>
    <w:pPr>
      <w:jc w:val="left"/>
    </w:pPr>
  </w:style>
  <w:style w:type="paragraph" w:styleId="11">
    <w:name w:val="Body Text"/>
    <w:basedOn w:val="1"/>
    <w:next w:val="12"/>
    <w:unhideWhenUsed/>
    <w:qFormat/>
    <w:uiPriority w:val="99"/>
    <w:pPr>
      <w:snapToGrid w:val="0"/>
      <w:spacing w:line="360" w:lineRule="auto"/>
    </w:pPr>
    <w:rPr>
      <w:rFonts w:ascii="Arial" w:hAnsi="Arial" w:eastAsia="仿宋_GB2312"/>
      <w:sz w:val="31"/>
    </w:rPr>
  </w:style>
  <w:style w:type="paragraph" w:styleId="12">
    <w:name w:val="Date"/>
    <w:basedOn w:val="1"/>
    <w:next w:val="1"/>
    <w:qFormat/>
    <w:uiPriority w:val="0"/>
    <w:pPr>
      <w:ind w:left="100" w:leftChars="2500"/>
    </w:pPr>
  </w:style>
  <w:style w:type="paragraph" w:styleId="13">
    <w:name w:val="Body Text Indent"/>
    <w:basedOn w:val="1"/>
    <w:link w:val="92"/>
    <w:qFormat/>
    <w:uiPriority w:val="0"/>
    <w:pPr>
      <w:snapToGrid w:val="0"/>
      <w:spacing w:line="360" w:lineRule="auto"/>
      <w:ind w:firstLine="538" w:firstLineChars="192"/>
    </w:pPr>
    <w:rPr>
      <w:rFonts w:ascii="仿宋_GB2312" w:eastAsia="仿宋_GB2312"/>
      <w:bCs/>
      <w:sz w:val="28"/>
      <w:szCs w:val="28"/>
    </w:rPr>
  </w:style>
  <w:style w:type="paragraph" w:styleId="14">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15">
    <w:name w:val="Plain Text"/>
    <w:basedOn w:val="1"/>
    <w:link w:val="54"/>
    <w:qFormat/>
    <w:uiPriority w:val="0"/>
    <w:rPr>
      <w:rFonts w:ascii="宋体" w:hAnsi="Courier New"/>
      <w:szCs w:val="20"/>
    </w:rPr>
  </w:style>
  <w:style w:type="paragraph" w:styleId="16">
    <w:name w:val="Body Text Indent 2"/>
    <w:basedOn w:val="1"/>
    <w:link w:val="81"/>
    <w:qFormat/>
    <w:uiPriority w:val="0"/>
    <w:pPr>
      <w:spacing w:after="120" w:line="480" w:lineRule="auto"/>
      <w:ind w:left="420" w:leftChars="200"/>
    </w:pPr>
  </w:style>
  <w:style w:type="paragraph" w:styleId="17">
    <w:name w:val="Balloon Text"/>
    <w:basedOn w:val="1"/>
    <w:qFormat/>
    <w:uiPriority w:val="0"/>
    <w:rPr>
      <w:sz w:val="18"/>
      <w:szCs w:val="18"/>
    </w:rPr>
  </w:style>
  <w:style w:type="paragraph" w:styleId="18">
    <w:name w:val="footer"/>
    <w:basedOn w:val="1"/>
    <w:link w:val="91"/>
    <w:qFormat/>
    <w:uiPriority w:val="99"/>
    <w:pPr>
      <w:tabs>
        <w:tab w:val="center" w:pos="4153"/>
        <w:tab w:val="right" w:pos="8306"/>
      </w:tabs>
      <w:snapToGrid w:val="0"/>
      <w:jc w:val="left"/>
    </w:pPr>
    <w:rPr>
      <w:sz w:val="18"/>
      <w:szCs w:val="18"/>
    </w:rPr>
  </w:style>
  <w:style w:type="paragraph" w:styleId="19">
    <w:name w:val="header"/>
    <w:basedOn w:val="1"/>
    <w:link w:val="90"/>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393"/>
      </w:tabs>
      <w:spacing w:line="500" w:lineRule="exact"/>
    </w:pPr>
    <w:rPr>
      <w:rFonts w:ascii="宋体" w:hAnsi="宋体"/>
      <w:b/>
      <w:bCs/>
      <w:color w:val="000000"/>
      <w:sz w:val="28"/>
      <w:szCs w:val="28"/>
    </w:rPr>
  </w:style>
  <w:style w:type="paragraph" w:styleId="21">
    <w:name w:val="footnote text"/>
    <w:basedOn w:val="1"/>
    <w:link w:val="115"/>
    <w:unhideWhenUsed/>
    <w:qFormat/>
    <w:uiPriority w:val="99"/>
    <w:pPr>
      <w:snapToGrid w:val="0"/>
      <w:jc w:val="left"/>
    </w:pPr>
    <w:rPr>
      <w:sz w:val="18"/>
      <w:szCs w:val="18"/>
    </w:rPr>
  </w:style>
  <w:style w:type="paragraph" w:styleId="22">
    <w:name w:val="Body Text Indent 3"/>
    <w:basedOn w:val="1"/>
    <w:unhideWhenUsed/>
    <w:qFormat/>
    <w:uiPriority w:val="99"/>
    <w:pPr>
      <w:spacing w:after="120" w:line="276" w:lineRule="auto"/>
      <w:ind w:left="420" w:leftChars="200"/>
    </w:pPr>
    <w:rPr>
      <w:rFonts w:ascii="Calibri" w:hAnsi="Calibri"/>
      <w:kern w:val="0"/>
      <w:sz w:val="16"/>
      <w:szCs w:val="16"/>
      <w:lang w:eastAsia="en-US"/>
    </w:rPr>
  </w:style>
  <w:style w:type="paragraph" w:styleId="23">
    <w:name w:val="toc 2"/>
    <w:basedOn w:val="1"/>
    <w:next w:val="1"/>
    <w:qFormat/>
    <w:uiPriority w:val="39"/>
    <w:pPr>
      <w:tabs>
        <w:tab w:val="right" w:leader="dot" w:pos="8393"/>
      </w:tabs>
      <w:spacing w:line="500" w:lineRule="exact"/>
      <w:ind w:left="420" w:leftChars="200"/>
      <w:jc w:val="center"/>
    </w:pPr>
    <w:rPr>
      <w:rFonts w:ascii="黑体" w:eastAsia="黑体"/>
      <w:sz w:val="32"/>
      <w:szCs w:val="32"/>
    </w:rPr>
  </w:style>
  <w:style w:type="paragraph" w:styleId="24">
    <w:name w:val="Normal (Web)"/>
    <w:basedOn w:val="1"/>
    <w:qFormat/>
    <w:uiPriority w:val="99"/>
    <w:pPr>
      <w:widowControl/>
      <w:spacing w:before="100" w:beforeAutospacing="1" w:after="100" w:afterAutospacing="1"/>
      <w:jc w:val="left"/>
    </w:pPr>
    <w:rPr>
      <w:rFonts w:ascii="宋体" w:hAnsi="宋体"/>
      <w:kern w:val="0"/>
      <w:szCs w:val="20"/>
    </w:rPr>
  </w:style>
  <w:style w:type="paragraph" w:styleId="25">
    <w:name w:val="annotation subject"/>
    <w:basedOn w:val="10"/>
    <w:next w:val="10"/>
    <w:qFormat/>
    <w:uiPriority w:val="0"/>
    <w:rPr>
      <w:b/>
      <w:bCs/>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bCs/>
    </w:rPr>
  </w:style>
  <w:style w:type="character" w:styleId="30">
    <w:name w:val="FollowedHyperlink"/>
    <w:basedOn w:val="28"/>
    <w:qFormat/>
    <w:uiPriority w:val="0"/>
    <w:rPr>
      <w:color w:val="013F7C"/>
      <w:u w:val="none"/>
    </w:rPr>
  </w:style>
  <w:style w:type="character" w:styleId="31">
    <w:name w:val="Emphasis"/>
    <w:basedOn w:val="28"/>
    <w:qFormat/>
    <w:uiPriority w:val="0"/>
  </w:style>
  <w:style w:type="character" w:styleId="32">
    <w:name w:val="HTML Definition"/>
    <w:basedOn w:val="28"/>
    <w:qFormat/>
    <w:uiPriority w:val="0"/>
  </w:style>
  <w:style w:type="character" w:styleId="33">
    <w:name w:val="HTML Typewriter"/>
    <w:basedOn w:val="28"/>
    <w:qFormat/>
    <w:uiPriority w:val="0"/>
    <w:rPr>
      <w:rFonts w:ascii="宋体" w:hAnsi="宋体" w:eastAsia="宋体" w:cs="宋体"/>
      <w:sz w:val="24"/>
      <w:szCs w:val="24"/>
    </w:rPr>
  </w:style>
  <w:style w:type="character" w:styleId="34">
    <w:name w:val="HTML Variable"/>
    <w:basedOn w:val="28"/>
    <w:qFormat/>
    <w:uiPriority w:val="0"/>
  </w:style>
  <w:style w:type="character" w:styleId="35">
    <w:name w:val="Hyperlink"/>
    <w:basedOn w:val="28"/>
    <w:qFormat/>
    <w:uiPriority w:val="99"/>
    <w:rPr>
      <w:color w:val="013F7C"/>
      <w:u w:val="none"/>
    </w:rPr>
  </w:style>
  <w:style w:type="character" w:styleId="36">
    <w:name w:val="HTML Code"/>
    <w:basedOn w:val="28"/>
    <w:qFormat/>
    <w:uiPriority w:val="0"/>
    <w:rPr>
      <w:rFonts w:ascii="Courier New" w:hAnsi="Courier New"/>
      <w:sz w:val="20"/>
    </w:rPr>
  </w:style>
  <w:style w:type="character" w:styleId="37">
    <w:name w:val="annotation reference"/>
    <w:basedOn w:val="28"/>
    <w:qFormat/>
    <w:uiPriority w:val="0"/>
    <w:rPr>
      <w:sz w:val="21"/>
      <w:szCs w:val="21"/>
    </w:rPr>
  </w:style>
  <w:style w:type="character" w:styleId="38">
    <w:name w:val="HTML Cite"/>
    <w:basedOn w:val="28"/>
    <w:qFormat/>
    <w:uiPriority w:val="0"/>
  </w:style>
  <w:style w:type="character" w:styleId="39">
    <w:name w:val="footnote reference"/>
    <w:basedOn w:val="28"/>
    <w:unhideWhenUsed/>
    <w:qFormat/>
    <w:uiPriority w:val="99"/>
    <w:rPr>
      <w:vertAlign w:val="superscript"/>
    </w:rPr>
  </w:style>
  <w:style w:type="paragraph" w:customStyle="1" w:styleId="40">
    <w:name w:val="正文（首行缩进2字符）"/>
    <w:basedOn w:val="1"/>
    <w:qFormat/>
    <w:uiPriority w:val="0"/>
    <w:pPr>
      <w:ind w:firstLine="440"/>
    </w:pPr>
    <w:rPr>
      <w:rFonts w:ascii="宋体" w:hAnsi="宋体"/>
      <w:kern w:val="0"/>
      <w:sz w:val="22"/>
    </w:rPr>
  </w:style>
  <w:style w:type="character" w:customStyle="1" w:styleId="41">
    <w:name w:val="标题 2 字符"/>
    <w:basedOn w:val="28"/>
    <w:link w:val="4"/>
    <w:qFormat/>
    <w:uiPriority w:val="0"/>
    <w:rPr>
      <w:rFonts w:ascii="Arial" w:hAnsi="Arial" w:eastAsia="黑体"/>
      <w:b/>
      <w:bCs/>
      <w:kern w:val="2"/>
      <w:sz w:val="32"/>
      <w:szCs w:val="32"/>
    </w:rPr>
  </w:style>
  <w:style w:type="character" w:customStyle="1" w:styleId="42">
    <w:name w:val="正文缩进 字符"/>
    <w:basedOn w:val="28"/>
    <w:link w:val="8"/>
    <w:qFormat/>
    <w:uiPriority w:val="99"/>
    <w:rPr>
      <w:rFonts w:eastAsia="宋体"/>
      <w:kern w:val="2"/>
      <w:sz w:val="21"/>
      <w:lang w:val="en-US" w:eastAsia="zh-CN" w:bidi="ar-SA"/>
    </w:rPr>
  </w:style>
  <w:style w:type="character" w:customStyle="1" w:styleId="43">
    <w:name w:val="Char Char5"/>
    <w:basedOn w:val="28"/>
    <w:qFormat/>
    <w:uiPriority w:val="0"/>
    <w:rPr>
      <w:rFonts w:ascii="宋体" w:hAnsi="Courier New" w:eastAsia="宋体"/>
      <w:kern w:val="2"/>
      <w:sz w:val="21"/>
      <w:lang w:val="en-US" w:eastAsia="zh-CN" w:bidi="ar-SA"/>
    </w:rPr>
  </w:style>
  <w:style w:type="character" w:customStyle="1" w:styleId="44">
    <w:name w:val="font81"/>
    <w:basedOn w:val="28"/>
    <w:qFormat/>
    <w:uiPriority w:val="0"/>
    <w:rPr>
      <w:rFonts w:ascii="新宋体" w:hAnsi="新宋体" w:eastAsia="新宋体" w:cs="新宋体"/>
      <w:color w:val="000000"/>
      <w:sz w:val="21"/>
      <w:szCs w:val="21"/>
      <w:u w:val="none"/>
    </w:rPr>
  </w:style>
  <w:style w:type="character" w:customStyle="1" w:styleId="45">
    <w:name w:val="p141"/>
    <w:qFormat/>
    <w:uiPriority w:val="0"/>
    <w:rPr>
      <w:sz w:val="21"/>
      <w:szCs w:val="21"/>
    </w:rPr>
  </w:style>
  <w:style w:type="character" w:customStyle="1" w:styleId="46">
    <w:name w:val="current"/>
    <w:basedOn w:val="28"/>
    <w:qFormat/>
    <w:uiPriority w:val="0"/>
    <w:rPr>
      <w:b/>
      <w:color w:val="FF0084"/>
    </w:rPr>
  </w:style>
  <w:style w:type="character" w:customStyle="1" w:styleId="47">
    <w:name w:val="font11"/>
    <w:basedOn w:val="28"/>
    <w:qFormat/>
    <w:uiPriority w:val="0"/>
    <w:rPr>
      <w:rFonts w:ascii="新宋体" w:hAnsi="新宋体" w:eastAsia="新宋体" w:cs="新宋体"/>
      <w:color w:val="000000"/>
      <w:sz w:val="21"/>
      <w:szCs w:val="21"/>
      <w:u w:val="none"/>
    </w:rPr>
  </w:style>
  <w:style w:type="character" w:customStyle="1" w:styleId="48">
    <w:name w:val="ask-title2"/>
    <w:basedOn w:val="28"/>
    <w:qFormat/>
    <w:uiPriority w:val="0"/>
  </w:style>
  <w:style w:type="character" w:customStyle="1" w:styleId="49">
    <w:name w:val="font101"/>
    <w:basedOn w:val="28"/>
    <w:qFormat/>
    <w:uiPriority w:val="0"/>
    <w:rPr>
      <w:rFonts w:ascii="宋体" w:hAnsi="宋体" w:eastAsia="宋体" w:cs="宋体"/>
      <w:color w:val="000000"/>
      <w:sz w:val="21"/>
      <w:szCs w:val="21"/>
      <w:u w:val="none"/>
    </w:rPr>
  </w:style>
  <w:style w:type="character" w:customStyle="1" w:styleId="50">
    <w:name w:val="font91"/>
    <w:basedOn w:val="28"/>
    <w:qFormat/>
    <w:uiPriority w:val="0"/>
    <w:rPr>
      <w:rFonts w:ascii="Arial" w:hAnsi="Arial" w:cs="Arial"/>
      <w:color w:val="000000"/>
      <w:sz w:val="21"/>
      <w:szCs w:val="21"/>
      <w:u w:val="none"/>
    </w:rPr>
  </w:style>
  <w:style w:type="character" w:customStyle="1" w:styleId="51">
    <w:name w:val="批注文字 Char"/>
    <w:basedOn w:val="28"/>
    <w:qFormat/>
    <w:uiPriority w:val="0"/>
    <w:rPr>
      <w:rFonts w:eastAsia="宋体"/>
      <w:kern w:val="2"/>
      <w:sz w:val="21"/>
      <w:szCs w:val="24"/>
      <w:lang w:val="en-US" w:eastAsia="zh-CN" w:bidi="ar-SA"/>
    </w:rPr>
  </w:style>
  <w:style w:type="character" w:customStyle="1" w:styleId="52">
    <w:name w:val="Char Char"/>
    <w:basedOn w:val="28"/>
    <w:qFormat/>
    <w:uiPriority w:val="0"/>
    <w:rPr>
      <w:rFonts w:ascii="宋体" w:hAnsi="Courier New" w:eastAsia="宋体"/>
      <w:kern w:val="2"/>
      <w:sz w:val="21"/>
      <w:lang w:val="en-US" w:eastAsia="zh-CN" w:bidi="ar-SA"/>
    </w:rPr>
  </w:style>
  <w:style w:type="character" w:customStyle="1" w:styleId="53">
    <w:name w:val="批注文字 字符"/>
    <w:basedOn w:val="28"/>
    <w:link w:val="10"/>
    <w:qFormat/>
    <w:uiPriority w:val="0"/>
    <w:rPr>
      <w:rFonts w:eastAsia="宋体"/>
      <w:kern w:val="2"/>
      <w:sz w:val="21"/>
      <w:szCs w:val="24"/>
      <w:lang w:val="en-US" w:eastAsia="zh-CN" w:bidi="ar-SA"/>
    </w:rPr>
  </w:style>
  <w:style w:type="character" w:customStyle="1" w:styleId="54">
    <w:name w:val="纯文本 字符"/>
    <w:basedOn w:val="28"/>
    <w:link w:val="15"/>
    <w:qFormat/>
    <w:uiPriority w:val="0"/>
    <w:rPr>
      <w:rFonts w:ascii="宋体" w:hAnsi="Courier New" w:eastAsia="宋体"/>
      <w:kern w:val="2"/>
      <w:sz w:val="21"/>
      <w:lang w:val="en-US" w:eastAsia="zh-CN" w:bidi="ar-SA"/>
    </w:rPr>
  </w:style>
  <w:style w:type="character" w:customStyle="1" w:styleId="55">
    <w:name w:val="普通文字 Char Char1"/>
    <w:basedOn w:val="28"/>
    <w:qFormat/>
    <w:uiPriority w:val="0"/>
    <w:rPr>
      <w:rFonts w:ascii="宋体" w:hAnsi="Courier New" w:eastAsia="宋体"/>
      <w:kern w:val="2"/>
      <w:sz w:val="21"/>
      <w:lang w:val="en-US" w:eastAsia="zh-CN" w:bidi="ar-SA"/>
    </w:rPr>
  </w:style>
  <w:style w:type="paragraph" w:customStyle="1" w:styleId="56">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57">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58">
    <w:name w:val="列出段落1"/>
    <w:basedOn w:val="1"/>
    <w:qFormat/>
    <w:uiPriority w:val="0"/>
    <w:pPr>
      <w:ind w:firstLine="420" w:firstLineChars="200"/>
    </w:pPr>
    <w:rPr>
      <w:rFonts w:ascii="Calibri" w:hAnsi="Calibri"/>
      <w:szCs w:val="20"/>
    </w:rPr>
  </w:style>
  <w:style w:type="paragraph" w:customStyle="1" w:styleId="59">
    <w:name w:val="_Style 13"/>
    <w:basedOn w:val="1"/>
    <w:qFormat/>
    <w:uiPriority w:val="0"/>
    <w:pPr>
      <w:spacing w:after="160" w:line="240" w:lineRule="exact"/>
    </w:pPr>
    <w:rPr>
      <w:szCs w:val="20"/>
    </w:rPr>
  </w:style>
  <w:style w:type="paragraph" w:customStyle="1" w:styleId="60">
    <w:name w:val="Char"/>
    <w:basedOn w:val="1"/>
    <w:next w:val="1"/>
    <w:qFormat/>
    <w:uiPriority w:val="0"/>
    <w:pPr>
      <w:widowControl/>
      <w:spacing w:after="160" w:line="240" w:lineRule="exact"/>
      <w:jc w:val="left"/>
    </w:pPr>
    <w:rPr>
      <w:rFonts w:ascii="Verdana" w:hAnsi="Verdana"/>
      <w:kern w:val="0"/>
      <w:sz w:val="20"/>
      <w:szCs w:val="20"/>
      <w:lang w:eastAsia="en-US"/>
    </w:rPr>
  </w:style>
  <w:style w:type="paragraph" w:customStyle="1" w:styleId="61">
    <w:name w:val="_Style 49"/>
    <w:basedOn w:val="1"/>
    <w:next w:val="15"/>
    <w:qFormat/>
    <w:uiPriority w:val="0"/>
    <w:rPr>
      <w:rFonts w:ascii="宋体" w:hAnsi="Courier New"/>
      <w:szCs w:val="20"/>
    </w:rPr>
  </w:style>
  <w:style w:type="paragraph" w:customStyle="1" w:styleId="62">
    <w:name w:val="示例×："/>
    <w:basedOn w:val="1"/>
    <w:qFormat/>
    <w:uiPriority w:val="0"/>
    <w:pPr>
      <w:widowControl/>
    </w:pPr>
    <w:rPr>
      <w:rFonts w:ascii="宋体"/>
      <w:kern w:val="0"/>
      <w:sz w:val="18"/>
      <w:szCs w:val="18"/>
    </w:rPr>
  </w:style>
  <w:style w:type="paragraph" w:customStyle="1" w:styleId="63">
    <w:name w:val="_Style 12"/>
    <w:basedOn w:val="9"/>
    <w:qFormat/>
    <w:uiPriority w:val="0"/>
    <w:pPr>
      <w:adjustRightInd w:val="0"/>
      <w:snapToGrid w:val="0"/>
      <w:spacing w:line="360" w:lineRule="auto"/>
    </w:pPr>
    <w:rPr>
      <w:rFonts w:hAnsi="Tahoma"/>
      <w:szCs w:val="20"/>
    </w:rPr>
  </w:style>
  <w:style w:type="paragraph" w:customStyle="1" w:styleId="64">
    <w:name w:val="列出段落3"/>
    <w:basedOn w:val="1"/>
    <w:qFormat/>
    <w:uiPriority w:val="0"/>
    <w:pPr>
      <w:ind w:firstLine="420" w:firstLineChars="200"/>
    </w:pPr>
  </w:style>
  <w:style w:type="paragraph" w:customStyle="1" w:styleId="6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6">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67">
    <w:name w:val="默认段落字体 Para Char Char Char Char Char Char Char"/>
    <w:basedOn w:val="1"/>
    <w:qFormat/>
    <w:uiPriority w:val="0"/>
    <w:pPr>
      <w:spacing w:line="360" w:lineRule="auto"/>
    </w:pPr>
    <w:rPr>
      <w:szCs w:val="20"/>
    </w:rPr>
  </w:style>
  <w:style w:type="paragraph" w:customStyle="1" w:styleId="68">
    <w:name w:val="Char Char Char"/>
    <w:basedOn w:val="1"/>
    <w:qFormat/>
    <w:uiPriority w:val="0"/>
  </w:style>
  <w:style w:type="paragraph" w:customStyle="1" w:styleId="69">
    <w:name w:val="xl8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sz w:val="18"/>
      <w:szCs w:val="18"/>
    </w:rPr>
  </w:style>
  <w:style w:type="paragraph" w:customStyle="1" w:styleId="70">
    <w:name w:val="Char Char1 Char Char Char Char Char Char"/>
    <w:basedOn w:val="1"/>
    <w:qFormat/>
    <w:uiPriority w:val="0"/>
    <w:pPr>
      <w:adjustRightInd w:val="0"/>
      <w:snapToGrid w:val="0"/>
      <w:spacing w:beforeLines="25" w:afterLines="25" w:line="240" w:lineRule="exact"/>
      <w:ind w:firstLine="560" w:firstLineChars="192"/>
    </w:pPr>
  </w:style>
  <w:style w:type="paragraph" w:customStyle="1" w:styleId="71">
    <w:name w:val="列出段落2"/>
    <w:basedOn w:val="1"/>
    <w:qFormat/>
    <w:uiPriority w:val="0"/>
    <w:pPr>
      <w:ind w:firstLine="420" w:firstLineChars="200"/>
    </w:pPr>
  </w:style>
  <w:style w:type="paragraph" w:customStyle="1" w:styleId="72">
    <w:name w:val="List Paragraph1"/>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3">
    <w:name w:val="列出段落11"/>
    <w:basedOn w:val="1"/>
    <w:qFormat/>
    <w:uiPriority w:val="0"/>
    <w:pPr>
      <w:ind w:firstLine="420" w:firstLineChars="200"/>
    </w:pPr>
  </w:style>
  <w:style w:type="paragraph" w:customStyle="1" w:styleId="74">
    <w:name w:val="Char1 Char Char Char Char Char Char1"/>
    <w:basedOn w:val="1"/>
    <w:qFormat/>
    <w:uiPriority w:val="0"/>
    <w:pPr>
      <w:spacing w:after="160" w:line="240" w:lineRule="exact"/>
    </w:pPr>
    <w:rPr>
      <w:szCs w:val="20"/>
    </w:rPr>
  </w:style>
  <w:style w:type="paragraph" w:customStyle="1" w:styleId="75">
    <w:name w:val="样式3"/>
    <w:basedOn w:val="15"/>
    <w:link w:val="77"/>
    <w:qFormat/>
    <w:uiPriority w:val="0"/>
    <w:pPr>
      <w:spacing w:line="0" w:lineRule="atLeast"/>
      <w:outlineLvl w:val="0"/>
    </w:pPr>
    <w:rPr>
      <w:sz w:val="28"/>
      <w:szCs w:val="24"/>
    </w:rPr>
  </w:style>
  <w:style w:type="paragraph" w:customStyle="1" w:styleId="76">
    <w:name w:val="Char Char Char Char"/>
    <w:basedOn w:val="9"/>
    <w:qFormat/>
    <w:uiPriority w:val="0"/>
    <w:pPr>
      <w:adjustRightInd w:val="0"/>
      <w:snapToGrid w:val="0"/>
      <w:spacing w:line="360" w:lineRule="auto"/>
    </w:pPr>
  </w:style>
  <w:style w:type="character" w:customStyle="1" w:styleId="77">
    <w:name w:val="样式3 Char Char"/>
    <w:link w:val="75"/>
    <w:qFormat/>
    <w:uiPriority w:val="0"/>
    <w:rPr>
      <w:rFonts w:ascii="宋体" w:hAnsi="Courier New"/>
      <w:kern w:val="2"/>
      <w:sz w:val="28"/>
      <w:szCs w:val="24"/>
    </w:rPr>
  </w:style>
  <w:style w:type="character" w:customStyle="1" w:styleId="78">
    <w:name w:val="ds-unread-count"/>
    <w:basedOn w:val="28"/>
    <w:qFormat/>
    <w:uiPriority w:val="0"/>
    <w:rPr>
      <w:b/>
      <w:color w:val="EE3322"/>
    </w:rPr>
  </w:style>
  <w:style w:type="character" w:customStyle="1" w:styleId="79">
    <w:name w:val="ds-reads-app-special"/>
    <w:basedOn w:val="28"/>
    <w:qFormat/>
    <w:uiPriority w:val="0"/>
    <w:rPr>
      <w:color w:val="FFFFFF"/>
      <w:shd w:val="clear" w:color="auto" w:fill="F94A47"/>
    </w:rPr>
  </w:style>
  <w:style w:type="character" w:customStyle="1" w:styleId="80">
    <w:name w:val="ds-reads-from"/>
    <w:basedOn w:val="28"/>
    <w:qFormat/>
    <w:uiPriority w:val="0"/>
  </w:style>
  <w:style w:type="character" w:customStyle="1" w:styleId="81">
    <w:name w:val="正文文本缩进 2 字符"/>
    <w:basedOn w:val="28"/>
    <w:link w:val="16"/>
    <w:qFormat/>
    <w:uiPriority w:val="0"/>
    <w:rPr>
      <w:kern w:val="2"/>
      <w:sz w:val="21"/>
      <w:szCs w:val="24"/>
    </w:rPr>
  </w:style>
  <w:style w:type="paragraph" w:customStyle="1" w:styleId="82">
    <w:name w:val="正文2"/>
    <w:basedOn w:val="57"/>
    <w:qFormat/>
    <w:uiPriority w:val="0"/>
    <w:pPr>
      <w:tabs>
        <w:tab w:val="left" w:pos="420"/>
      </w:tabs>
      <w:adjustRightInd/>
      <w:spacing w:line="360" w:lineRule="auto"/>
      <w:ind w:left="420" w:hanging="420"/>
    </w:pPr>
    <w:rPr>
      <w:kern w:val="2"/>
      <w:sz w:val="24"/>
      <w:szCs w:val="24"/>
    </w:rPr>
  </w:style>
  <w:style w:type="paragraph" w:customStyle="1" w:styleId="83">
    <w:name w:val="msonormalcxspmiddle"/>
    <w:basedOn w:val="1"/>
    <w:qFormat/>
    <w:uiPriority w:val="0"/>
    <w:pPr>
      <w:widowControl/>
      <w:spacing w:before="280" w:after="280"/>
      <w:jc w:val="left"/>
    </w:pPr>
    <w:rPr>
      <w:rFonts w:ascii="宋体" w:hAnsi="宋体" w:cs="宋体"/>
      <w:kern w:val="1"/>
      <w:lang w:eastAsia="ar-SA"/>
    </w:rPr>
  </w:style>
  <w:style w:type="character" w:customStyle="1" w:styleId="84">
    <w:name w:val="Underrubrik1 Char Char"/>
    <w:qFormat/>
    <w:uiPriority w:val="0"/>
    <w:rPr>
      <w:rFonts w:ascii="Arial" w:hAnsi="Arial"/>
      <w:b/>
      <w:bCs/>
      <w:color w:val="000000"/>
      <w:sz w:val="30"/>
    </w:rPr>
  </w:style>
  <w:style w:type="paragraph" w:customStyle="1" w:styleId="85">
    <w:name w:val="列出段落4"/>
    <w:basedOn w:val="1"/>
    <w:qFormat/>
    <w:uiPriority w:val="99"/>
    <w:pPr>
      <w:ind w:firstLine="420" w:firstLineChars="200"/>
    </w:pPr>
  </w:style>
  <w:style w:type="character" w:customStyle="1" w:styleId="86">
    <w:name w:val="标题 字符"/>
    <w:link w:val="2"/>
    <w:qFormat/>
    <w:uiPriority w:val="0"/>
    <w:rPr>
      <w:rFonts w:ascii="宋体" w:hAnsi="Verdana" w:cs="Arial"/>
      <w:b/>
      <w:bCs/>
      <w:kern w:val="2"/>
      <w:sz w:val="32"/>
      <w:szCs w:val="32"/>
    </w:rPr>
  </w:style>
  <w:style w:type="character" w:customStyle="1" w:styleId="87">
    <w:name w:val="标题 字符1"/>
    <w:basedOn w:val="28"/>
    <w:qFormat/>
    <w:uiPriority w:val="0"/>
    <w:rPr>
      <w:rFonts w:ascii="Cambria" w:hAnsi="Cambria" w:eastAsia="宋体" w:cs="宋体"/>
      <w:b/>
      <w:bCs/>
      <w:kern w:val="2"/>
      <w:sz w:val="32"/>
      <w:szCs w:val="32"/>
    </w:rPr>
  </w:style>
  <w:style w:type="paragraph" w:customStyle="1" w:styleId="88">
    <w:name w:val="正文文本缩进1"/>
    <w:basedOn w:val="1"/>
    <w:qFormat/>
    <w:uiPriority w:val="0"/>
    <w:pPr>
      <w:widowControl/>
      <w:spacing w:after="120"/>
      <w:ind w:left="420" w:leftChars="200"/>
      <w:jc w:val="left"/>
    </w:pPr>
    <w:rPr>
      <w:kern w:val="0"/>
      <w:sz w:val="34"/>
      <w:szCs w:val="20"/>
    </w:rPr>
  </w:style>
  <w:style w:type="paragraph" w:customStyle="1" w:styleId="89">
    <w:name w:val="表格"/>
    <w:basedOn w:val="1"/>
    <w:qFormat/>
    <w:uiPriority w:val="0"/>
    <w:pPr>
      <w:spacing w:line="400" w:lineRule="exact"/>
    </w:pPr>
  </w:style>
  <w:style w:type="character" w:customStyle="1" w:styleId="90">
    <w:name w:val="页眉 字符"/>
    <w:basedOn w:val="28"/>
    <w:link w:val="19"/>
    <w:qFormat/>
    <w:uiPriority w:val="99"/>
    <w:rPr>
      <w:kern w:val="2"/>
      <w:sz w:val="18"/>
      <w:szCs w:val="18"/>
    </w:rPr>
  </w:style>
  <w:style w:type="character" w:customStyle="1" w:styleId="91">
    <w:name w:val="页脚 字符"/>
    <w:basedOn w:val="28"/>
    <w:link w:val="18"/>
    <w:qFormat/>
    <w:uiPriority w:val="99"/>
    <w:rPr>
      <w:kern w:val="2"/>
      <w:sz w:val="18"/>
      <w:szCs w:val="18"/>
    </w:rPr>
  </w:style>
  <w:style w:type="character" w:customStyle="1" w:styleId="92">
    <w:name w:val="正文文本缩进 字符"/>
    <w:basedOn w:val="28"/>
    <w:link w:val="13"/>
    <w:qFormat/>
    <w:uiPriority w:val="0"/>
    <w:rPr>
      <w:rFonts w:ascii="仿宋_GB2312" w:eastAsia="仿宋_GB2312"/>
      <w:bCs/>
      <w:kern w:val="2"/>
      <w:sz w:val="28"/>
      <w:szCs w:val="28"/>
    </w:rPr>
  </w:style>
  <w:style w:type="paragraph" w:customStyle="1" w:styleId="93">
    <w:name w:val="样式 首行缩进:  2 字符"/>
    <w:basedOn w:val="1"/>
    <w:qFormat/>
    <w:uiPriority w:val="0"/>
    <w:pPr>
      <w:ind w:firstLine="420" w:firstLineChars="200"/>
    </w:pPr>
    <w:rPr>
      <w:rFonts w:ascii="宋体" w:cs="宋体"/>
      <w:szCs w:val="20"/>
    </w:rPr>
  </w:style>
  <w:style w:type="paragraph" w:customStyle="1" w:styleId="94">
    <w:name w:val="列出段落5"/>
    <w:basedOn w:val="1"/>
    <w:qFormat/>
    <w:uiPriority w:val="99"/>
    <w:pPr>
      <w:ind w:firstLine="420" w:firstLineChars="200"/>
    </w:pPr>
  </w:style>
  <w:style w:type="paragraph" w:customStyle="1" w:styleId="95">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6">
    <w:name w:val="正文 A"/>
    <w:qFormat/>
    <w:uiPriority w:val="0"/>
    <w:pPr>
      <w:framePr w:wrap="around" w:vAnchor="margin" w:hAnchor="text" w:y="1"/>
      <w:widowControl w:val="0"/>
      <w:jc w:val="both"/>
    </w:pPr>
    <w:rPr>
      <w:rFonts w:ascii="Calibri" w:hAnsi="Calibri" w:eastAsia="Calibri" w:cs="Calibri"/>
      <w:color w:val="000000"/>
      <w:kern w:val="2"/>
      <w:sz w:val="21"/>
      <w:szCs w:val="21"/>
      <w:u w:color="000000"/>
      <w:lang w:val="en-US" w:eastAsia="zh-CN" w:bidi="ar-SA"/>
    </w:rPr>
  </w:style>
  <w:style w:type="paragraph" w:customStyle="1" w:styleId="97">
    <w:name w:val="Char Char Char Char Char Char Char"/>
    <w:basedOn w:val="1"/>
    <w:qFormat/>
    <w:uiPriority w:val="0"/>
  </w:style>
  <w:style w:type="paragraph" w:customStyle="1" w:styleId="98">
    <w:name w:val="List Paragraph_32a8a71d-9d51-41db-9a20-0e87fd3ab526"/>
    <w:basedOn w:val="1"/>
    <w:qFormat/>
    <w:uiPriority w:val="99"/>
    <w:pPr>
      <w:ind w:firstLine="420" w:firstLineChars="200"/>
    </w:pPr>
  </w:style>
  <w:style w:type="paragraph" w:customStyle="1" w:styleId="99">
    <w:name w:val="样式1"/>
    <w:basedOn w:val="1"/>
    <w:qFormat/>
    <w:uiPriority w:val="0"/>
    <w:pPr>
      <w:numPr>
        <w:ilvl w:val="0"/>
        <w:numId w:val="1"/>
      </w:numPr>
    </w:pPr>
    <w:rPr>
      <w:rFonts w:ascii="宋体" w:hAnsi="宋体"/>
      <w:szCs w:val="21"/>
    </w:rPr>
  </w:style>
  <w:style w:type="character" w:customStyle="1" w:styleId="100">
    <w:name w:val="px_10"/>
    <w:basedOn w:val="28"/>
    <w:qFormat/>
    <w:uiPriority w:val="0"/>
  </w:style>
  <w:style w:type="paragraph" w:customStyle="1" w:styleId="101">
    <w:name w:val="￥正文"/>
    <w:basedOn w:val="1"/>
    <w:qFormat/>
    <w:uiPriority w:val="0"/>
    <w:pPr>
      <w:spacing w:line="360" w:lineRule="auto"/>
      <w:ind w:firstLine="200" w:firstLineChars="200"/>
    </w:pPr>
    <w:rPr>
      <w:rFonts w:ascii="Calibri" w:hAnsi="Calibri"/>
    </w:rPr>
  </w:style>
  <w:style w:type="paragraph" w:customStyle="1" w:styleId="102">
    <w:name w:val="p0"/>
    <w:basedOn w:val="1"/>
    <w:qFormat/>
    <w:uiPriority w:val="0"/>
    <w:rPr>
      <w:szCs w:val="21"/>
    </w:rPr>
  </w:style>
  <w:style w:type="paragraph" w:customStyle="1" w:styleId="103">
    <w:name w:val="正文文"/>
    <w:basedOn w:val="1"/>
    <w:qFormat/>
    <w:uiPriority w:val="0"/>
    <w:pPr>
      <w:spacing w:line="360" w:lineRule="auto"/>
      <w:ind w:firstLine="420" w:firstLineChars="200"/>
    </w:pPr>
    <w:rPr>
      <w:rFonts w:hAnsi="宋体"/>
    </w:rPr>
  </w:style>
  <w:style w:type="paragraph" w:customStyle="1" w:styleId="104">
    <w:name w:val="列出段落6"/>
    <w:basedOn w:val="1"/>
    <w:qFormat/>
    <w:uiPriority w:val="34"/>
    <w:pPr>
      <w:ind w:firstLine="420" w:firstLineChars="200"/>
    </w:pPr>
    <w:rPr>
      <w:rFonts w:ascii="Calibri" w:hAnsi="Calibri"/>
      <w:szCs w:val="22"/>
    </w:rPr>
  </w:style>
  <w:style w:type="paragraph" w:customStyle="1" w:styleId="105">
    <w:name w:val="Blockquote"/>
    <w:basedOn w:val="1"/>
    <w:qFormat/>
    <w:uiPriority w:val="0"/>
    <w:pPr>
      <w:ind w:left="360" w:right="360"/>
    </w:pPr>
  </w:style>
  <w:style w:type="paragraph" w:customStyle="1" w:styleId="106">
    <w:name w:val="缺省文本"/>
    <w:basedOn w:val="1"/>
    <w:qFormat/>
    <w:uiPriority w:val="0"/>
    <w:pPr>
      <w:autoSpaceDE w:val="0"/>
      <w:autoSpaceDN w:val="0"/>
      <w:adjustRightInd w:val="0"/>
      <w:jc w:val="left"/>
    </w:pPr>
    <w:rPr>
      <w:kern w:val="0"/>
    </w:rPr>
  </w:style>
  <w:style w:type="character" w:customStyle="1" w:styleId="107">
    <w:name w:val="con"/>
    <w:qFormat/>
    <w:uiPriority w:val="0"/>
  </w:style>
  <w:style w:type="paragraph" w:customStyle="1" w:styleId="108">
    <w:name w:val="Char Char Char1"/>
    <w:basedOn w:val="9"/>
    <w:qFormat/>
    <w:uiPriority w:val="0"/>
    <w:rPr>
      <w:rFonts w:ascii="Tahoma" w:hAnsi="Tahoma"/>
    </w:rPr>
  </w:style>
  <w:style w:type="character" w:customStyle="1" w:styleId="109">
    <w:name w:val="标题 1 字符"/>
    <w:basedOn w:val="28"/>
    <w:link w:val="3"/>
    <w:qFormat/>
    <w:uiPriority w:val="9"/>
    <w:rPr>
      <w:b/>
      <w:bCs/>
      <w:kern w:val="44"/>
      <w:sz w:val="44"/>
      <w:szCs w:val="44"/>
    </w:rPr>
  </w:style>
  <w:style w:type="paragraph" w:customStyle="1" w:styleId="110">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111">
    <w:name w:val="fontstyle01"/>
    <w:basedOn w:val="28"/>
    <w:qFormat/>
    <w:uiPriority w:val="0"/>
    <w:rPr>
      <w:rFonts w:hint="default" w:ascii="仿宋" w:hAnsi="仿宋"/>
      <w:color w:val="000000"/>
      <w:sz w:val="22"/>
      <w:szCs w:val="22"/>
    </w:rPr>
  </w:style>
  <w:style w:type="paragraph" w:customStyle="1" w:styleId="112">
    <w:name w:val="正文文本缩进2"/>
    <w:basedOn w:val="1"/>
    <w:qFormat/>
    <w:uiPriority w:val="0"/>
    <w:pPr>
      <w:widowControl/>
      <w:spacing w:after="120"/>
      <w:ind w:left="420" w:leftChars="200"/>
      <w:jc w:val="left"/>
    </w:pPr>
    <w:rPr>
      <w:kern w:val="0"/>
      <w:sz w:val="34"/>
      <w:szCs w:val="20"/>
    </w:rPr>
  </w:style>
  <w:style w:type="paragraph" w:customStyle="1" w:styleId="113">
    <w:name w:val="脚注文本1"/>
    <w:basedOn w:val="1"/>
    <w:next w:val="21"/>
    <w:link w:val="114"/>
    <w:unhideWhenUsed/>
    <w:qFormat/>
    <w:uiPriority w:val="99"/>
    <w:pPr>
      <w:widowControl/>
      <w:snapToGrid w:val="0"/>
      <w:spacing w:after="160" w:line="259" w:lineRule="auto"/>
      <w:jc w:val="left"/>
    </w:pPr>
    <w:rPr>
      <w:rFonts w:ascii="Calibri" w:hAnsi="Calibri"/>
      <w:kern w:val="0"/>
      <w:sz w:val="18"/>
      <w:szCs w:val="18"/>
    </w:rPr>
  </w:style>
  <w:style w:type="character" w:customStyle="1" w:styleId="114">
    <w:name w:val="脚注文本 字符"/>
    <w:basedOn w:val="28"/>
    <w:link w:val="113"/>
    <w:semiHidden/>
    <w:qFormat/>
    <w:uiPriority w:val="99"/>
    <w:rPr>
      <w:rFonts w:ascii="Calibri" w:hAnsi="Calibri"/>
      <w:sz w:val="18"/>
      <w:szCs w:val="18"/>
    </w:rPr>
  </w:style>
  <w:style w:type="character" w:customStyle="1" w:styleId="115">
    <w:name w:val="脚注文本 字符1"/>
    <w:basedOn w:val="28"/>
    <w:link w:val="21"/>
    <w:semiHidden/>
    <w:qFormat/>
    <w:uiPriority w:val="99"/>
    <w:rPr>
      <w:kern w:val="2"/>
      <w:sz w:val="18"/>
      <w:szCs w:val="18"/>
    </w:rPr>
  </w:style>
  <w:style w:type="table" w:customStyle="1" w:styleId="116">
    <w:name w:val="表"/>
    <w:basedOn w:val="26"/>
    <w:qFormat/>
    <w:uiPriority w:val="39"/>
    <w:pPr>
      <w:contextualSpacing/>
    </w:pPr>
    <w:rPr>
      <w:rFonts w:ascii="Calibri" w:hAnsi="Calibri"/>
      <w:sz w:val="24"/>
    </w:rPr>
    <w:tblP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style>
  <w:style w:type="character" w:customStyle="1" w:styleId="117">
    <w:name w:val="bord3"/>
    <w:basedOn w:val="28"/>
    <w:qFormat/>
    <w:uiPriority w:val="99"/>
    <w:rPr>
      <w:rFonts w:ascii="Verdana" w:hAnsi="Verdana" w:cs="Times New Roman"/>
      <w:w w:val="100"/>
      <w:sz w:val="21"/>
      <w:szCs w:val="21"/>
      <w:shd w:val="clear" w:color="auto" w:fill="auto"/>
    </w:rPr>
  </w:style>
  <w:style w:type="character" w:customStyle="1" w:styleId="118">
    <w:name w:val="font21"/>
    <w:basedOn w:val="28"/>
    <w:qFormat/>
    <w:uiPriority w:val="0"/>
    <w:rPr>
      <w:rFonts w:hint="eastAsia" w:ascii="宋体" w:hAnsi="宋体" w:eastAsia="宋体" w:cs="宋体"/>
      <w:color w:val="000000"/>
      <w:sz w:val="24"/>
      <w:szCs w:val="24"/>
      <w:u w:val="none"/>
    </w:rPr>
  </w:style>
  <w:style w:type="character" w:customStyle="1" w:styleId="119">
    <w:name w:val="zt-lm1-r-t-xz"/>
    <w:basedOn w:val="28"/>
    <w:qFormat/>
    <w:uiPriority w:val="0"/>
    <w:rPr>
      <w:shd w:val="clear" w:color="auto" w:fill="0359A6"/>
    </w:rPr>
  </w:style>
  <w:style w:type="character" w:customStyle="1" w:styleId="120">
    <w:name w:val="zt-lm1-r-t-xz1"/>
    <w:basedOn w:val="28"/>
    <w:qFormat/>
    <w:uiPriority w:val="0"/>
  </w:style>
  <w:style w:type="character" w:customStyle="1" w:styleId="121">
    <w:name w:val="zt-lm1-r-t-xz2"/>
    <w:basedOn w:val="28"/>
    <w:qFormat/>
    <w:uiPriority w:val="0"/>
  </w:style>
  <w:style w:type="character" w:customStyle="1" w:styleId="122">
    <w:name w:val="hui"/>
    <w:basedOn w:val="28"/>
    <w:qFormat/>
    <w:uiPriority w:val="0"/>
    <w:rPr>
      <w:color w:val="999999"/>
    </w:rPr>
  </w:style>
  <w:style w:type="character" w:customStyle="1" w:styleId="123">
    <w:name w:val="hui1"/>
    <w:basedOn w:val="28"/>
    <w:qFormat/>
    <w:uiPriority w:val="0"/>
    <w:rPr>
      <w:color w:val="999999"/>
    </w:rPr>
  </w:style>
  <w:style w:type="character" w:customStyle="1" w:styleId="124">
    <w:name w:val="zx-xuan1"/>
    <w:basedOn w:val="28"/>
    <w:qFormat/>
    <w:uiPriority w:val="0"/>
    <w:rPr>
      <w:rFonts w:ascii="Î¢ï¿½ï¿½ï¿½Åºï¿½" w:hAnsi="Î¢ï¿½ï¿½ï¿½Åºï¿½" w:eastAsia="Î¢ï¿½ï¿½ï¿½Åºï¿½" w:cs="Î¢ï¿½ï¿½ï¿½Åºï¿½"/>
      <w:color w:val="FFFFFF"/>
      <w:sz w:val="27"/>
      <w:szCs w:val="27"/>
      <w:shd w:val="clear" w:color="auto" w:fill="3F6ECF"/>
    </w:rPr>
  </w:style>
  <w:style w:type="paragraph" w:customStyle="1" w:styleId="125">
    <w:name w:val="Heading Left"/>
    <w:basedOn w:val="1"/>
    <w:qFormat/>
    <w:uiPriority w:val="0"/>
    <w:pPr>
      <w:widowControl/>
      <w:topLinePunct/>
      <w:snapToGrid w:val="0"/>
      <w:spacing w:line="240" w:lineRule="atLeast"/>
    </w:pPr>
    <w:rPr>
      <w:rFonts w:hint="eastAsia" w:cs="Arial"/>
      <w:sz w:val="20"/>
      <w:szCs w:val="20"/>
    </w:rPr>
  </w:style>
  <w:style w:type="paragraph" w:customStyle="1" w:styleId="126">
    <w:name w:val="Heading Right"/>
    <w:basedOn w:val="1"/>
    <w:qFormat/>
    <w:uiPriority w:val="0"/>
    <w:pPr>
      <w:widowControl/>
      <w:topLinePunct/>
      <w:snapToGrid w:val="0"/>
      <w:spacing w:line="240" w:lineRule="atLeast"/>
      <w:jc w:val="right"/>
    </w:pPr>
    <w:rPr>
      <w:rFonts w:hint="eastAsia" w:cs="Arial"/>
      <w:sz w:val="20"/>
      <w:szCs w:val="20"/>
    </w:rPr>
  </w:style>
  <w:style w:type="paragraph" w:customStyle="1" w:styleId="127">
    <w:name w:val="Heading Middle"/>
    <w:qFormat/>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 w:type="paragraph" w:customStyle="1" w:styleId="128">
    <w:name w:val="正文首行缩进1"/>
    <w:basedOn w:val="129"/>
    <w:unhideWhenUsed/>
    <w:qFormat/>
    <w:uiPriority w:val="99"/>
    <w:pPr>
      <w:spacing w:after="120"/>
      <w:ind w:firstLine="420"/>
    </w:pPr>
    <w:rPr>
      <w:sz w:val="22"/>
      <w:szCs w:val="22"/>
    </w:rPr>
  </w:style>
  <w:style w:type="paragraph" w:customStyle="1" w:styleId="129">
    <w:name w:val="正文文本11"/>
    <w:basedOn w:val="1"/>
    <w:qFormat/>
    <w:uiPriority w:val="0"/>
    <w:rPr>
      <w:rFonts w:ascii="楷体_GB2312" w:hAnsi="Arial" w:eastAsia="楷体_GB2312"/>
      <w:sz w:val="28"/>
      <w:szCs w:val="28"/>
    </w:rPr>
  </w:style>
  <w:style w:type="paragraph" w:customStyle="1" w:styleId="130">
    <w:name w:val="页眉1"/>
    <w:basedOn w:val="1"/>
    <w:qFormat/>
    <w:uiPriority w:val="0"/>
    <w:pPr>
      <w:pBdr>
        <w:bottom w:val="single" w:color="000000" w:sz="6" w:space="1"/>
      </w:pBdr>
      <w:tabs>
        <w:tab w:val="center" w:pos="4153"/>
        <w:tab w:val="right" w:pos="8306"/>
      </w:tabs>
      <w:jc w:val="center"/>
    </w:pPr>
    <w:rPr>
      <w:sz w:val="18"/>
      <w:szCs w:val="18"/>
    </w:rPr>
  </w:style>
  <w:style w:type="paragraph" w:customStyle="1" w:styleId="131">
    <w:name w:val="页脚1"/>
    <w:basedOn w:val="1"/>
    <w:qFormat/>
    <w:uiPriority w:val="0"/>
    <w:pPr>
      <w:tabs>
        <w:tab w:val="center" w:pos="4153"/>
        <w:tab w:val="right" w:pos="8306"/>
      </w:tabs>
      <w:jc w:val="left"/>
    </w:pPr>
    <w:rPr>
      <w:sz w:val="18"/>
      <w:szCs w:val="18"/>
    </w:rPr>
  </w:style>
  <w:style w:type="character" w:customStyle="1" w:styleId="132">
    <w:name w:val="页码1"/>
    <w:qFormat/>
    <w:uiPriority w:val="0"/>
    <w:rPr>
      <w:rFonts w:ascii="Times New Roman" w:hAnsi="Times New Roman" w:eastAsia="宋体" w:cs="Times New Roman"/>
      <w:kern w:val="2"/>
      <w:sz w:val="24"/>
      <w:szCs w:val="24"/>
      <w:lang w:val="en-US" w:eastAsia="zh-CN" w:bidi="ar-SA"/>
    </w:rPr>
  </w:style>
  <w:style w:type="character" w:customStyle="1" w:styleId="133">
    <w:name w:val="NormalCharacter"/>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72</Pages>
  <Words>13966</Words>
  <Characters>14650</Characters>
  <Lines>26</Lines>
  <Paragraphs>63</Paragraphs>
  <TotalTime>1</TotalTime>
  <ScaleCrop>false</ScaleCrop>
  <LinksUpToDate>false</LinksUpToDate>
  <CharactersWithSpaces>14756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2024-10-13T02:10:00Z</dcterms:created>
  <dc:creator>X</dc:creator>
  <cp:lastModifiedBy>许珑瀚</cp:lastModifiedBy>
  <cp:lastPrinted>2024-09-21T01:06:00Z</cp:lastPrinted>
  <dcterms:modified xsi:type="dcterms:W3CDTF">2025-11-17T02:45:15Z</dcterms:modified>
  <dc:title>海口市政府采购文件</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C91E0A7C30A74FFB872C45EC85577203_13</vt:lpwstr>
  </property>
  <property fmtid="{D5CDD505-2E9C-101B-9397-08002B2CF9AE}" pid="4" name="KSOTemplateDocerSaveRecord">
    <vt:lpwstr>eyJoZGlkIjoiODI2YzQ4MWNiMjhlNGNjMjFhMzk4NTA0NDA4MTkxYjgiLCJ1c2VySWQiOiIzMTgxNDQyODEifQ==</vt:lpwstr>
  </property>
</Properties>
</file>