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0DEECA">
      <w:pPr>
        <w:spacing w:before="159" w:after="159" w:line="360" w:lineRule="auto"/>
        <w:jc w:val="center"/>
        <w:outlineLvl w:val="0"/>
        <w:rPr>
          <w:rFonts w:hint="eastAsia" w:ascii="宋体" w:hAnsi="宋体" w:eastAsia="宋体" w:cs="宋体"/>
          <w:b/>
          <w:color w:val="auto"/>
          <w:sz w:val="44"/>
          <w:szCs w:val="44"/>
          <w:highlight w:val="none"/>
          <w:lang w:val="en-US" w:eastAsia="zh-CN" w:bidi="ar-SA"/>
        </w:rPr>
      </w:pPr>
      <w:r>
        <w:rPr>
          <w:rFonts w:hint="eastAsia" w:ascii="宋体" w:hAnsi="宋体" w:eastAsia="宋体" w:cs="宋体"/>
          <w:b/>
          <w:color w:val="auto"/>
          <w:sz w:val="44"/>
          <w:szCs w:val="44"/>
          <w:highlight w:val="none"/>
          <w:lang w:bidi="ar-SA"/>
        </w:rPr>
        <w:t>采购需求</w:t>
      </w:r>
    </w:p>
    <w:p w14:paraId="236624D5">
      <w:pPr>
        <w:keepNext w:val="0"/>
        <w:keepLines w:val="0"/>
        <w:widowControl w:val="0"/>
        <w:suppressLineNumbers w:val="0"/>
        <w:spacing w:before="159" w:beforeAutospacing="0" w:after="159" w:afterAutospacing="0" w:line="360" w:lineRule="auto"/>
        <w:ind w:left="0" w:right="0" w:firstLine="562" w:firstLineChars="200"/>
        <w:jc w:val="both"/>
        <w:outlineLvl w:val="1"/>
        <w:rPr>
          <w:rFonts w:hint="eastAsia" w:ascii="宋体" w:hAnsi="宋体" w:eastAsia="宋体" w:cs="宋体"/>
          <w:b/>
          <w:bCs w:val="0"/>
          <w:color w:val="auto"/>
          <w:kern w:val="2"/>
          <w:sz w:val="28"/>
          <w:szCs w:val="28"/>
        </w:rPr>
      </w:pPr>
      <w:r>
        <w:rPr>
          <w:rFonts w:hint="eastAsia" w:ascii="宋体" w:hAnsi="宋体" w:eastAsia="宋体" w:cs="宋体"/>
          <w:b/>
          <w:bCs w:val="0"/>
          <w:color w:val="auto"/>
          <w:kern w:val="2"/>
          <w:sz w:val="28"/>
          <w:szCs w:val="28"/>
          <w:lang w:val="en-US" w:eastAsia="zh-CN" w:bidi="ar"/>
        </w:rPr>
        <w:t>一、项目概况</w:t>
      </w:r>
    </w:p>
    <w:p w14:paraId="34B1AC29">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1.项目名称：</w:t>
      </w:r>
      <w:r>
        <w:rPr>
          <w:rFonts w:hint="eastAsia" w:ascii="宋体" w:hAnsi="宋体" w:cs="宋体"/>
          <w:color w:val="auto"/>
          <w:kern w:val="2"/>
          <w:sz w:val="24"/>
          <w:szCs w:val="24"/>
          <w:lang w:val="en-US" w:eastAsia="zh-CN" w:bidi="ar"/>
        </w:rPr>
        <w:t>海南省体育彩票管理中心官方自媒体运营服务项目</w:t>
      </w:r>
      <w:r>
        <w:rPr>
          <w:rFonts w:hint="eastAsia" w:ascii="宋体" w:hAnsi="宋体" w:eastAsia="宋体" w:cs="宋体"/>
          <w:color w:val="auto"/>
          <w:kern w:val="2"/>
          <w:sz w:val="24"/>
          <w:szCs w:val="24"/>
          <w:lang w:val="en-US" w:eastAsia="zh-CN" w:bidi="ar"/>
        </w:rPr>
        <w:t>；</w:t>
      </w:r>
    </w:p>
    <w:p w14:paraId="2BFF16F0">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2.项目单位：</w:t>
      </w:r>
      <w:r>
        <w:rPr>
          <w:rFonts w:hint="eastAsia" w:ascii="宋体" w:hAnsi="宋体" w:cs="宋体"/>
          <w:color w:val="auto"/>
          <w:kern w:val="2"/>
          <w:sz w:val="24"/>
          <w:szCs w:val="24"/>
          <w:lang w:val="en-US" w:eastAsia="zh-CN" w:bidi="ar"/>
        </w:rPr>
        <w:t>海南省体育彩票管理中心</w:t>
      </w:r>
      <w:r>
        <w:rPr>
          <w:rFonts w:hint="eastAsia" w:ascii="宋体" w:hAnsi="宋体" w:eastAsia="宋体" w:cs="宋体"/>
          <w:color w:val="auto"/>
          <w:kern w:val="2"/>
          <w:sz w:val="24"/>
          <w:szCs w:val="24"/>
          <w:lang w:val="en-US" w:eastAsia="zh-CN" w:bidi="ar"/>
        </w:rPr>
        <w:t>；</w:t>
      </w:r>
    </w:p>
    <w:p w14:paraId="64EA1DE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3.项目编号：</w:t>
      </w:r>
      <w:r>
        <w:rPr>
          <w:rFonts w:hint="eastAsia" w:ascii="宋体" w:hAnsi="宋体" w:cs="宋体"/>
          <w:color w:val="auto"/>
          <w:kern w:val="2"/>
          <w:sz w:val="24"/>
          <w:szCs w:val="24"/>
          <w:lang w:val="en-US" w:eastAsia="zh-CN" w:bidi="ar"/>
        </w:rPr>
        <w:t>HNZY2025-164</w:t>
      </w:r>
      <w:r>
        <w:rPr>
          <w:rFonts w:hint="eastAsia" w:ascii="宋体" w:hAnsi="宋体" w:eastAsia="宋体" w:cs="宋体"/>
          <w:color w:val="auto"/>
          <w:kern w:val="2"/>
          <w:sz w:val="24"/>
          <w:szCs w:val="24"/>
          <w:lang w:val="en-US" w:eastAsia="zh-CN" w:bidi="ar"/>
        </w:rPr>
        <w:t>；</w:t>
      </w:r>
    </w:p>
    <w:p w14:paraId="7E9867C4">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highlight w:val="yellow"/>
          <w:lang w:val="en-US" w:eastAsia="zh-CN" w:bidi="ar"/>
        </w:rPr>
      </w:pPr>
      <w:r>
        <w:rPr>
          <w:rFonts w:hint="eastAsia" w:ascii="宋体" w:hAnsi="宋体" w:cs="宋体"/>
          <w:color w:val="auto"/>
          <w:kern w:val="2"/>
          <w:sz w:val="24"/>
          <w:szCs w:val="24"/>
          <w:lang w:val="en-US" w:eastAsia="zh-CN" w:bidi="ar"/>
        </w:rPr>
        <w:t>4</w:t>
      </w:r>
      <w:r>
        <w:rPr>
          <w:rFonts w:hint="eastAsia" w:ascii="宋体" w:hAnsi="宋体" w:eastAsia="宋体" w:cs="宋体"/>
          <w:color w:val="auto"/>
          <w:kern w:val="2"/>
          <w:sz w:val="24"/>
          <w:szCs w:val="24"/>
          <w:lang w:val="en-US" w:eastAsia="zh-CN" w:bidi="ar"/>
        </w:rPr>
        <w:t>.</w:t>
      </w:r>
      <w:r>
        <w:rPr>
          <w:rFonts w:hint="eastAsia" w:ascii="宋体" w:hAnsi="宋体" w:cs="宋体"/>
          <w:color w:val="auto"/>
          <w:kern w:val="2"/>
          <w:sz w:val="24"/>
          <w:szCs w:val="24"/>
          <w:lang w:val="en-US" w:eastAsia="zh-CN" w:bidi="ar"/>
        </w:rPr>
        <w:t>合同</w:t>
      </w:r>
      <w:r>
        <w:rPr>
          <w:rFonts w:hint="eastAsia" w:ascii="宋体" w:hAnsi="宋体" w:eastAsia="宋体" w:cs="宋体"/>
          <w:color w:val="auto"/>
          <w:kern w:val="2"/>
          <w:sz w:val="24"/>
          <w:szCs w:val="24"/>
          <w:lang w:val="en-US" w:eastAsia="zh-CN" w:bidi="ar"/>
        </w:rPr>
        <w:t>履行期限（服务期）</w:t>
      </w:r>
      <w:r>
        <w:rPr>
          <w:rFonts w:hint="eastAsia" w:ascii="宋体" w:hAnsi="宋体" w:eastAsia="宋体" w:cs="宋体"/>
          <w:color w:val="auto"/>
          <w:kern w:val="2"/>
          <w:sz w:val="24"/>
          <w:szCs w:val="24"/>
          <w:highlight w:val="none"/>
          <w:lang w:val="en-US" w:eastAsia="zh-CN" w:bidi="ar"/>
        </w:rPr>
        <w:t>：</w:t>
      </w:r>
      <w:r>
        <w:rPr>
          <w:rFonts w:hint="eastAsia" w:ascii="宋体" w:hAnsi="宋体" w:cs="宋体"/>
          <w:color w:val="auto"/>
          <w:kern w:val="2"/>
          <w:sz w:val="24"/>
          <w:szCs w:val="24"/>
          <w:highlight w:val="none"/>
          <w:lang w:val="en-US" w:eastAsia="zh-CN" w:bidi="ar"/>
        </w:rPr>
        <w:t>本合同自双方签字盖章之日起生效，有效期为一年；</w:t>
      </w:r>
    </w:p>
    <w:p w14:paraId="0736D21C">
      <w:pPr>
        <w:pStyle w:val="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color w:val="auto"/>
          <w:kern w:val="2"/>
          <w:sz w:val="24"/>
          <w:szCs w:val="24"/>
          <w:lang w:val="en-US" w:eastAsia="zh-CN" w:bidi="ar"/>
        </w:rPr>
      </w:pPr>
      <w:r>
        <w:rPr>
          <w:rFonts w:hint="eastAsia" w:cs="宋体"/>
          <w:b w:val="0"/>
          <w:color w:val="auto"/>
          <w:kern w:val="2"/>
          <w:sz w:val="24"/>
          <w:szCs w:val="24"/>
          <w:lang w:val="en-US" w:eastAsia="zh-CN" w:bidi="ar"/>
        </w:rPr>
        <w:t>5.</w:t>
      </w:r>
      <w:r>
        <w:rPr>
          <w:rFonts w:hint="eastAsia" w:ascii="宋体" w:hAnsi="宋体" w:eastAsia="宋体" w:cs="宋体"/>
          <w:b w:val="0"/>
          <w:color w:val="auto"/>
          <w:kern w:val="2"/>
          <w:sz w:val="24"/>
          <w:szCs w:val="24"/>
          <w:lang w:val="en-US" w:eastAsia="zh-CN" w:bidi="ar"/>
        </w:rPr>
        <w:t>服务地点：采购人指定地点；</w:t>
      </w:r>
    </w:p>
    <w:p w14:paraId="7D55577A">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二、项目背景</w:t>
      </w:r>
    </w:p>
    <w:p w14:paraId="05D012EB">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根据总局体彩中心关于2025年品牌营销宣传工作培训会议精神，结合《关于管好用好2025年彩票市场调控资金充分发挥资金使用效益的通知》体彩字〔2024〕320号、《2025年体育彩票工作要点》（体彩字〔2025〕147号）、《国家体育总局体育彩票管理中心关于开展2025年度省市销售机构工作评估的通知》（体彩字〔2025〕160号）、《关于印发2025年度销售机构工作评估任务分解的通知》和《国家体育总局体育彩票管理中心关于开展2025年公益宣传主题传播活动的通知》（体彩字〔2025〕278号）等文件有关工作部署及考核评估要求，持续做好中心自媒体账号运营工作，进一步扩大自媒体平台矩阵覆盖，在巩固微信公众号、抖音、视频号核心阵地的基础上，探索小红书、微博等年轻化社交媒体，针对不同圈层输出定制内容，触达更多潜在用户，我中心计划开展官方自媒体运营服务项目采购工作。</w:t>
      </w:r>
    </w:p>
    <w:p w14:paraId="3C0322D5">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三、服务内容</w:t>
      </w:r>
    </w:p>
    <w:p w14:paraId="4CFBB1DA">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 xml:space="preserve">  1.协助账号申请注册及运营管理：协助中心做好微博官方账号和小红书账号申请注册。一是以合规性为底线、公益性为核心、互动性为抓手</w:t>
      </w:r>
      <w:r>
        <w:rPr>
          <w:rFonts w:hint="default" w:ascii="宋体" w:hAnsi="宋体" w:eastAsia="宋体" w:cs="宋体"/>
          <w:color w:val="auto"/>
          <w:kern w:val="2"/>
          <w:sz w:val="24"/>
          <w:szCs w:val="24"/>
          <w:lang w:val="en-US" w:eastAsia="zh-CN" w:bidi="ar"/>
        </w:rPr>
        <w:t>，同时适配微博“短平快+强社交”的平台特性，</w:t>
      </w:r>
      <w:r>
        <w:rPr>
          <w:rFonts w:hint="eastAsia" w:ascii="宋体" w:hAnsi="宋体" w:eastAsia="宋体" w:cs="宋体"/>
          <w:color w:val="auto"/>
          <w:kern w:val="2"/>
          <w:sz w:val="24"/>
          <w:szCs w:val="24"/>
          <w:lang w:val="en-US" w:eastAsia="zh-CN" w:bidi="ar"/>
        </w:rPr>
        <w:t>通过创建微博话题等形式</w:t>
      </w:r>
      <w:r>
        <w:rPr>
          <w:rFonts w:hint="default" w:ascii="宋体" w:hAnsi="宋体" w:eastAsia="宋体" w:cs="宋体"/>
          <w:color w:val="auto"/>
          <w:kern w:val="2"/>
          <w:sz w:val="24"/>
          <w:szCs w:val="24"/>
          <w:lang w:val="en-US" w:eastAsia="zh-CN" w:bidi="ar"/>
        </w:rPr>
        <w:t>传递体彩价值</w:t>
      </w:r>
      <w:r>
        <w:rPr>
          <w:rFonts w:hint="eastAsia" w:ascii="宋体" w:hAnsi="宋体" w:eastAsia="宋体" w:cs="宋体"/>
          <w:color w:val="auto"/>
          <w:kern w:val="2"/>
          <w:sz w:val="24"/>
          <w:szCs w:val="24"/>
          <w:lang w:val="en-US" w:eastAsia="zh-CN" w:bidi="ar"/>
        </w:rPr>
        <w:t>，</w:t>
      </w:r>
      <w:r>
        <w:rPr>
          <w:rFonts w:hint="default" w:ascii="宋体" w:hAnsi="宋体" w:eastAsia="宋体" w:cs="宋体"/>
          <w:color w:val="auto"/>
          <w:kern w:val="2"/>
          <w:sz w:val="24"/>
          <w:szCs w:val="24"/>
          <w:lang w:val="en-US" w:eastAsia="zh-CN" w:bidi="ar"/>
        </w:rPr>
        <w:t>提升用户粘性</w:t>
      </w:r>
      <w:r>
        <w:rPr>
          <w:rFonts w:hint="eastAsia" w:ascii="宋体" w:hAnsi="宋体" w:eastAsia="宋体" w:cs="宋体"/>
          <w:color w:val="auto"/>
          <w:kern w:val="2"/>
          <w:sz w:val="24"/>
          <w:szCs w:val="24"/>
          <w:lang w:val="en-US" w:eastAsia="zh-CN" w:bidi="ar"/>
        </w:rPr>
        <w:t>。二是借助小红书官方账号，通过制作发布海报的形式普及游戏玩法与品牌活动，通过种草等形式将体彩融入日常场景。</w:t>
      </w:r>
    </w:p>
    <w:p w14:paraId="27F22C2D">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内容策划制作及发布：一是抖音官方账号，结合地域特色，以公益彩票故事、体坛赛事、兑奖须知、购彩者教育、防范未成年人购彩为主，制作并发布短视频，辅以趣味挑战和直播互动，提升素材作品完播率和播放量。二是微信公众号、视频号，主推责任彩票和公益公信类原创图文推送、政策解读、玩法普及、中奖公告等，为公众提供网点申请咨询等相关业务解答服务，同步转载抖音平台素材。</w:t>
      </w:r>
    </w:p>
    <w:p w14:paraId="5CB74E4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3.通过AI技术平台生成体彩数字人形象短视频，通过数字人短视频传递“快乐购彩、理性投注”理念，帮助用户建立健康消费习惯。这种“教育+娱乐”的模式，比传统说教更易被接受。</w:t>
      </w:r>
    </w:p>
    <w:p w14:paraId="65A45ECE">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4.所有内容创作须根据总局中心月度宣传工作要求，结合中心实际需要，制定脚本进行拍摄制作，全年拍摄制作短视频不少于20条（每条视频时长不少于30秒）；全年拍摄制作专题微纪录片不少于5条（每条视频时长不少于3分钟）；围绕中心开展体彩品牌宣传活动制作发布原创图文信息，每月更新不少于4次，发布不少于48篇原创图文信息；原创内容选题、规格、拍摄时间、排版设计及提交形式等根据中心要求另行安排。</w:t>
      </w:r>
    </w:p>
    <w:p w14:paraId="1AF06EC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5.按月制定宣传工作计划表。根据总局中心月度宣传重点工作通知制定拍摄主题及内容等，根据实际工作需要可灵活调整，计划排期表详见附件。</w:t>
      </w:r>
    </w:p>
    <w:p w14:paraId="5AD98963">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6.根据总局中心每日发布的开奖视频进行二次剪辑并投放中心抖音平台。</w:t>
      </w:r>
    </w:p>
    <w:p w14:paraId="52D41F4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7.结合中心相关活动开展直播活动，直播内容包括但不限于购彩者教育、责任彩票、防诈反诈宣传等，全年开展不少于3场。</w:t>
      </w:r>
    </w:p>
    <w:p w14:paraId="779A45E7">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四、人员配备及技术支持</w:t>
      </w:r>
    </w:p>
    <w:p w14:paraId="2B92AF5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bookmarkStart w:id="0" w:name="OLE_LINK3"/>
      <w:r>
        <w:rPr>
          <w:rFonts w:hint="eastAsia" w:ascii="宋体" w:hAnsi="宋体" w:eastAsia="宋体" w:cs="宋体"/>
          <w:color w:val="auto"/>
          <w:kern w:val="2"/>
          <w:sz w:val="24"/>
          <w:szCs w:val="24"/>
          <w:lang w:val="en-US" w:eastAsia="zh-CN" w:bidi="ar"/>
        </w:rPr>
        <w:t>1.</w:t>
      </w:r>
      <w:bookmarkEnd w:id="0"/>
      <w:r>
        <w:rPr>
          <w:rFonts w:hint="eastAsia" w:ascii="宋体" w:hAnsi="宋体" w:eastAsia="宋体" w:cs="宋体"/>
          <w:color w:val="auto"/>
          <w:kern w:val="2"/>
          <w:sz w:val="24"/>
          <w:szCs w:val="24"/>
          <w:lang w:val="en-US" w:eastAsia="zh-CN" w:bidi="ar"/>
        </w:rPr>
        <w:t>配备专业运营团队：具有本科及以上学历，</w:t>
      </w:r>
      <w:r>
        <w:rPr>
          <w:rFonts w:hint="default" w:ascii="宋体" w:hAnsi="宋体" w:eastAsia="宋体" w:cs="宋体"/>
          <w:color w:val="auto"/>
          <w:kern w:val="2"/>
          <w:sz w:val="24"/>
          <w:szCs w:val="24"/>
          <w:lang w:val="en-US" w:eastAsia="zh-CN" w:bidi="ar"/>
        </w:rPr>
        <w:t>市场营销、新闻传播、广告学等相关专业</w:t>
      </w:r>
      <w:r>
        <w:rPr>
          <w:rFonts w:hint="eastAsia" w:ascii="宋体" w:hAnsi="宋体" w:eastAsia="宋体" w:cs="宋体"/>
          <w:color w:val="auto"/>
          <w:kern w:val="2"/>
          <w:sz w:val="24"/>
          <w:szCs w:val="24"/>
          <w:lang w:val="en-US" w:eastAsia="zh-CN" w:bidi="ar"/>
        </w:rPr>
        <w:t>。具备独立完成</w:t>
      </w:r>
      <w:r>
        <w:rPr>
          <w:rFonts w:hint="default" w:ascii="宋体" w:hAnsi="宋体" w:eastAsia="宋体" w:cs="宋体"/>
          <w:color w:val="auto"/>
          <w:kern w:val="2"/>
          <w:sz w:val="24"/>
          <w:szCs w:val="24"/>
          <w:lang w:val="en-US" w:eastAsia="zh-CN" w:bidi="ar"/>
        </w:rPr>
        <w:t>图文</w:t>
      </w:r>
      <w:r>
        <w:rPr>
          <w:rFonts w:hint="eastAsia" w:ascii="宋体" w:hAnsi="宋体" w:eastAsia="宋体" w:cs="宋体"/>
          <w:color w:val="auto"/>
          <w:kern w:val="2"/>
          <w:sz w:val="24"/>
          <w:szCs w:val="24"/>
          <w:lang w:val="en-US" w:eastAsia="zh-CN" w:bidi="ar"/>
        </w:rPr>
        <w:t>编辑撰写</w:t>
      </w:r>
      <w:r>
        <w:rPr>
          <w:rFonts w:hint="default" w:ascii="宋体" w:hAnsi="宋体" w:eastAsia="宋体" w:cs="宋体"/>
          <w:color w:val="auto"/>
          <w:kern w:val="2"/>
          <w:sz w:val="24"/>
          <w:szCs w:val="24"/>
          <w:lang w:val="en-US" w:eastAsia="zh-CN" w:bidi="ar"/>
        </w:rPr>
        <w:t>、短视频</w:t>
      </w:r>
      <w:r>
        <w:rPr>
          <w:rFonts w:hint="eastAsia" w:ascii="宋体" w:hAnsi="宋体" w:eastAsia="宋体" w:cs="宋体"/>
          <w:color w:val="auto"/>
          <w:kern w:val="2"/>
          <w:sz w:val="24"/>
          <w:szCs w:val="24"/>
          <w:lang w:val="en-US" w:eastAsia="zh-CN" w:bidi="ar"/>
        </w:rPr>
        <w:t>拍摄及后期制作</w:t>
      </w:r>
      <w:r>
        <w:rPr>
          <w:rFonts w:hint="default" w:ascii="宋体" w:hAnsi="宋体" w:eastAsia="宋体" w:cs="宋体"/>
          <w:color w:val="auto"/>
          <w:kern w:val="2"/>
          <w:sz w:val="24"/>
          <w:szCs w:val="24"/>
          <w:lang w:val="en-US" w:eastAsia="zh-CN" w:bidi="ar"/>
        </w:rPr>
        <w:t>、直播全流程</w:t>
      </w:r>
      <w:r>
        <w:rPr>
          <w:rFonts w:hint="eastAsia" w:ascii="宋体" w:hAnsi="宋体" w:eastAsia="宋体" w:cs="宋体"/>
          <w:color w:val="auto"/>
          <w:kern w:val="2"/>
          <w:sz w:val="24"/>
          <w:szCs w:val="24"/>
          <w:lang w:val="en-US" w:eastAsia="zh-CN" w:bidi="ar"/>
        </w:rPr>
        <w:t>布设，稳定驻点。</w:t>
      </w:r>
    </w:p>
    <w:p w14:paraId="7A6831D3">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2.熟悉掌握运用AI视频生成技术平台、剪映、必剪、云剪辑等app对图文、视频素材等进行内容创作和编辑。</w:t>
      </w:r>
    </w:p>
    <w:p w14:paraId="1BBD6694">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提供满足各类视频、直播所需人员数量，确保视频拍摄质量和直播质量。协助中心做好自媒体账号运营，直播布设及流程把控，及时对接外部达人资源，推动跨界合作与内容推送，优化内容策略并跟踪推广效果。</w:t>
      </w:r>
    </w:p>
    <w:p w14:paraId="071B4F3A">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default"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4.按季度针对中心自媒体账号的运营情况提交工作小结，围绕作品流量情况、粉丝涨幅情况等进行综合分析，及时优化改进自媒体账号的运营。编写年度绩效报告，汇报总结全年账号运营情况、改进方向及下一步工作计划。</w:t>
      </w:r>
    </w:p>
    <w:p w14:paraId="451437F2">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五、生产工具与技术支持</w:t>
      </w:r>
    </w:p>
    <w:p w14:paraId="675A2D47">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1.社交媒体管理工具：及时对自媒体平台上的作品流量数据、粉丝涨幅动态进行监测跟踪，及时监控平台用户活跃情况及舆论走势，通过对数据的抓取及时调整运营策略，优化内容创作和发布，提高传播效果和用户参与度。</w:t>
      </w:r>
    </w:p>
    <w:p w14:paraId="2B5BC33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2.直播硬件设备：拥有高清直播设备、无人机、无线麦克风、打光设备、固定三脚架以及稳定器等，确保高质量直播内容输出。</w:t>
      </w:r>
    </w:p>
    <w:p w14:paraId="34700DF0">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六、项目预算</w:t>
      </w:r>
    </w:p>
    <w:p w14:paraId="080B1EE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项目整体预算59.0588万元，费用包含：宣传主题策划、素材内容拍摄制作、平台基础运营、宣传物料设计采购、直播策划拍摄、运营报告撰写、项目人员差旅费及相关税金等与项目有关的一切费用。</w:t>
      </w:r>
    </w:p>
    <w:p w14:paraId="7486BB8E">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p w14:paraId="5BBF41F0">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七、服务方要求及验收标准</w:t>
      </w:r>
    </w:p>
    <w:p w14:paraId="6F5C374F">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1.服务方应具备独立承担民事责任的能力，良好的信誉和健全的财务会计制度；参与政府采购活动近三年内在经营活动中无重大违法记录；</w:t>
      </w:r>
    </w:p>
    <w:p w14:paraId="5D80C58D">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2.服务方需认真阅读采购需求，并确保能够满足我中心的实际需求；提供响应文件时应提供详细的实施方案，并严格按照采购需求和实施方案提供服务；</w:t>
      </w:r>
    </w:p>
    <w:p w14:paraId="0CF63D2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3.为做好中心自媒体宣传，服务方需在制作素材或直播过程中按照我中心要求制作现场主背景、体彩宣传语字幕或悬挂横幅等有关宣传物料；</w:t>
      </w:r>
    </w:p>
    <w:p w14:paraId="6B31EFF7">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4.服务方按季度及年度需向我中心作工作汇报总结，项目结束后服务方需提供整体验收报告（包括绩效指标完成情况、直播工作图片不少于2张、季度及年度工作总结、原创素材源文件等）；</w:t>
      </w:r>
    </w:p>
    <w:p w14:paraId="7327D880">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5.服务方应做好直播活动应急预案、人员协调及场地搭建等相关工作，确保直播期间“零隐患、零风险、零事故”。</w:t>
      </w:r>
    </w:p>
    <w:p w14:paraId="62408BBF">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p w14:paraId="48A667CE">
      <w:pPr>
        <w:pStyle w:val="2"/>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八、绩效设置</w:t>
      </w:r>
    </w:p>
    <w:tbl>
      <w:tblPr>
        <w:tblStyle w:val="6"/>
        <w:tblW w:w="10213" w:type="dxa"/>
        <w:tblInd w:w="-8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1843"/>
        <w:gridCol w:w="4638"/>
        <w:gridCol w:w="1900"/>
      </w:tblGrid>
      <w:tr w14:paraId="60A4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832" w:type="dxa"/>
            <w:tcBorders>
              <w:top w:val="single" w:color="auto" w:sz="4" w:space="0"/>
              <w:left w:val="single" w:color="auto" w:sz="4" w:space="0"/>
              <w:bottom w:val="single" w:color="auto" w:sz="4" w:space="0"/>
              <w:right w:val="single" w:color="auto" w:sz="4" w:space="0"/>
            </w:tcBorders>
            <w:vAlign w:val="center"/>
          </w:tcPr>
          <w:p w14:paraId="6680CAD9">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一级指标</w:t>
            </w:r>
          </w:p>
        </w:tc>
        <w:tc>
          <w:tcPr>
            <w:tcW w:w="1843" w:type="dxa"/>
            <w:tcBorders>
              <w:top w:val="single" w:color="auto" w:sz="4" w:space="0"/>
              <w:left w:val="nil"/>
              <w:bottom w:val="single" w:color="auto" w:sz="4" w:space="0"/>
              <w:right w:val="single" w:color="auto" w:sz="4" w:space="0"/>
            </w:tcBorders>
            <w:vAlign w:val="center"/>
          </w:tcPr>
          <w:p w14:paraId="576520D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二级指标</w:t>
            </w:r>
          </w:p>
        </w:tc>
        <w:tc>
          <w:tcPr>
            <w:tcW w:w="4638" w:type="dxa"/>
            <w:tcBorders>
              <w:top w:val="single" w:color="auto" w:sz="4" w:space="0"/>
              <w:left w:val="nil"/>
              <w:bottom w:val="single" w:color="auto" w:sz="4" w:space="0"/>
              <w:right w:val="single" w:color="auto" w:sz="4" w:space="0"/>
            </w:tcBorders>
            <w:vAlign w:val="center"/>
          </w:tcPr>
          <w:p w14:paraId="3871B8F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三级指标</w:t>
            </w:r>
          </w:p>
        </w:tc>
        <w:tc>
          <w:tcPr>
            <w:tcW w:w="1900" w:type="dxa"/>
            <w:tcBorders>
              <w:top w:val="single" w:color="auto" w:sz="4" w:space="0"/>
              <w:left w:val="nil"/>
              <w:bottom w:val="single" w:color="auto" w:sz="4" w:space="0"/>
              <w:right w:val="single" w:color="auto" w:sz="4" w:space="0"/>
            </w:tcBorders>
            <w:vAlign w:val="center"/>
          </w:tcPr>
          <w:p w14:paraId="6420F875">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年度指标值</w:t>
            </w:r>
          </w:p>
        </w:tc>
      </w:tr>
      <w:tr w14:paraId="262F8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832" w:type="dxa"/>
            <w:vMerge w:val="restart"/>
            <w:tcBorders>
              <w:top w:val="nil"/>
              <w:left w:val="single" w:color="auto" w:sz="4" w:space="0"/>
              <w:right w:val="single" w:color="auto" w:sz="4" w:space="0"/>
            </w:tcBorders>
            <w:vAlign w:val="center"/>
          </w:tcPr>
          <w:p w14:paraId="5F56CED0">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产出指标</w:t>
            </w:r>
          </w:p>
        </w:tc>
        <w:tc>
          <w:tcPr>
            <w:tcW w:w="1843" w:type="dxa"/>
            <w:vMerge w:val="restart"/>
            <w:tcBorders>
              <w:top w:val="nil"/>
              <w:left w:val="nil"/>
              <w:right w:val="single" w:color="auto" w:sz="4" w:space="0"/>
            </w:tcBorders>
            <w:vAlign w:val="center"/>
          </w:tcPr>
          <w:p w14:paraId="255A0B64">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数量指标</w:t>
            </w:r>
          </w:p>
        </w:tc>
        <w:tc>
          <w:tcPr>
            <w:tcW w:w="4638" w:type="dxa"/>
            <w:tcBorders>
              <w:top w:val="single" w:color="auto" w:sz="4" w:space="0"/>
              <w:left w:val="nil"/>
              <w:right w:val="single" w:color="auto" w:sz="4" w:space="0"/>
            </w:tcBorders>
            <w:vAlign w:val="center"/>
          </w:tcPr>
          <w:p w14:paraId="7CEC500B">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短视频拍摄制作及发布</w:t>
            </w:r>
          </w:p>
        </w:tc>
        <w:tc>
          <w:tcPr>
            <w:tcW w:w="1900" w:type="dxa"/>
            <w:tcBorders>
              <w:top w:val="single" w:color="auto" w:sz="4" w:space="0"/>
              <w:left w:val="nil"/>
              <w:right w:val="single" w:color="auto" w:sz="4" w:space="0"/>
            </w:tcBorders>
            <w:vAlign w:val="center"/>
          </w:tcPr>
          <w:p w14:paraId="22686987">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20个</w:t>
            </w:r>
          </w:p>
        </w:tc>
      </w:tr>
      <w:tr w14:paraId="32A63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832" w:type="dxa"/>
            <w:vMerge w:val="continue"/>
            <w:tcBorders>
              <w:top w:val="nil"/>
              <w:left w:val="single" w:color="auto" w:sz="4" w:space="0"/>
              <w:right w:val="single" w:color="auto" w:sz="4" w:space="0"/>
            </w:tcBorders>
            <w:vAlign w:val="center"/>
          </w:tcPr>
          <w:p w14:paraId="4C656499">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right w:val="single" w:color="auto" w:sz="4" w:space="0"/>
            </w:tcBorders>
            <w:vAlign w:val="center"/>
          </w:tcPr>
          <w:p w14:paraId="6A37ADC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right w:val="single" w:color="auto" w:sz="4" w:space="0"/>
            </w:tcBorders>
            <w:vAlign w:val="center"/>
          </w:tcPr>
          <w:p w14:paraId="02CCF3BB">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default"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专题微纪录片</w:t>
            </w:r>
          </w:p>
        </w:tc>
        <w:tc>
          <w:tcPr>
            <w:tcW w:w="1900" w:type="dxa"/>
            <w:tcBorders>
              <w:top w:val="single" w:color="auto" w:sz="4" w:space="0"/>
              <w:left w:val="nil"/>
              <w:right w:val="single" w:color="auto" w:sz="4" w:space="0"/>
            </w:tcBorders>
            <w:vAlign w:val="center"/>
          </w:tcPr>
          <w:p w14:paraId="15259C6D">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default"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5个</w:t>
            </w:r>
          </w:p>
        </w:tc>
      </w:tr>
      <w:tr w14:paraId="5D3F3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832" w:type="dxa"/>
            <w:vMerge w:val="continue"/>
            <w:tcBorders>
              <w:top w:val="nil"/>
              <w:left w:val="single" w:color="auto" w:sz="4" w:space="0"/>
              <w:right w:val="single" w:color="auto" w:sz="4" w:space="0"/>
            </w:tcBorders>
            <w:vAlign w:val="center"/>
          </w:tcPr>
          <w:p w14:paraId="1E3766C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right w:val="single" w:color="auto" w:sz="4" w:space="0"/>
            </w:tcBorders>
            <w:vAlign w:val="center"/>
          </w:tcPr>
          <w:p w14:paraId="7119ED6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right w:val="single" w:color="auto" w:sz="4" w:space="0"/>
            </w:tcBorders>
            <w:vAlign w:val="center"/>
          </w:tcPr>
          <w:p w14:paraId="3F07863C">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default"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原创图文推送</w:t>
            </w:r>
          </w:p>
        </w:tc>
        <w:tc>
          <w:tcPr>
            <w:tcW w:w="1900" w:type="dxa"/>
            <w:tcBorders>
              <w:top w:val="single" w:color="auto" w:sz="4" w:space="0"/>
              <w:left w:val="nil"/>
              <w:right w:val="single" w:color="auto" w:sz="4" w:space="0"/>
            </w:tcBorders>
            <w:vAlign w:val="center"/>
          </w:tcPr>
          <w:p w14:paraId="30D354A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48篇</w:t>
            </w:r>
          </w:p>
        </w:tc>
      </w:tr>
      <w:tr w14:paraId="469E5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832" w:type="dxa"/>
            <w:vMerge w:val="continue"/>
            <w:tcBorders>
              <w:top w:val="nil"/>
              <w:left w:val="single" w:color="auto" w:sz="4" w:space="0"/>
              <w:right w:val="single" w:color="auto" w:sz="4" w:space="0"/>
            </w:tcBorders>
            <w:vAlign w:val="center"/>
          </w:tcPr>
          <w:p w14:paraId="2ECE0623">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right w:val="single" w:color="auto" w:sz="4" w:space="0"/>
            </w:tcBorders>
            <w:vAlign w:val="center"/>
          </w:tcPr>
          <w:p w14:paraId="6182C07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right w:val="single" w:color="auto" w:sz="4" w:space="0"/>
            </w:tcBorders>
            <w:vAlign w:val="center"/>
          </w:tcPr>
          <w:p w14:paraId="2E6D5213">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直播活动</w:t>
            </w:r>
          </w:p>
        </w:tc>
        <w:tc>
          <w:tcPr>
            <w:tcW w:w="1900" w:type="dxa"/>
            <w:tcBorders>
              <w:top w:val="single" w:color="auto" w:sz="4" w:space="0"/>
              <w:left w:val="nil"/>
              <w:right w:val="single" w:color="auto" w:sz="4" w:space="0"/>
            </w:tcBorders>
            <w:vAlign w:val="center"/>
          </w:tcPr>
          <w:p w14:paraId="3F9E508A">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3场</w:t>
            </w:r>
          </w:p>
        </w:tc>
      </w:tr>
      <w:tr w14:paraId="2C9E1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832" w:type="dxa"/>
            <w:vMerge w:val="continue"/>
            <w:tcBorders>
              <w:top w:val="nil"/>
              <w:left w:val="single" w:color="auto" w:sz="4" w:space="0"/>
              <w:right w:val="single" w:color="auto" w:sz="4" w:space="0"/>
            </w:tcBorders>
            <w:vAlign w:val="center"/>
          </w:tcPr>
          <w:p w14:paraId="18A4E9C4">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right w:val="single" w:color="auto" w:sz="4" w:space="0"/>
            </w:tcBorders>
            <w:vAlign w:val="center"/>
          </w:tcPr>
          <w:p w14:paraId="3DF8A01A">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right w:val="single" w:color="auto" w:sz="4" w:space="0"/>
            </w:tcBorders>
            <w:vAlign w:val="center"/>
          </w:tcPr>
          <w:p w14:paraId="3B8F7AE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工作总结及绩效报告</w:t>
            </w:r>
          </w:p>
        </w:tc>
        <w:tc>
          <w:tcPr>
            <w:tcW w:w="1900" w:type="dxa"/>
            <w:tcBorders>
              <w:top w:val="single" w:color="auto" w:sz="4" w:space="0"/>
              <w:left w:val="nil"/>
              <w:right w:val="single" w:color="auto" w:sz="4" w:space="0"/>
            </w:tcBorders>
            <w:vAlign w:val="center"/>
          </w:tcPr>
          <w:p w14:paraId="7B62099B">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5份</w:t>
            </w:r>
          </w:p>
        </w:tc>
      </w:tr>
      <w:tr w14:paraId="24ABD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832" w:type="dxa"/>
            <w:vMerge w:val="continue"/>
            <w:tcBorders>
              <w:top w:val="nil"/>
              <w:left w:val="single" w:color="auto" w:sz="4" w:space="0"/>
              <w:right w:val="single" w:color="auto" w:sz="4" w:space="0"/>
            </w:tcBorders>
            <w:vAlign w:val="center"/>
          </w:tcPr>
          <w:p w14:paraId="23A64D5B">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right w:val="single" w:color="auto" w:sz="4" w:space="0"/>
            </w:tcBorders>
            <w:vAlign w:val="center"/>
          </w:tcPr>
          <w:p w14:paraId="7C71B0AC">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right w:val="single" w:color="auto" w:sz="4" w:space="0"/>
            </w:tcBorders>
            <w:vAlign w:val="center"/>
          </w:tcPr>
          <w:p w14:paraId="3C7AAB2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宣传物料</w:t>
            </w:r>
          </w:p>
        </w:tc>
        <w:tc>
          <w:tcPr>
            <w:tcW w:w="1900" w:type="dxa"/>
            <w:tcBorders>
              <w:top w:val="single" w:color="auto" w:sz="4" w:space="0"/>
              <w:left w:val="nil"/>
              <w:right w:val="single" w:color="auto" w:sz="4" w:space="0"/>
            </w:tcBorders>
            <w:vAlign w:val="center"/>
          </w:tcPr>
          <w:p w14:paraId="3E8FC338">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default"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≥3000件</w:t>
            </w:r>
          </w:p>
        </w:tc>
      </w:tr>
      <w:tr w14:paraId="37312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1832" w:type="dxa"/>
            <w:vMerge w:val="continue"/>
            <w:tcBorders>
              <w:left w:val="single" w:color="auto" w:sz="4" w:space="0"/>
              <w:right w:val="single" w:color="auto" w:sz="4" w:space="0"/>
            </w:tcBorders>
            <w:vAlign w:val="center"/>
          </w:tcPr>
          <w:p w14:paraId="7A8B9522">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restart"/>
            <w:tcBorders>
              <w:top w:val="single" w:color="auto" w:sz="4" w:space="0"/>
              <w:left w:val="nil"/>
              <w:right w:val="single" w:color="auto" w:sz="4" w:space="0"/>
            </w:tcBorders>
            <w:vAlign w:val="center"/>
          </w:tcPr>
          <w:p w14:paraId="7FD4679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质量指标</w:t>
            </w:r>
          </w:p>
        </w:tc>
        <w:tc>
          <w:tcPr>
            <w:tcW w:w="4638" w:type="dxa"/>
            <w:tcBorders>
              <w:top w:val="single" w:color="auto" w:sz="4" w:space="0"/>
              <w:left w:val="nil"/>
              <w:right w:val="single" w:color="auto" w:sz="4" w:space="0"/>
            </w:tcBorders>
            <w:vAlign w:val="center"/>
          </w:tcPr>
          <w:p w14:paraId="2129543C">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文案脚本编写及修改合格率</w:t>
            </w:r>
          </w:p>
        </w:tc>
        <w:tc>
          <w:tcPr>
            <w:tcW w:w="1900" w:type="dxa"/>
            <w:tcBorders>
              <w:top w:val="single" w:color="auto" w:sz="4" w:space="0"/>
              <w:left w:val="nil"/>
              <w:bottom w:val="single" w:color="auto" w:sz="4" w:space="0"/>
              <w:right w:val="single" w:color="auto" w:sz="4" w:space="0"/>
            </w:tcBorders>
            <w:vAlign w:val="center"/>
          </w:tcPr>
          <w:p w14:paraId="341616F5">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95%</w:t>
            </w:r>
          </w:p>
        </w:tc>
      </w:tr>
      <w:tr w14:paraId="2CD90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832" w:type="dxa"/>
            <w:vMerge w:val="continue"/>
            <w:tcBorders>
              <w:left w:val="single" w:color="auto" w:sz="4" w:space="0"/>
              <w:right w:val="single" w:color="auto" w:sz="4" w:space="0"/>
            </w:tcBorders>
            <w:vAlign w:val="center"/>
          </w:tcPr>
          <w:p w14:paraId="53D18BD2">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right w:val="single" w:color="auto" w:sz="4" w:space="0"/>
            </w:tcBorders>
            <w:vAlign w:val="center"/>
          </w:tcPr>
          <w:p w14:paraId="1F0EC60A">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right w:val="single" w:color="auto" w:sz="4" w:space="0"/>
            </w:tcBorders>
            <w:vAlign w:val="center"/>
          </w:tcPr>
          <w:p w14:paraId="5FC41E8D">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拍摄质量合格率</w:t>
            </w:r>
          </w:p>
        </w:tc>
        <w:tc>
          <w:tcPr>
            <w:tcW w:w="1900" w:type="dxa"/>
            <w:tcBorders>
              <w:top w:val="single" w:color="auto" w:sz="4" w:space="0"/>
              <w:left w:val="nil"/>
              <w:bottom w:val="single" w:color="auto" w:sz="4" w:space="0"/>
              <w:right w:val="single" w:color="auto" w:sz="4" w:space="0"/>
            </w:tcBorders>
            <w:vAlign w:val="center"/>
          </w:tcPr>
          <w:p w14:paraId="033EDEF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≥95%</w:t>
            </w:r>
          </w:p>
        </w:tc>
      </w:tr>
      <w:tr w14:paraId="7D070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32" w:type="dxa"/>
            <w:vMerge w:val="continue"/>
            <w:tcBorders>
              <w:left w:val="single" w:color="auto" w:sz="4" w:space="0"/>
              <w:right w:val="single" w:color="auto" w:sz="4" w:space="0"/>
            </w:tcBorders>
            <w:vAlign w:val="center"/>
          </w:tcPr>
          <w:p w14:paraId="286F1B4E">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vMerge w:val="continue"/>
            <w:tcBorders>
              <w:left w:val="nil"/>
              <w:bottom w:val="single" w:color="auto" w:sz="4" w:space="0"/>
              <w:right w:val="single" w:color="auto" w:sz="4" w:space="0"/>
            </w:tcBorders>
            <w:vAlign w:val="center"/>
          </w:tcPr>
          <w:p w14:paraId="7D90DB6F">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4638" w:type="dxa"/>
            <w:tcBorders>
              <w:top w:val="single" w:color="auto" w:sz="4" w:space="0"/>
              <w:left w:val="nil"/>
              <w:bottom w:val="single" w:color="auto" w:sz="4" w:space="0"/>
              <w:right w:val="single" w:color="auto" w:sz="4" w:space="0"/>
            </w:tcBorders>
            <w:vAlign w:val="center"/>
          </w:tcPr>
          <w:p w14:paraId="28EEF24F">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项目验收合格率</w:t>
            </w:r>
          </w:p>
        </w:tc>
        <w:tc>
          <w:tcPr>
            <w:tcW w:w="1900" w:type="dxa"/>
            <w:tcBorders>
              <w:top w:val="single" w:color="auto" w:sz="4" w:space="0"/>
              <w:left w:val="nil"/>
              <w:bottom w:val="single" w:color="auto" w:sz="4" w:space="0"/>
              <w:right w:val="single" w:color="auto" w:sz="4" w:space="0"/>
            </w:tcBorders>
            <w:vAlign w:val="center"/>
          </w:tcPr>
          <w:p w14:paraId="10A14193">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≥95%</w:t>
            </w:r>
          </w:p>
        </w:tc>
      </w:tr>
      <w:tr w14:paraId="2DB08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32" w:type="dxa"/>
            <w:vMerge w:val="continue"/>
            <w:tcBorders>
              <w:left w:val="single" w:color="auto" w:sz="4" w:space="0"/>
              <w:bottom w:val="single" w:color="auto" w:sz="4" w:space="0"/>
              <w:right w:val="single" w:color="auto" w:sz="4" w:space="0"/>
            </w:tcBorders>
            <w:vAlign w:val="center"/>
          </w:tcPr>
          <w:p w14:paraId="7B91188E">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p>
        </w:tc>
        <w:tc>
          <w:tcPr>
            <w:tcW w:w="1843" w:type="dxa"/>
            <w:tcBorders>
              <w:left w:val="nil"/>
              <w:bottom w:val="single" w:color="auto" w:sz="4" w:space="0"/>
              <w:right w:val="single" w:color="auto" w:sz="4" w:space="0"/>
            </w:tcBorders>
            <w:vAlign w:val="center"/>
          </w:tcPr>
          <w:p w14:paraId="122A27C4">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时效指标</w:t>
            </w:r>
          </w:p>
        </w:tc>
        <w:tc>
          <w:tcPr>
            <w:tcW w:w="4638" w:type="dxa"/>
            <w:tcBorders>
              <w:top w:val="single" w:color="auto" w:sz="4" w:space="0"/>
              <w:left w:val="nil"/>
              <w:bottom w:val="single" w:color="auto" w:sz="4" w:space="0"/>
              <w:right w:val="single" w:color="auto" w:sz="4" w:space="0"/>
            </w:tcBorders>
            <w:vAlign w:val="center"/>
          </w:tcPr>
          <w:p w14:paraId="2E8C4A0B">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按期完成率</w:t>
            </w:r>
          </w:p>
        </w:tc>
        <w:tc>
          <w:tcPr>
            <w:tcW w:w="1900" w:type="dxa"/>
            <w:tcBorders>
              <w:top w:val="single" w:color="auto" w:sz="4" w:space="0"/>
              <w:left w:val="nil"/>
              <w:bottom w:val="single" w:color="auto" w:sz="4" w:space="0"/>
              <w:right w:val="single" w:color="auto" w:sz="4" w:space="0"/>
            </w:tcBorders>
            <w:vAlign w:val="center"/>
          </w:tcPr>
          <w:p w14:paraId="7AE1D071">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≥95%</w:t>
            </w:r>
          </w:p>
        </w:tc>
      </w:tr>
      <w:tr w14:paraId="79B04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32" w:type="dxa"/>
            <w:tcBorders>
              <w:top w:val="nil"/>
              <w:left w:val="single" w:color="auto" w:sz="4" w:space="0"/>
              <w:bottom w:val="single" w:color="auto" w:sz="4" w:space="0"/>
              <w:right w:val="single" w:color="auto" w:sz="4" w:space="0"/>
            </w:tcBorders>
            <w:vAlign w:val="center"/>
          </w:tcPr>
          <w:p w14:paraId="18702710">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效益指标</w:t>
            </w:r>
          </w:p>
        </w:tc>
        <w:tc>
          <w:tcPr>
            <w:tcW w:w="1843" w:type="dxa"/>
            <w:tcBorders>
              <w:top w:val="nil"/>
              <w:left w:val="nil"/>
              <w:bottom w:val="single" w:color="auto" w:sz="4" w:space="0"/>
              <w:right w:val="single" w:color="auto" w:sz="4" w:space="0"/>
            </w:tcBorders>
            <w:vAlign w:val="center"/>
          </w:tcPr>
          <w:p w14:paraId="09FA2062">
            <w:pPr>
              <w:keepNext w:val="0"/>
              <w:keepLines w:val="0"/>
              <w:widowControl w:val="0"/>
              <w:suppressLineNumbers w:val="0"/>
              <w:tabs>
                <w:tab w:val="left" w:pos="3060"/>
              </w:tabs>
              <w:spacing w:before="0" w:beforeAutospacing="0" w:after="0" w:afterAutospacing="0" w:line="360" w:lineRule="auto"/>
              <w:ind w:left="0" w:right="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可持续影响指标</w:t>
            </w:r>
          </w:p>
        </w:tc>
        <w:tc>
          <w:tcPr>
            <w:tcW w:w="4638" w:type="dxa"/>
            <w:tcBorders>
              <w:top w:val="single" w:color="auto" w:sz="4" w:space="0"/>
              <w:left w:val="nil"/>
              <w:right w:val="single" w:color="auto" w:sz="4" w:space="0"/>
            </w:tcBorders>
            <w:vAlign w:val="center"/>
          </w:tcPr>
          <w:p w14:paraId="1CAECD45">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持续提升体彩品牌影响力和扩大社会责任宣传力度</w:t>
            </w:r>
          </w:p>
        </w:tc>
        <w:tc>
          <w:tcPr>
            <w:tcW w:w="1900" w:type="dxa"/>
            <w:tcBorders>
              <w:top w:val="single" w:color="auto" w:sz="4" w:space="0"/>
              <w:left w:val="nil"/>
              <w:bottom w:val="single" w:color="auto" w:sz="4" w:space="0"/>
              <w:right w:val="single" w:color="auto" w:sz="4" w:space="0"/>
            </w:tcBorders>
            <w:vAlign w:val="center"/>
          </w:tcPr>
          <w:p w14:paraId="475FB810">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逐步提升</w:t>
            </w:r>
          </w:p>
        </w:tc>
      </w:tr>
    </w:tbl>
    <w:p w14:paraId="2C14EDB8">
      <w:pPr>
        <w:pStyle w:val="5"/>
        <w:pBdr>
          <w:top w:val="none" w:color="auto" w:sz="0" w:space="1"/>
          <w:left w:val="none" w:color="auto" w:sz="0" w:space="4"/>
          <w:bottom w:val="none" w:color="auto" w:sz="0" w:space="1"/>
          <w:right w:val="none" w:color="auto" w:sz="0" w:space="4"/>
        </w:pBdr>
        <w:spacing w:line="576" w:lineRule="exact"/>
        <w:ind w:firstLine="640" w:firstLineChars="200"/>
        <w:jc w:val="left"/>
        <w:rPr>
          <w:rFonts w:hint="eastAsia" w:ascii="仿宋_GB2312" w:hAnsi="仿宋_GB2312" w:eastAsia="仿宋_GB2312" w:cs="仿宋_GB2312"/>
          <w:color w:val="auto"/>
          <w:sz w:val="32"/>
          <w:szCs w:val="32"/>
          <w:lang w:val="en-US" w:eastAsia="zh-CN"/>
        </w:rPr>
        <w:sectPr>
          <w:headerReference r:id="rId3" w:type="default"/>
          <w:footerReference r:id="rId5" w:type="default"/>
          <w:headerReference r:id="rId4" w:type="even"/>
          <w:pgSz w:w="11906" w:h="16838"/>
          <w:pgMar w:top="2098" w:right="1474" w:bottom="1984" w:left="1587" w:header="851" w:footer="992" w:gutter="0"/>
          <w:cols w:space="425" w:num="1"/>
          <w:titlePg/>
          <w:docGrid w:type="lines" w:linePitch="312" w:charSpace="0"/>
        </w:sectPr>
      </w:pPr>
    </w:p>
    <w:p w14:paraId="7DE6A401">
      <w:pPr>
        <w:pStyle w:val="5"/>
        <w:pBdr>
          <w:top w:val="none" w:color="auto" w:sz="0" w:space="1"/>
          <w:left w:val="none" w:color="auto" w:sz="0" w:space="4"/>
          <w:bottom w:val="none" w:color="auto" w:sz="0" w:space="1"/>
          <w:right w:val="none" w:color="auto" w:sz="0" w:space="4"/>
        </w:pBdr>
        <w:spacing w:line="576" w:lineRule="exact"/>
        <w:jc w:val="both"/>
        <w:rPr>
          <w:rFonts w:hint="eastAsia" w:ascii="楷体" w:hAnsi="楷体" w:eastAsia="楷体" w:cs="楷体"/>
          <w:sz w:val="36"/>
          <w:szCs w:val="36"/>
          <w:lang w:val="en-US" w:eastAsia="zh-CN"/>
        </w:rPr>
      </w:pPr>
      <w:r>
        <w:rPr>
          <w:rFonts w:hint="eastAsia" w:ascii="仿宋_GB2312" w:hAnsi="楷体_GB2312" w:eastAsia="仿宋_GB2312" w:cs="楷体_GB2312"/>
          <w:sz w:val="28"/>
          <w:szCs w:val="28"/>
        </w:rPr>
        <w:t>附件：</w:t>
      </w:r>
      <w:r>
        <w:rPr>
          <w:rFonts w:hint="eastAsia" w:ascii="仿宋_GB2312" w:hAnsi="楷体_GB2312" w:eastAsia="仿宋_GB2312" w:cs="楷体_GB2312"/>
          <w:sz w:val="28"/>
          <w:szCs w:val="28"/>
          <w:lang w:val="en-US" w:eastAsia="zh-CN"/>
        </w:rPr>
        <w:t xml:space="preserve">                        </w:t>
      </w:r>
      <w:r>
        <w:rPr>
          <w:rFonts w:hint="eastAsia" w:ascii="楷体" w:hAnsi="楷体" w:eastAsia="楷体" w:cs="楷体"/>
          <w:sz w:val="36"/>
          <w:szCs w:val="36"/>
          <w:lang w:val="en-US" w:eastAsia="zh-CN"/>
        </w:rPr>
        <w:t xml:space="preserve">    </w:t>
      </w:r>
    </w:p>
    <w:p w14:paraId="50622F48">
      <w:pPr>
        <w:pStyle w:val="5"/>
        <w:pBdr>
          <w:top w:val="none" w:color="auto" w:sz="0" w:space="1"/>
          <w:left w:val="none" w:color="auto" w:sz="0" w:space="4"/>
          <w:bottom w:val="none" w:color="auto" w:sz="0" w:space="1"/>
          <w:right w:val="none" w:color="auto" w:sz="0" w:space="4"/>
        </w:pBdr>
        <w:spacing w:line="576" w:lineRule="exact"/>
        <w:jc w:val="center"/>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海南省体育彩票管理中心</w:t>
      </w:r>
    </w:p>
    <w:p w14:paraId="24D151C7">
      <w:pPr>
        <w:pStyle w:val="5"/>
        <w:pBdr>
          <w:top w:val="none" w:color="auto" w:sz="0" w:space="1"/>
          <w:left w:val="none" w:color="auto" w:sz="0" w:space="4"/>
          <w:bottom w:val="none" w:color="auto" w:sz="0" w:space="1"/>
          <w:right w:val="none" w:color="auto" w:sz="0" w:space="4"/>
        </w:pBdr>
        <w:spacing w:line="576" w:lineRule="exact"/>
        <w:jc w:val="center"/>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月度宣传重点工作排期计划表（抖音平台）</w:t>
      </w:r>
    </w:p>
    <w:p w14:paraId="34721833">
      <w:pPr>
        <w:jc w:val="center"/>
        <w:rPr>
          <w:rFonts w:hint="eastAsia" w:ascii="仿宋_GB2312" w:hAnsi="楷体_GB2312" w:eastAsia="仿宋_GB2312" w:cs="楷体_GB2312"/>
          <w:sz w:val="28"/>
          <w:szCs w:val="28"/>
          <w:lang w:val="en-US" w:eastAsia="zh-CN"/>
        </w:rPr>
      </w:pPr>
      <w:r>
        <w:rPr>
          <w:rFonts w:hint="eastAsia" w:ascii="仿宋_GB2312" w:hAnsi="楷体_GB2312" w:eastAsia="仿宋_GB2312" w:cs="楷体_GB2312"/>
          <w:sz w:val="28"/>
          <w:szCs w:val="28"/>
          <w:lang w:val="en-US" w:eastAsia="zh-CN"/>
        </w:rPr>
        <w:t xml:space="preserve">                         </w:t>
      </w:r>
    </w:p>
    <w:p w14:paraId="6A4ED358">
      <w:pPr>
        <w:jc w:val="center"/>
        <w:rPr>
          <w:rFonts w:hint="default" w:ascii="仿宋_GB2312" w:hAnsi="楷体_GB2312" w:eastAsia="仿宋_GB2312" w:cs="楷体_GB2312"/>
          <w:sz w:val="28"/>
          <w:szCs w:val="28"/>
          <w:u w:val="single"/>
          <w:lang w:val="en-US" w:eastAsia="zh-CN"/>
        </w:rPr>
      </w:pPr>
      <w:r>
        <w:rPr>
          <w:rFonts w:hint="eastAsia" w:ascii="仿宋_GB2312" w:hAnsi="楷体_GB2312" w:eastAsia="仿宋_GB2312" w:cs="楷体_GB2312"/>
          <w:sz w:val="28"/>
          <w:szCs w:val="28"/>
          <w:lang w:val="en-US" w:eastAsia="zh-CN"/>
        </w:rPr>
        <w:t xml:space="preserve">                                           策划人： </w:t>
      </w:r>
      <w:r>
        <w:rPr>
          <w:rFonts w:hint="eastAsia" w:ascii="仿宋_GB2312" w:hAnsi="楷体_GB2312" w:eastAsia="仿宋_GB2312" w:cs="楷体_GB2312"/>
          <w:sz w:val="28"/>
          <w:szCs w:val="28"/>
          <w:u w:val="single"/>
          <w:lang w:val="en-US" w:eastAsia="zh-CN"/>
        </w:rPr>
        <w:t xml:space="preserve">                     </w:t>
      </w:r>
    </w:p>
    <w:tbl>
      <w:tblPr>
        <w:tblStyle w:val="7"/>
        <w:tblW w:w="15120" w:type="dxa"/>
        <w:tblInd w:w="-10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758"/>
        <w:gridCol w:w="1537"/>
        <w:gridCol w:w="1545"/>
        <w:gridCol w:w="4065"/>
        <w:gridCol w:w="2775"/>
        <w:gridCol w:w="735"/>
      </w:tblGrid>
      <w:tr w14:paraId="47E27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705" w:type="dxa"/>
            <w:tcBorders>
              <w:bottom w:val="single" w:color="auto" w:sz="4" w:space="0"/>
            </w:tcBorders>
            <w:shd w:val="clear" w:color="auto" w:fill="FFFFFF" w:themeFill="background1"/>
            <w:vAlign w:val="center"/>
          </w:tcPr>
          <w:p w14:paraId="1B8ABC38">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3758" w:type="dxa"/>
            <w:tcBorders>
              <w:bottom w:val="single" w:color="auto" w:sz="4" w:space="0"/>
            </w:tcBorders>
            <w:shd w:val="clear" w:color="auto" w:fill="FFFFFF" w:themeFill="background1"/>
            <w:vAlign w:val="center"/>
          </w:tcPr>
          <w:p w14:paraId="55A4DF00">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月度宣推主题</w:t>
            </w:r>
          </w:p>
        </w:tc>
        <w:tc>
          <w:tcPr>
            <w:tcW w:w="1537" w:type="dxa"/>
            <w:shd w:val="clear" w:color="auto" w:fill="FFFFFF" w:themeFill="background1"/>
            <w:vAlign w:val="center"/>
          </w:tcPr>
          <w:p w14:paraId="2C4B4767">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形式</w:t>
            </w:r>
          </w:p>
        </w:tc>
        <w:tc>
          <w:tcPr>
            <w:tcW w:w="1545" w:type="dxa"/>
            <w:shd w:val="clear" w:color="auto" w:fill="FFFFFF" w:themeFill="background1"/>
            <w:vAlign w:val="center"/>
          </w:tcPr>
          <w:p w14:paraId="157BE60A">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内容</w:t>
            </w:r>
          </w:p>
        </w:tc>
        <w:tc>
          <w:tcPr>
            <w:tcW w:w="4065" w:type="dxa"/>
            <w:shd w:val="clear" w:color="auto" w:fill="FFFFFF" w:themeFill="background1"/>
            <w:vAlign w:val="center"/>
          </w:tcPr>
          <w:p w14:paraId="6B8B5DC2">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投放平台及投流分布情况</w:t>
            </w:r>
          </w:p>
        </w:tc>
        <w:tc>
          <w:tcPr>
            <w:tcW w:w="2775" w:type="dxa"/>
            <w:shd w:val="clear" w:color="auto" w:fill="FFFFFF" w:themeFill="background1"/>
            <w:vAlign w:val="center"/>
          </w:tcPr>
          <w:p w14:paraId="2685DCF9">
            <w:pPr>
              <w:pStyle w:val="5"/>
              <w:keepNext w:val="0"/>
              <w:keepLines w:val="0"/>
              <w:numPr>
                <w:ilvl w:val="255"/>
                <w:numId w:val="0"/>
              </w:numPr>
              <w:suppressLineNumbers w:val="0"/>
              <w:pBdr>
                <w:bottom w:val="none" w:color="auto" w:sz="0" w:space="0"/>
              </w:pBdr>
              <w:spacing w:before="0" w:beforeAutospacing="0" w:after="0" w:afterAutospacing="0" w:line="48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是否共创</w:t>
            </w:r>
          </w:p>
          <w:p w14:paraId="54CFB84B">
            <w:pPr>
              <w:pStyle w:val="5"/>
              <w:keepNext w:val="0"/>
              <w:keepLines w:val="0"/>
              <w:numPr>
                <w:ilvl w:val="255"/>
                <w:numId w:val="0"/>
              </w:numPr>
              <w:suppressLineNumbers w:val="0"/>
              <w:pBdr>
                <w:bottom w:val="none" w:color="auto" w:sz="0" w:space="0"/>
              </w:pBdr>
              <w:spacing w:before="0" w:beforeAutospacing="0" w:after="0" w:afterAutospacing="0" w:line="48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color w:val="FF0000"/>
                <w:sz w:val="24"/>
                <w:szCs w:val="24"/>
              </w:rPr>
              <w:t>（如有请写明共创单位）</w:t>
            </w:r>
          </w:p>
        </w:tc>
        <w:tc>
          <w:tcPr>
            <w:tcW w:w="735" w:type="dxa"/>
            <w:shd w:val="clear" w:color="auto" w:fill="FFFFFF" w:themeFill="background1"/>
            <w:vAlign w:val="center"/>
          </w:tcPr>
          <w:p w14:paraId="4BE57359">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4"/>
                <w:szCs w:val="24"/>
              </w:rPr>
            </w:pPr>
            <w:r>
              <w:rPr>
                <w:rFonts w:hint="eastAsia" w:ascii="仿宋_GB2312" w:hAnsi="仿宋_GB2312" w:eastAsia="仿宋_GB2312" w:cs="仿宋_GB2312"/>
                <w:b/>
                <w:bCs/>
                <w:sz w:val="24"/>
                <w:szCs w:val="24"/>
              </w:rPr>
              <w:t>备注</w:t>
            </w:r>
          </w:p>
        </w:tc>
      </w:tr>
      <w:tr w14:paraId="1B06B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70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7191C079">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b/>
                <w:bCs/>
                <w:sz w:val="28"/>
                <w:szCs w:val="44"/>
              </w:rPr>
            </w:pPr>
          </w:p>
        </w:tc>
        <w:tc>
          <w:tcPr>
            <w:tcW w:w="3758" w:type="dxa"/>
            <w:tcBorders>
              <w:top w:val="single" w:color="auto" w:sz="4" w:space="0"/>
              <w:left w:val="single" w:color="auto" w:sz="4" w:space="0"/>
              <w:bottom w:val="single" w:color="auto" w:sz="4" w:space="0"/>
              <w:right w:val="single" w:color="auto" w:sz="4" w:space="0"/>
            </w:tcBorders>
            <w:vAlign w:val="center"/>
          </w:tcPr>
          <w:p w14:paraId="54CF0A68">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宋体" w:hAnsi="宋体" w:eastAsia="宋体" w:cs="宋体"/>
                <w:b/>
                <w:bCs/>
                <w:color w:val="191919"/>
                <w:sz w:val="24"/>
                <w:shd w:val="clear" w:color="auto" w:fill="FFFFFF"/>
              </w:rPr>
            </w:pPr>
          </w:p>
        </w:tc>
        <w:tc>
          <w:tcPr>
            <w:tcW w:w="1537" w:type="dxa"/>
            <w:tcBorders>
              <w:left w:val="single" w:color="auto" w:sz="4" w:space="0"/>
            </w:tcBorders>
            <w:vAlign w:val="center"/>
          </w:tcPr>
          <w:p w14:paraId="36EE6CA9">
            <w:pPr>
              <w:keepNext w:val="0"/>
              <w:keepLines w:val="0"/>
              <w:widowControl/>
              <w:numPr>
                <w:ilvl w:val="255"/>
                <w:numId w:val="0"/>
              </w:numPr>
              <w:suppressLineNumbers w:val="0"/>
              <w:tabs>
                <w:tab w:val="center" w:pos="4153"/>
                <w:tab w:val="right" w:pos="8306"/>
              </w:tabs>
              <w:snapToGrid w:val="0"/>
              <w:spacing w:before="0" w:beforeAutospacing="0" w:after="0" w:afterAutospacing="0"/>
              <w:ind w:left="0" w:right="0"/>
              <w:rPr>
                <w:rFonts w:hint="default" w:ascii="宋体" w:hAnsi="宋体" w:eastAsia="宋体" w:cs="宋体"/>
              </w:rPr>
            </w:pPr>
          </w:p>
        </w:tc>
        <w:tc>
          <w:tcPr>
            <w:tcW w:w="1545" w:type="dxa"/>
            <w:tcBorders>
              <w:left w:val="single" w:color="auto" w:sz="4" w:space="0"/>
            </w:tcBorders>
            <w:vAlign w:val="center"/>
          </w:tcPr>
          <w:p w14:paraId="723C4029">
            <w:pPr>
              <w:keepNext w:val="0"/>
              <w:keepLines w:val="0"/>
              <w:widowControl/>
              <w:numPr>
                <w:ilvl w:val="255"/>
                <w:numId w:val="0"/>
              </w:numPr>
              <w:suppressLineNumbers w:val="0"/>
              <w:tabs>
                <w:tab w:val="center" w:pos="4153"/>
                <w:tab w:val="right" w:pos="8306"/>
              </w:tabs>
              <w:snapToGrid w:val="0"/>
              <w:spacing w:before="0" w:beforeAutospacing="0" w:after="0" w:afterAutospacing="0"/>
              <w:ind w:left="0" w:right="0"/>
              <w:rPr>
                <w:rFonts w:hint="default" w:ascii="宋体" w:hAnsi="宋体" w:eastAsia="宋体" w:cs="宋体"/>
              </w:rPr>
            </w:pPr>
          </w:p>
        </w:tc>
        <w:tc>
          <w:tcPr>
            <w:tcW w:w="4065" w:type="dxa"/>
            <w:vAlign w:val="center"/>
          </w:tcPr>
          <w:p w14:paraId="01B18FFF">
            <w:pPr>
              <w:keepNext w:val="0"/>
              <w:keepLines w:val="0"/>
              <w:widowControl/>
              <w:numPr>
                <w:ilvl w:val="255"/>
                <w:numId w:val="0"/>
              </w:numPr>
              <w:suppressLineNumbers w:val="0"/>
              <w:snapToGrid w:val="0"/>
              <w:spacing w:before="0" w:beforeAutospacing="0" w:after="0" w:afterAutospacing="0"/>
              <w:ind w:left="0" w:right="0"/>
              <w:rPr>
                <w:rFonts w:hint="default" w:ascii="宋体" w:hAnsi="宋体" w:eastAsia="宋体" w:cs="宋体"/>
              </w:rPr>
            </w:pPr>
          </w:p>
        </w:tc>
        <w:tc>
          <w:tcPr>
            <w:tcW w:w="2775" w:type="dxa"/>
            <w:vAlign w:val="center"/>
          </w:tcPr>
          <w:p w14:paraId="00111E2C">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宋体" w:hAnsi="宋体" w:eastAsia="宋体" w:cs="宋体"/>
                <w:sz w:val="24"/>
              </w:rPr>
            </w:pPr>
          </w:p>
        </w:tc>
        <w:tc>
          <w:tcPr>
            <w:tcW w:w="735" w:type="dxa"/>
            <w:vAlign w:val="center"/>
          </w:tcPr>
          <w:p w14:paraId="6B4772DB">
            <w:pPr>
              <w:pStyle w:val="5"/>
              <w:keepNext w:val="0"/>
              <w:keepLines w:val="0"/>
              <w:widowControl/>
              <w:numPr>
                <w:ilvl w:val="255"/>
                <w:numId w:val="0"/>
              </w:numPr>
              <w:suppressLineNumbers w:val="0"/>
              <w:pBdr>
                <w:bottom w:val="none" w:color="auto" w:sz="0" w:space="0"/>
              </w:pBdr>
              <w:snapToGrid/>
              <w:spacing w:before="0" w:beforeAutospacing="0" w:after="0" w:afterAutospacing="0"/>
              <w:ind w:left="0" w:right="0"/>
              <w:jc w:val="left"/>
              <w:rPr>
                <w:rFonts w:hint="default" w:ascii="Arial" w:hAnsi="Arial" w:eastAsia="Arial" w:cs="Arial"/>
                <w:color w:val="191919"/>
                <w:sz w:val="24"/>
                <w:shd w:val="clear" w:color="auto" w:fill="FFFFFF"/>
              </w:rPr>
            </w:pPr>
          </w:p>
        </w:tc>
      </w:tr>
      <w:tr w14:paraId="46B4B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705" w:type="dxa"/>
            <w:tcBorders>
              <w:top w:val="single" w:color="auto" w:sz="4" w:space="0"/>
              <w:bottom w:val="single" w:color="auto" w:sz="4" w:space="0"/>
            </w:tcBorders>
            <w:shd w:val="clear" w:color="auto" w:fill="FFFFFF" w:themeFill="background1"/>
            <w:vAlign w:val="center"/>
          </w:tcPr>
          <w:p w14:paraId="1CFF0854">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jc w:val="both"/>
              <w:rPr>
                <w:rFonts w:hint="default" w:ascii="仿宋_GB2312" w:hAnsi="仿宋_GB2312" w:eastAsia="仿宋_GB2312" w:cs="仿宋_GB2312"/>
                <w:b/>
                <w:bCs/>
                <w:sz w:val="28"/>
                <w:szCs w:val="44"/>
              </w:rPr>
            </w:pPr>
          </w:p>
        </w:tc>
        <w:tc>
          <w:tcPr>
            <w:tcW w:w="3758" w:type="dxa"/>
            <w:vAlign w:val="center"/>
          </w:tcPr>
          <w:p w14:paraId="575E7910">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宋体" w:hAnsi="宋体" w:eastAsia="宋体" w:cs="宋体"/>
                <w:color w:val="191919"/>
                <w:sz w:val="24"/>
                <w:shd w:val="clear" w:color="auto" w:fill="FFFFFF"/>
              </w:rPr>
            </w:pPr>
          </w:p>
        </w:tc>
        <w:tc>
          <w:tcPr>
            <w:tcW w:w="1537" w:type="dxa"/>
            <w:vAlign w:val="center"/>
          </w:tcPr>
          <w:p w14:paraId="1B4043EC">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c>
          <w:tcPr>
            <w:tcW w:w="1545" w:type="dxa"/>
            <w:vAlign w:val="center"/>
          </w:tcPr>
          <w:p w14:paraId="5055C7A2">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c>
          <w:tcPr>
            <w:tcW w:w="4065" w:type="dxa"/>
            <w:vAlign w:val="center"/>
          </w:tcPr>
          <w:p w14:paraId="7219B731">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宋体" w:hAnsi="宋体" w:eastAsia="宋体" w:cs="宋体"/>
                <w:color w:val="191B1F"/>
                <w:sz w:val="24"/>
                <w:shd w:val="clear" w:color="auto" w:fill="FFFFFF"/>
              </w:rPr>
            </w:pPr>
          </w:p>
          <w:p w14:paraId="6CB7E4E9">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宋体" w:cs="仿宋_GB2312"/>
                <w:sz w:val="28"/>
                <w:szCs w:val="44"/>
              </w:rPr>
            </w:pPr>
          </w:p>
        </w:tc>
        <w:tc>
          <w:tcPr>
            <w:tcW w:w="2775" w:type="dxa"/>
            <w:vAlign w:val="center"/>
          </w:tcPr>
          <w:p w14:paraId="5A173F98">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sz w:val="28"/>
                <w:szCs w:val="44"/>
              </w:rPr>
            </w:pPr>
          </w:p>
        </w:tc>
        <w:tc>
          <w:tcPr>
            <w:tcW w:w="735" w:type="dxa"/>
            <w:vAlign w:val="center"/>
          </w:tcPr>
          <w:p w14:paraId="403A45F8">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r>
      <w:tr w14:paraId="67B8A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705" w:type="dxa"/>
            <w:tcBorders>
              <w:top w:val="single" w:color="auto" w:sz="4" w:space="0"/>
              <w:bottom w:val="single" w:color="auto" w:sz="4" w:space="0"/>
            </w:tcBorders>
            <w:shd w:val="clear" w:color="auto" w:fill="FFFFFF" w:themeFill="background1"/>
            <w:vAlign w:val="center"/>
          </w:tcPr>
          <w:p w14:paraId="1E96439F">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jc w:val="both"/>
              <w:rPr>
                <w:rFonts w:hint="default" w:ascii="仿宋_GB2312" w:hAnsi="仿宋_GB2312" w:eastAsia="仿宋_GB2312" w:cs="仿宋_GB2312"/>
                <w:b/>
                <w:bCs/>
                <w:sz w:val="28"/>
                <w:szCs w:val="44"/>
              </w:rPr>
            </w:pPr>
          </w:p>
        </w:tc>
        <w:tc>
          <w:tcPr>
            <w:tcW w:w="3758" w:type="dxa"/>
            <w:vAlign w:val="center"/>
          </w:tcPr>
          <w:p w14:paraId="32B12DB0">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宋体" w:hAnsi="宋体" w:eastAsia="宋体" w:cs="宋体"/>
                <w:color w:val="191919"/>
                <w:sz w:val="24"/>
                <w:shd w:val="clear" w:color="auto" w:fill="FFFFFF"/>
              </w:rPr>
            </w:pPr>
          </w:p>
        </w:tc>
        <w:tc>
          <w:tcPr>
            <w:tcW w:w="1537" w:type="dxa"/>
            <w:vAlign w:val="center"/>
          </w:tcPr>
          <w:p w14:paraId="5ED0D143">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c>
          <w:tcPr>
            <w:tcW w:w="1545" w:type="dxa"/>
            <w:vAlign w:val="center"/>
          </w:tcPr>
          <w:p w14:paraId="31601985">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c>
          <w:tcPr>
            <w:tcW w:w="4065" w:type="dxa"/>
            <w:vAlign w:val="center"/>
          </w:tcPr>
          <w:p w14:paraId="23F20D98">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宋体" w:cs="仿宋_GB2312"/>
                <w:sz w:val="28"/>
                <w:szCs w:val="44"/>
              </w:rPr>
            </w:pPr>
          </w:p>
        </w:tc>
        <w:tc>
          <w:tcPr>
            <w:tcW w:w="2775" w:type="dxa"/>
            <w:vAlign w:val="center"/>
          </w:tcPr>
          <w:p w14:paraId="2FB56190">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sz w:val="28"/>
                <w:szCs w:val="44"/>
              </w:rPr>
            </w:pPr>
          </w:p>
        </w:tc>
        <w:tc>
          <w:tcPr>
            <w:tcW w:w="735" w:type="dxa"/>
            <w:vAlign w:val="center"/>
          </w:tcPr>
          <w:p w14:paraId="2D12F244">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r>
      <w:tr w14:paraId="15785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705" w:type="dxa"/>
            <w:tcBorders>
              <w:top w:val="single" w:color="auto" w:sz="4" w:space="0"/>
            </w:tcBorders>
            <w:shd w:val="clear" w:color="auto" w:fill="FFFFFF" w:themeFill="background1"/>
            <w:vAlign w:val="center"/>
          </w:tcPr>
          <w:p w14:paraId="07EB7049">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jc w:val="both"/>
              <w:rPr>
                <w:rFonts w:hint="default" w:ascii="仿宋_GB2312" w:hAnsi="仿宋_GB2312" w:eastAsia="仿宋_GB2312" w:cs="仿宋_GB2312"/>
                <w:b/>
                <w:bCs/>
                <w:sz w:val="28"/>
                <w:szCs w:val="44"/>
              </w:rPr>
            </w:pPr>
          </w:p>
        </w:tc>
        <w:tc>
          <w:tcPr>
            <w:tcW w:w="3758" w:type="dxa"/>
            <w:vAlign w:val="center"/>
          </w:tcPr>
          <w:p w14:paraId="6083B64B">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宋体" w:hAnsi="宋体" w:eastAsia="宋体" w:cs="宋体"/>
                <w:color w:val="191919"/>
                <w:sz w:val="24"/>
                <w:shd w:val="clear" w:color="auto" w:fill="FFFFFF"/>
              </w:rPr>
            </w:pPr>
          </w:p>
        </w:tc>
        <w:tc>
          <w:tcPr>
            <w:tcW w:w="1537" w:type="dxa"/>
            <w:vAlign w:val="center"/>
          </w:tcPr>
          <w:p w14:paraId="12B9328D">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c>
          <w:tcPr>
            <w:tcW w:w="1545" w:type="dxa"/>
            <w:vAlign w:val="center"/>
          </w:tcPr>
          <w:p w14:paraId="06D9D21B">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c>
          <w:tcPr>
            <w:tcW w:w="4065" w:type="dxa"/>
            <w:vAlign w:val="center"/>
          </w:tcPr>
          <w:p w14:paraId="76FBB0EB">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宋体" w:cs="仿宋_GB2312"/>
                <w:sz w:val="28"/>
                <w:szCs w:val="44"/>
              </w:rPr>
            </w:pPr>
          </w:p>
        </w:tc>
        <w:tc>
          <w:tcPr>
            <w:tcW w:w="2775" w:type="dxa"/>
            <w:vAlign w:val="center"/>
          </w:tcPr>
          <w:p w14:paraId="344D1BB0">
            <w:pPr>
              <w:pStyle w:val="5"/>
              <w:keepNext w:val="0"/>
              <w:keepLines w:val="0"/>
              <w:numPr>
                <w:ilvl w:val="255"/>
                <w:numId w:val="0"/>
              </w:numPr>
              <w:suppressLineNumbers w:val="0"/>
              <w:pBdr>
                <w:bottom w:val="none" w:color="auto" w:sz="0" w:space="0"/>
              </w:pBdr>
              <w:spacing w:before="0" w:beforeAutospacing="0" w:after="0" w:afterAutospacing="0" w:line="560" w:lineRule="exact"/>
              <w:ind w:left="0" w:right="0"/>
              <w:rPr>
                <w:rFonts w:hint="default" w:ascii="仿宋_GB2312" w:hAnsi="仿宋_GB2312" w:eastAsia="仿宋_GB2312" w:cs="仿宋_GB2312"/>
                <w:sz w:val="28"/>
                <w:szCs w:val="44"/>
              </w:rPr>
            </w:pPr>
          </w:p>
        </w:tc>
        <w:tc>
          <w:tcPr>
            <w:tcW w:w="735" w:type="dxa"/>
            <w:vAlign w:val="center"/>
          </w:tcPr>
          <w:p w14:paraId="2FADB00C">
            <w:pPr>
              <w:pStyle w:val="5"/>
              <w:keepNext w:val="0"/>
              <w:keepLines w:val="0"/>
              <w:numPr>
                <w:ilvl w:val="255"/>
                <w:numId w:val="0"/>
              </w:numPr>
              <w:suppressLineNumbers w:val="0"/>
              <w:pBdr>
                <w:bottom w:val="none" w:color="auto" w:sz="0" w:space="0"/>
              </w:pBdr>
              <w:spacing w:before="0" w:beforeAutospacing="0" w:after="0" w:afterAutospacing="0"/>
              <w:ind w:left="0" w:right="0"/>
              <w:rPr>
                <w:rFonts w:hint="default" w:ascii="仿宋_GB2312" w:hAnsi="仿宋_GB2312" w:eastAsia="仿宋_GB2312" w:cs="仿宋_GB2312"/>
                <w:sz w:val="28"/>
                <w:szCs w:val="44"/>
              </w:rPr>
            </w:pPr>
          </w:p>
        </w:tc>
      </w:tr>
    </w:tbl>
    <w:p w14:paraId="2FCA0B2E">
      <w:pPr>
        <w:rPr>
          <w:rFonts w:hint="eastAsia" w:ascii="仿宋_GB2312" w:hAnsi="仿宋_GB2312" w:eastAsia="仿宋_GB2312" w:cs="仿宋_GB2312"/>
          <w:color w:val="auto"/>
          <w:sz w:val="32"/>
          <w:szCs w:val="32"/>
          <w:lang w:val="en-US" w:eastAsia="zh-CN"/>
        </w:rPr>
        <w:sectPr>
          <w:pgSz w:w="16838" w:h="11906" w:orient="landscape"/>
          <w:pgMar w:top="1587" w:right="2098" w:bottom="1474" w:left="1984" w:header="851" w:footer="992" w:gutter="0"/>
          <w:cols w:space="425" w:num="1"/>
          <w:titlePg/>
          <w:docGrid w:type="lines" w:linePitch="312" w:charSpace="0"/>
        </w:sectPr>
      </w:pPr>
    </w:p>
    <w:p w14:paraId="3C84216D">
      <w:pPr>
        <w:spacing w:line="360" w:lineRule="auto"/>
        <w:ind w:firstLine="482" w:firstLineChars="200"/>
        <w:rPr>
          <w:rFonts w:hint="default" w:ascii="宋体" w:hAnsi="宋体" w:eastAsia="宋体" w:cs="宋体"/>
          <w:b/>
          <w:bCs/>
          <w:color w:val="auto"/>
          <w:sz w:val="24"/>
          <w:szCs w:val="24"/>
          <w:lang w:val="en-US" w:eastAsia="zh-CN"/>
        </w:rPr>
      </w:pPr>
    </w:p>
    <w:p w14:paraId="6DD7D681">
      <w:pPr>
        <w:spacing w:line="360" w:lineRule="auto"/>
        <w:ind w:firstLine="562" w:firstLineChars="200"/>
        <w:rPr>
          <w:rFonts w:hint="eastAsia" w:ascii="宋体" w:hAnsi="宋体" w:cs="宋体"/>
          <w:b/>
          <w:bCs/>
          <w:color w:val="auto"/>
          <w:sz w:val="28"/>
          <w:szCs w:val="28"/>
          <w:lang w:val="en-US" w:eastAsia="zh-CN"/>
        </w:rPr>
      </w:pPr>
    </w:p>
    <w:p w14:paraId="104AB914">
      <w:pPr>
        <w:spacing w:line="360" w:lineRule="auto"/>
        <w:ind w:firstLine="562" w:firstLineChars="200"/>
        <w:rPr>
          <w:rFonts w:hint="default" w:ascii="宋体" w:hAnsi="宋体" w:eastAsia="宋体" w:cs="宋体"/>
          <w:b w:val="0"/>
          <w:bCs w:val="0"/>
          <w:color w:val="auto"/>
          <w:sz w:val="28"/>
          <w:szCs w:val="28"/>
          <w:lang w:val="en-US" w:eastAsia="zh-CN"/>
        </w:rPr>
      </w:pPr>
      <w:r>
        <w:rPr>
          <w:rFonts w:hint="eastAsia" w:ascii="宋体" w:hAnsi="宋体" w:cs="宋体"/>
          <w:b/>
          <w:bCs/>
          <w:color w:val="auto"/>
          <w:sz w:val="28"/>
          <w:szCs w:val="28"/>
          <w:lang w:val="en-US" w:eastAsia="zh-CN"/>
        </w:rPr>
        <w:t>九、</w:t>
      </w:r>
      <w:r>
        <w:rPr>
          <w:rFonts w:hint="default" w:ascii="宋体" w:hAnsi="宋体" w:eastAsia="宋体" w:cs="宋体"/>
          <w:b/>
          <w:bCs/>
          <w:color w:val="auto"/>
          <w:sz w:val="28"/>
          <w:szCs w:val="28"/>
          <w:lang w:val="en-US" w:eastAsia="zh-CN"/>
        </w:rPr>
        <w:t>商务条款</w:t>
      </w:r>
    </w:p>
    <w:p w14:paraId="3D22D654">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1、服务方式：按照本磋商文件和成交供应商响应文件的规定；</w:t>
      </w:r>
    </w:p>
    <w:p w14:paraId="35049A69">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2、付款方式：签订合同后按合同约定内容付款；</w:t>
      </w:r>
    </w:p>
    <w:p w14:paraId="101EF576">
      <w:pPr>
        <w:keepNext w:val="0"/>
        <w:keepLines w:val="0"/>
        <w:widowControl w:val="0"/>
        <w:suppressLineNumbers w:val="0"/>
        <w:tabs>
          <w:tab w:val="left" w:pos="3060"/>
        </w:tabs>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3.其他未尽事宜由供需双方在服务合同中详细约定。</w:t>
      </w:r>
    </w:p>
    <w:p w14:paraId="181A9078">
      <w:pPr>
        <w:pStyle w:val="3"/>
        <w:rPr>
          <w:rFonts w:hint="default"/>
          <w:color w:val="auto"/>
          <w:lang w:val="en-US" w:eastAsia="zh-CN"/>
        </w:rPr>
      </w:pPr>
    </w:p>
    <w:p w14:paraId="4A89FFC5">
      <w:bookmarkStart w:id="1" w:name="_GoBack"/>
      <w:bookmarkEnd w:id="1"/>
    </w:p>
    <w:sectPr>
      <w:headerReference r:id="rId6" w:type="default"/>
      <w:pgSz w:w="11906" w:h="16838"/>
      <w:pgMar w:top="1417" w:right="1587" w:bottom="1417" w:left="1587" w:header="851" w:footer="992" w:gutter="0"/>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7E6BF">
    <w:pPr>
      <w:pStyle w:val="4"/>
      <w:jc w:val="right"/>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PAGE   \* MERGEFORMAT</w:instrText>
    </w:r>
    <w:r>
      <w:rPr>
        <w:rFonts w:hint="eastAsia" w:ascii="仿宋_GB2312" w:eastAsia="仿宋_GB2312"/>
        <w:sz w:val="24"/>
        <w:szCs w:val="24"/>
      </w:rPr>
      <w:fldChar w:fldCharType="separate"/>
    </w:r>
    <w:r>
      <w:rPr>
        <w:rFonts w:ascii="仿宋_GB2312" w:eastAsia="仿宋_GB2312"/>
        <w:sz w:val="24"/>
        <w:szCs w:val="24"/>
        <w:lang w:val="zh-CN"/>
      </w:rPr>
      <w:t>2</w:t>
    </w:r>
    <w:r>
      <w:rPr>
        <w:rFonts w:hint="eastAsia" w:ascii="仿宋_GB2312" w:eastAsia="仿宋_GB2312"/>
        <w:sz w:val="24"/>
        <w:szCs w:val="24"/>
      </w:rPr>
      <w:fldChar w:fldCharType="end"/>
    </w:r>
  </w:p>
  <w:p w14:paraId="64E37AD6">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78A8CE">
    <w:pPr>
      <w:pStyle w:val="5"/>
      <w:pBdr>
        <w:top w:val="none" w:color="auto" w:sz="0" w:space="1"/>
        <w:bottom w:val="none" w:color="auto" w:sz="0" w:space="1"/>
        <w:right w:val="none" w:color="auto" w:sz="0" w:space="4"/>
      </w:pBdr>
      <w:spacing w:line="576" w:lineRule="exact"/>
      <w:jc w:val="left"/>
      <w:rPr>
        <w:rFonts w:ascii="仿宋_GB2312" w:hAnsi="楷体_GB2312" w:eastAsia="仿宋_GB2312" w:cs="楷体_GB2312"/>
        <w:b/>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7809D">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EE264">
    <w:pPr>
      <w:pStyle w:val="5"/>
      <w:pBdr>
        <w:bottom w:val="single" w:color="auto" w:sz="4" w:space="0"/>
      </w:pBdr>
      <w:jc w:val="left"/>
      <w:rPr>
        <w:rFonts w:hint="eastAsia" w:ascii="宋体" w:cs="宋体"/>
        <w:b/>
        <w:bCs/>
        <w:color w:val="auto"/>
        <w:sz w:val="21"/>
        <w:szCs w:val="21"/>
        <w:highlight w:val="none"/>
        <w:lang w:bidi="ar-SA"/>
      </w:rPr>
    </w:pPr>
    <w:r>
      <w:rPr>
        <w:rFonts w:hint="eastAsia" w:ascii="宋体" w:cs="宋体"/>
        <w:b/>
        <w:bCs/>
        <w:sz w:val="21"/>
        <w:szCs w:val="21"/>
        <w:lang w:bidi="ar-SA"/>
      </w:rPr>
      <w:t xml:space="preserve">海南政源招标代理有限公司             </w:t>
    </w:r>
    <w:r>
      <w:rPr>
        <w:rFonts w:hint="eastAsia" w:ascii="宋体" w:cs="宋体"/>
        <w:b/>
        <w:bCs/>
        <w:sz w:val="21"/>
        <w:szCs w:val="21"/>
        <w:lang w:val="en-US" w:eastAsia="zh-CN" w:bidi="ar-SA"/>
      </w:rPr>
      <w:t xml:space="preserve">                         </w:t>
    </w:r>
    <w:r>
      <w:rPr>
        <w:rFonts w:hint="eastAsia" w:ascii="宋体" w:cs="宋体"/>
        <w:b/>
        <w:bCs/>
        <w:sz w:val="21"/>
        <w:szCs w:val="21"/>
        <w:lang w:bidi="ar-SA"/>
      </w:rPr>
      <w:t xml:space="preserve">      </w:t>
    </w:r>
    <w:r>
      <w:rPr>
        <w:rFonts w:hint="eastAsia" w:ascii="宋体" w:cs="宋体"/>
        <w:b/>
        <w:bCs/>
        <w:sz w:val="21"/>
        <w:szCs w:val="21"/>
        <w:highlight w:val="none"/>
        <w:lang w:bidi="ar-SA"/>
      </w:rPr>
      <w:t xml:space="preserve">  </w:t>
    </w:r>
    <w:r>
      <w:rPr>
        <w:rFonts w:hint="eastAsia" w:ascii="宋体" w:cs="宋体"/>
        <w:b/>
        <w:bCs/>
        <w:color w:val="auto"/>
        <w:sz w:val="21"/>
        <w:szCs w:val="21"/>
        <w:highlight w:val="none"/>
        <w:lang w:eastAsia="zh-CN" w:bidi="ar-SA"/>
      </w:rPr>
      <w:t>HNZY2025-164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371059"/>
    <w:rsid w:val="38371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2" w:lineRule="auto"/>
      <w:outlineLvl w:val="1"/>
    </w:pPr>
    <w:rPr>
      <w:rFonts w:ascii="Arial" w:hAnsi="Arial" w:eastAsia="黑体"/>
      <w:b/>
      <w:bCs/>
      <w:sz w:val="32"/>
      <w:szCs w:val="32"/>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rFonts w:ascii="Times New Roman" w:hAnsi="Times New Roman"/>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
    <w:basedOn w:val="1"/>
    <w:qFormat/>
    <w:uiPriority w:val="0"/>
    <w:pPr>
      <w:widowControl w:val="0"/>
      <w:ind w:left="928" w:right="210" w:rightChars="100" w:hanging="360"/>
      <w:jc w:val="both"/>
    </w:pPr>
    <w:rPr>
      <w:rFonts w:ascii="宋体" w:hAnsi="宋体"/>
      <w:b/>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2025-12-05T09:35:00Z</dcterms:created>
  <dc:creator>故里</dc:creator>
  <cp:lastModifiedBy>故里</cp:lastModifiedBy>
  <dcterms:modified xsi:type="dcterms:W3CDTF">2025-12-05T09:36:14Z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DD5F6397486D4D46BC0B4824A16B5F51_11</vt:lpwstr>
  </property>
  <property fmtid="{D5CDD505-2E9C-101B-9397-08002B2CF9AE}" pid="4" name="KSOTemplateDocerSaveRecord">
    <vt:lpwstr>eyJoZGlkIjoiYzBkMjNmMTBkMjcyZmNiMGQ3NThiNjg5NzI4YjdmYzciLCJ1c2VySWQiOiIyODg5OTgwNjAifQ==</vt:lpwstr>
  </property>
</Properties>
</file>