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word/footnotes.xml" ContentType="application/vnd.openxmlformats-officedocument.wordprocessingml.footnot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FFFFFF"/>
  <w:body>
    <w:p>
      <w:pPr>
        <w:jc w:val="left"/>
        <w:rPr>
          <w:rFonts w:ascii="宋体" w:hAnsi="宋体"/>
          <w:b/>
          <w:bCs/>
          <w:sz w:val="48"/>
          <w:szCs w:val="48"/>
        </w:rPr>
      </w:pPr>
    </w:p>
    <w:p>
      <w:pPr>
        <w:spacing w:line="360" w:lineRule="auto"/>
        <w:jc w:val="center"/>
        <w:rPr>
          <w:rFonts w:ascii="宋体" w:cs="宋体" w:hAnsi="宋体"/>
          <w:b/>
          <w:kern w:val="0"/>
          <w:sz w:val="56"/>
          <w:szCs w:val="56"/>
        </w:rPr>
      </w:pPr>
      <w:r>
        <w:rPr>
          <w:rFonts w:ascii="宋体" w:cs="宋体" w:hAnsi="宋体"/>
          <w:b/>
          <w:kern w:val="0"/>
          <w:sz w:val="56"/>
          <w:szCs w:val="56"/>
        </w:rPr>
        <w:t>2026年度白沙县35座小型水质自动监测站运维服务项目</w:t>
      </w:r>
    </w:p>
    <w:p>
      <w:pPr>
        <w:spacing w:line="360" w:lineRule="auto"/>
        <w:jc w:val="center"/>
        <w:rPr>
          <w:rFonts w:ascii="仿宋_GB2312" w:eastAsia="仿宋_GB2312"/>
          <w:b/>
          <w:sz w:val="24"/>
        </w:rPr>
      </w:pPr>
    </w:p>
    <w:p>
      <w:pPr>
        <w:spacing w:line="360" w:lineRule="auto"/>
        <w:jc w:val="center"/>
        <w:rPr>
          <w:rFonts w:ascii="仿宋_GB2312" w:eastAsia="仿宋_GB2312"/>
          <w:b/>
          <w:sz w:val="24"/>
        </w:rPr>
      </w:pPr>
    </w:p>
    <w:p>
      <w:pPr>
        <w:spacing w:line="360" w:lineRule="auto"/>
        <w:jc w:val="center"/>
        <w:rPr>
          <w:rFonts w:ascii="仿宋_GB2312" w:eastAsia="仿宋_GB2312"/>
          <w:b/>
          <w:sz w:val="24"/>
        </w:rPr>
      </w:pPr>
    </w:p>
    <w:p>
      <w:pPr>
        <w:spacing w:line="360" w:lineRule="auto"/>
        <w:jc w:val="center"/>
        <w:rPr>
          <w:rFonts w:ascii="仿宋_GB2312" w:eastAsia="仿宋_GB2312"/>
          <w:b/>
          <w:sz w:val="24"/>
        </w:rPr>
      </w:pPr>
    </w:p>
    <w:p>
      <w:pPr>
        <w:spacing w:line="360" w:lineRule="auto"/>
        <w:jc w:val="center"/>
        <w:rPr>
          <w:rFonts w:ascii="仿宋_GB2312" w:eastAsia="仿宋_GB2312"/>
          <w:b/>
          <w:sz w:val="24"/>
        </w:rPr>
      </w:pPr>
    </w:p>
    <w:p>
      <w:pPr>
        <w:spacing w:line="360" w:lineRule="auto"/>
        <w:jc w:val="center"/>
        <w:outlineLvl w:val="0"/>
        <w:rPr>
          <w:rFonts w:ascii="宋体" w:cs="宋体" w:hAnsi="宋体"/>
          <w:b/>
          <w:sz w:val="24"/>
        </w:rPr>
      </w:pPr>
      <w:bookmarkStart w:id="0" w:name="_Toc11998"/>
      <w:bookmarkStart w:id="1" w:name="_Toc425497734"/>
      <w:bookmarkStart w:id="2" w:name="_Toc37485065"/>
      <w:bookmarkStart w:id="3" w:name="_Toc425405951"/>
      <w:bookmarkStart w:id="4" w:name="_Toc424913974"/>
      <w:bookmarkStart w:id="5" w:name="_Toc424915672"/>
      <w:bookmarkStart w:id="6" w:name="_Toc432598937"/>
      <w:bookmarkStart w:id="7" w:name="_Toc67843797"/>
      <w:r>
        <w:rPr>
          <w:rFonts w:ascii="宋体" w:cs="宋体" w:hAnsi="宋体" w:hint="eastAsia"/>
          <w:b/>
          <w:kern w:val="0"/>
          <w:sz w:val="56"/>
          <w:szCs w:val="56"/>
        </w:rPr>
        <w:t>竞争性磋商文件</w:t>
      </w:r>
      <w:bookmarkEnd w:id="0"/>
      <w:bookmarkEnd w:id="1"/>
      <w:bookmarkEnd w:id="2"/>
      <w:bookmarkEnd w:id="3"/>
      <w:bookmarkEnd w:id="4"/>
      <w:bookmarkEnd w:id="5"/>
      <w:bookmarkEnd w:id="6"/>
      <w:bookmarkEnd w:id="7"/>
    </w:p>
    <w:p>
      <w:pPr>
        <w:spacing w:line="360" w:lineRule="auto"/>
        <w:rPr>
          <w:rFonts w:ascii="仿宋_GB2312" w:eastAsia="仿宋_GB2312" w:hAnsi="宋体"/>
          <w:b/>
          <w:bCs/>
          <w:sz w:val="28"/>
          <w:szCs w:val="28"/>
        </w:rPr>
      </w:pPr>
    </w:p>
    <w:p>
      <w:pPr>
        <w:spacing w:line="360" w:lineRule="auto"/>
        <w:rPr>
          <w:rFonts w:ascii="仿宋_GB2312" w:eastAsia="仿宋_GB2312" w:hAnsi="宋体"/>
          <w:b/>
          <w:bCs/>
          <w:sz w:val="28"/>
          <w:szCs w:val="28"/>
        </w:rPr>
      </w:pPr>
    </w:p>
    <w:p>
      <w:pPr>
        <w:spacing w:line="360" w:lineRule="auto"/>
        <w:rPr>
          <w:rFonts w:ascii="仿宋_GB2312" w:eastAsia="仿宋_GB2312" w:hAnsi="宋体"/>
          <w:b/>
          <w:bCs/>
          <w:sz w:val="28"/>
          <w:szCs w:val="28"/>
        </w:rPr>
      </w:pPr>
    </w:p>
    <w:p>
      <w:pPr>
        <w:spacing w:line="480" w:lineRule="auto"/>
        <w:rPr>
          <w:rFonts w:ascii="仿宋_GB2312" w:eastAsia="仿宋_GB2312" w:hAnsi="宋体"/>
          <w:b/>
          <w:bCs/>
          <w:sz w:val="28"/>
          <w:szCs w:val="28"/>
        </w:rPr>
      </w:pPr>
    </w:p>
    <w:p>
      <w:pPr>
        <w:spacing w:beforeLines="50" w:before="156" w:beforeAutospacing="0" w:afterAutospacing="0" w:line="480" w:lineRule="auto"/>
        <w:ind w:firstLineChars="247" w:firstLine="889"/>
        <w:jc w:val="left"/>
        <w:rPr>
          <w:rFonts w:ascii="宋体" w:hAnsi="宋体"/>
          <w:b/>
          <w:sz w:val="36"/>
          <w:szCs w:val="36"/>
        </w:rPr>
      </w:pPr>
      <w:r>
        <w:rPr>
          <w:rFonts w:ascii="宋体" w:hAnsi="宋体" w:hint="eastAsia"/>
          <w:b/>
          <w:sz w:val="36"/>
          <w:szCs w:val="36"/>
        </w:rPr>
        <w:t>项目编号：</w:t>
      </w:r>
      <w:r>
        <w:rPr>
          <w:rFonts w:ascii="宋体" w:hAnsi="宋体"/>
          <w:b/>
          <w:sz w:val="36"/>
          <w:szCs w:val="36"/>
        </w:rPr>
        <w:t>HNDXY-25-ZB-36</w:t>
      </w:r>
    </w:p>
    <w:p>
      <w:pPr>
        <w:spacing w:beforeLines="50" w:before="156" w:beforeAutospacing="0" w:afterAutospacing="0" w:line="480" w:lineRule="auto"/>
        <w:ind w:firstLineChars="254" w:firstLine="914"/>
        <w:rPr>
          <w:rFonts w:ascii="宋体" w:hAnsi="宋体"/>
          <w:b/>
          <w:bCs/>
          <w:sz w:val="36"/>
          <w:szCs w:val="36"/>
        </w:rPr>
      </w:pPr>
      <w:r>
        <w:rPr>
          <w:rFonts w:ascii="宋体" w:hAnsi="宋体" w:hint="eastAsia"/>
          <w:b/>
          <w:sz w:val="36"/>
          <w:szCs w:val="36"/>
        </w:rPr>
        <w:t>采购人：</w:t>
      </w:r>
      <w:r>
        <w:rPr>
          <w:rFonts w:ascii="宋体" w:hAnsi="宋体" w:hint="eastAsia"/>
          <w:b/>
          <w:sz w:val="36"/>
          <w:szCs w:val="36"/>
          <w:lang w:val="en-US" w:eastAsia="zh-CN"/>
        </w:rPr>
        <w:t>白沙黎族自治县生态环境局</w:t>
      </w:r>
    </w:p>
    <w:p>
      <w:pPr>
        <w:spacing w:beforeLines="50" w:before="156" w:beforeAutospacing="0" w:afterAutospacing="0" w:line="480" w:lineRule="auto"/>
        <w:ind w:firstLineChars="254" w:firstLine="914"/>
        <w:rPr>
          <w:rFonts w:ascii="宋体" w:hAnsi="宋体"/>
          <w:b/>
          <w:sz w:val="36"/>
          <w:szCs w:val="36"/>
        </w:rPr>
      </w:pPr>
      <w:r>
        <w:rPr>
          <w:rFonts w:ascii="宋体" w:hAnsi="宋体" w:hint="eastAsia"/>
          <w:b/>
          <w:sz w:val="36"/>
          <w:szCs w:val="36"/>
        </w:rPr>
        <w:t xml:space="preserve">采购代理机构：海南电信规划设计院有限公司              </w:t>
      </w:r>
    </w:p>
    <w:p>
      <w:pPr>
        <w:spacing w:beforeLines="50" w:before="156" w:beforeAutospacing="0" w:afterAutospacing="0" w:line="480" w:lineRule="auto"/>
        <w:jc w:val="center"/>
        <w:rPr>
          <w:rFonts w:ascii="宋体" w:hAnsi="宋体" w:hint="eastAsia"/>
          <w:b/>
          <w:sz w:val="36"/>
          <w:szCs w:val="36"/>
        </w:rPr>
      </w:pPr>
      <w:r>
        <w:rPr>
          <w:rFonts w:ascii="宋体" w:hAnsi="宋体" w:hint="eastAsia"/>
          <w:b/>
          <w:sz w:val="36"/>
          <w:szCs w:val="36"/>
        </w:rPr>
        <w:t>2025年</w:t>
      </w:r>
      <w:r>
        <w:rPr>
          <w:rFonts w:ascii="宋体" w:hAnsi="宋体"/>
          <w:b/>
          <w:sz w:val="36"/>
          <w:szCs w:val="36"/>
        </w:rPr>
        <w:t>12</w:t>
      </w:r>
      <w:r>
        <w:rPr>
          <w:rFonts w:ascii="宋体" w:hAnsi="宋体" w:hint="eastAsia"/>
          <w:b/>
          <w:sz w:val="36"/>
          <w:szCs w:val="36"/>
        </w:rPr>
        <w:t>月</w:t>
      </w:r>
    </w:p>
    <w:p>
      <w:pPr>
        <w:spacing w:line="480" w:lineRule="auto"/>
        <w:jc w:val="center"/>
      </w:pPr>
    </w:p>
    <w:p>
      <w:pPr>
        <w:pStyle w:val="28"/>
        <w:jc w:val="both"/>
        <w:rPr>
          <w:rFonts w:ascii="宋体" w:hAnsi="宋体"/>
          <w:caps w:val="0"/>
          <w:smallCaps w:val="0"/>
          <w:sz w:val="32"/>
          <w:szCs w:val="32"/>
        </w:rPr>
        <w:sectPr>
          <w:headerReference w:type="default" r:id="rId2"/>
          <w:footerReference w:type="default" r:id="rId3"/>
          <w:pgSz w:w="11906" w:h="16838"/>
          <w:pgMar w:top="1440" w:right="1417" w:bottom="1440" w:left="1417" w:header="851" w:footer="992" w:gutter="0"/>
          <w:cols w:num="1" w:space="720"/>
          <w:docGrid w:type="lines" w:linePitch="312" w:charSpace="0"/>
        </w:sectPr>
      </w:pPr>
    </w:p>
    <w:p>
      <w:pPr>
        <w:pStyle w:val="28"/>
        <w:jc w:val="center"/>
        <w:rPr>
          <w:rFonts w:ascii="宋体" w:hAnsi="宋体"/>
          <w:caps w:val="0"/>
          <w:smallCaps w:val="0"/>
          <w:sz w:val="22"/>
          <w:szCs w:val="32"/>
        </w:rPr>
      </w:pPr>
      <w:r>
        <w:rPr>
          <w:rFonts w:ascii="宋体" w:hAnsi="宋体" w:hint="eastAsia"/>
          <w:caps w:val="0"/>
          <w:smallCaps w:val="0"/>
          <w:sz w:val="22"/>
          <w:szCs w:val="32"/>
        </w:rPr>
        <w:t>目   录</w:t>
      </w:r>
    </w:p>
    <w:p>
      <w:pPr>
        <w:pStyle w:val="28"/>
        <w:pageBreakBefore w:val="0"/>
        <w:widowControl w:val="0"/>
        <w:tabs>
          <w:tab w:val="right" w:leader="dot" w:pos="9637"/>
        </w:tabs>
      </w:pPr>
      <w:bookmarkStart w:id="8" w:name="_Toc317237597"/>
      <w:bookmarkStart w:id="9" w:name="_Toc30154"/>
      <w:r>
        <w:rPr>
          <w:rFonts w:hint="eastAsia"/>
          <w:sz w:val="21"/>
          <w:szCs w:val="21"/>
        </w:rPr>
        <w:fldChar w:fldCharType="begin"/>
      </w:r>
      <w:r>
        <w:rPr>
          <w:rFonts w:hint="eastAsia"/>
          <w:sz w:val="21"/>
          <w:szCs w:val="21"/>
        </w:rPr>
        <w:instrText xml:space="preserve">TOC \o "1-3" \h \u </w:instrText>
      </w:r>
      <w:r>
        <w:rPr>
          <w:rFonts w:hint="eastAsia"/>
          <w:sz w:val="21"/>
          <w:szCs w:val="21"/>
        </w:rPr>
        <w:fldChar w:fldCharType="separate"/>
      </w:r>
      <w:r>
        <w:fldChar w:fldCharType="begin"/>
      </w:r>
      <w:r>
        <w:instrText>Hyperlink \l "_Toc67843797"</w:instrText>
      </w:r>
      <w:r>
        <w:fldChar w:fldCharType="separate"/>
      </w:r>
      <w:r>
        <w:rPr>
          <w:rFonts w:ascii="宋体" w:cs="宋体" w:hAnsi="宋体" w:hint="eastAsia"/>
          <w:kern w:val="0"/>
        </w:rPr>
        <w:t>竞争性磋商文件</w:t>
      </w:r>
      <w:r>
        <w:tab/>
      </w:r>
      <w:r>
        <w:fldChar w:fldCharType="begin"/>
      </w:r>
      <w:r>
        <w:instrText>PageRef _Toc67843797 \h</w:instrText>
      </w:r>
      <w:r>
        <w:fldChar w:fldCharType="separate"/>
      </w:r>
      <w:r>
        <w:t>1</w:t>
      </w:r>
      <w:r>
        <w:fldChar w:fldCharType="end"/>
      </w:r>
      <w:r>
        <w:fldChar w:fldCharType="end"/>
      </w:r>
    </w:p>
    <w:p>
      <w:pPr>
        <w:pStyle w:val="28"/>
        <w:pageBreakBefore w:val="0"/>
        <w:widowControl w:val="0"/>
        <w:tabs>
          <w:tab w:val="right" w:leader="dot" w:pos="9637"/>
        </w:tabs>
      </w:pPr>
      <w:r>
        <w:fldChar w:fldCharType="begin"/>
      </w:r>
      <w:r>
        <w:instrText>Hyperlink \l "_Toc67843798"</w:instrText>
      </w:r>
      <w:r>
        <w:fldChar w:fldCharType="separate"/>
      </w:r>
      <w:r>
        <w:rPr>
          <w:rFonts w:hint="eastAsia"/>
        </w:rPr>
        <w:t xml:space="preserve">第一章 </w:t>
      </w:r>
      <w:r>
        <w:rPr>
          <w:rFonts w:ascii="宋体" w:hAnsi="宋体" w:hint="eastAsia"/>
        </w:rPr>
        <w:t xml:space="preserve"> </w:t>
      </w:r>
      <w:r>
        <w:rPr>
          <w:rFonts w:hint="eastAsia"/>
        </w:rPr>
        <w:t>磋商</w:t>
      </w:r>
      <w:r>
        <w:t>公告</w:t>
        <w:tab/>
      </w:r>
      <w:r>
        <w:fldChar w:fldCharType="begin"/>
      </w:r>
      <w:r>
        <w:instrText>PageRef _Toc67843798 \h</w:instrText>
      </w:r>
      <w:r>
        <w:fldChar w:fldCharType="separate"/>
      </w:r>
      <w:r>
        <w:t>1</w:t>
      </w:r>
      <w:r>
        <w:fldChar w:fldCharType="end"/>
      </w:r>
      <w:r>
        <w:fldChar w:fldCharType="end"/>
      </w:r>
    </w:p>
    <w:p>
      <w:pPr>
        <w:pStyle w:val="28"/>
        <w:pageBreakBefore w:val="0"/>
        <w:widowControl w:val="0"/>
        <w:tabs>
          <w:tab w:val="right" w:leader="dot" w:pos="9637"/>
        </w:tabs>
      </w:pPr>
      <w:r>
        <w:fldChar w:fldCharType="begin"/>
      </w:r>
      <w:r>
        <w:instrText>Hyperlink \l "_Toc67843799"</w:instrText>
      </w:r>
      <w:r>
        <w:fldChar w:fldCharType="separate"/>
      </w:r>
      <w:r>
        <w:rPr>
          <w:rFonts w:hint="eastAsia"/>
        </w:rPr>
        <w:t>第二章  供应商须知</w:t>
      </w:r>
      <w:r>
        <w:tab/>
      </w:r>
      <w:r>
        <w:fldChar w:fldCharType="begin"/>
      </w:r>
      <w:r>
        <w:instrText>PageRef _Toc67843799 \h</w:instrText>
      </w:r>
      <w:r>
        <w:fldChar w:fldCharType="separate"/>
      </w:r>
      <w:r>
        <w:t>4</w:t>
      </w:r>
      <w:r>
        <w:fldChar w:fldCharType="end"/>
      </w:r>
      <w:r>
        <w:fldChar w:fldCharType="end"/>
      </w:r>
    </w:p>
    <w:p>
      <w:pPr>
        <w:pStyle w:val="31"/>
        <w:pageBreakBefore w:val="0"/>
        <w:widowControl w:val="0"/>
        <w:tabs>
          <w:tab w:val="right" w:leader="dot" w:pos="9637"/>
        </w:tabs>
      </w:pPr>
      <w:r>
        <w:fldChar w:fldCharType="begin"/>
      </w:r>
      <w:r>
        <w:instrText>Hyperlink \l "_Toc67843800"</w:instrText>
      </w:r>
      <w:r>
        <w:fldChar w:fldCharType="separate"/>
      </w:r>
      <w:r>
        <w:rPr>
          <w:rFonts w:hint="eastAsia"/>
        </w:rPr>
        <w:t>供应商须知前附表</w:t>
      </w:r>
      <w:r>
        <w:tab/>
      </w:r>
      <w:r>
        <w:fldChar w:fldCharType="begin"/>
      </w:r>
      <w:r>
        <w:instrText>PageRef _Toc67843800 \h</w:instrText>
      </w:r>
      <w:r>
        <w:fldChar w:fldCharType="separate"/>
      </w:r>
      <w:r>
        <w:t>4</w:t>
      </w:r>
      <w:r>
        <w:fldChar w:fldCharType="end"/>
      </w:r>
      <w:r>
        <w:fldChar w:fldCharType="end"/>
      </w:r>
    </w:p>
    <w:p>
      <w:pPr>
        <w:pStyle w:val="31"/>
        <w:pageBreakBefore w:val="0"/>
        <w:widowControl w:val="0"/>
        <w:tabs>
          <w:tab w:val="right" w:leader="dot" w:pos="9637"/>
        </w:tabs>
      </w:pPr>
      <w:r>
        <w:fldChar w:fldCharType="begin"/>
      </w:r>
      <w:r>
        <w:instrText>Hyperlink \l "_Toc67843801"</w:instrText>
      </w:r>
      <w:r>
        <w:fldChar w:fldCharType="separate"/>
      </w:r>
      <w:r>
        <w:rPr>
          <w:rFonts w:hint="eastAsia"/>
        </w:rPr>
        <w:t>A说明和释义</w:t>
      </w:r>
      <w:r>
        <w:tab/>
      </w:r>
      <w:r>
        <w:fldChar w:fldCharType="begin"/>
      </w:r>
      <w:r>
        <w:instrText>PageRef _Toc67843801 \h</w:instrText>
      </w:r>
      <w:r>
        <w:fldChar w:fldCharType="separate"/>
      </w:r>
      <w:r>
        <w:t>8</w:t>
      </w:r>
      <w:r>
        <w:fldChar w:fldCharType="end"/>
      </w:r>
      <w:r>
        <w:fldChar w:fldCharType="end"/>
      </w:r>
    </w:p>
    <w:p>
      <w:pPr>
        <w:pStyle w:val="31"/>
        <w:pageBreakBefore w:val="0"/>
        <w:widowControl w:val="0"/>
        <w:tabs>
          <w:tab w:val="right" w:leader="dot" w:pos="9637"/>
        </w:tabs>
      </w:pPr>
      <w:r>
        <w:fldChar w:fldCharType="begin"/>
      </w:r>
      <w:r>
        <w:instrText>Hyperlink \l "_Toc67843802"</w:instrText>
      </w:r>
      <w:r>
        <w:fldChar w:fldCharType="separate"/>
      </w:r>
      <w:r>
        <w:rPr>
          <w:rFonts w:hint="eastAsia"/>
        </w:rPr>
        <w:t>B竞争性磋商文件</w:t>
      </w:r>
      <w:r>
        <w:tab/>
      </w:r>
      <w:r>
        <w:fldChar w:fldCharType="begin"/>
      </w:r>
      <w:r>
        <w:instrText>PageRef _Toc67843802 \h</w:instrText>
      </w:r>
      <w:r>
        <w:fldChar w:fldCharType="separate"/>
      </w:r>
      <w:r>
        <w:t>9</w:t>
      </w:r>
      <w:r>
        <w:fldChar w:fldCharType="end"/>
      </w:r>
      <w:r>
        <w:fldChar w:fldCharType="end"/>
      </w:r>
    </w:p>
    <w:p>
      <w:pPr>
        <w:pStyle w:val="31"/>
        <w:pageBreakBefore w:val="0"/>
        <w:widowControl w:val="0"/>
        <w:tabs>
          <w:tab w:val="right" w:leader="dot" w:pos="9637"/>
        </w:tabs>
      </w:pPr>
      <w:r>
        <w:fldChar w:fldCharType="begin"/>
      </w:r>
      <w:r>
        <w:instrText>Hyperlink \l "_Toc67843803"</w:instrText>
      </w:r>
      <w:r>
        <w:fldChar w:fldCharType="separate"/>
      </w:r>
      <w:r>
        <w:rPr>
          <w:rFonts w:hint="eastAsia"/>
        </w:rPr>
        <w:t>C响应文件</w:t>
      </w:r>
      <w:r>
        <w:tab/>
      </w:r>
      <w:r>
        <w:fldChar w:fldCharType="begin"/>
      </w:r>
      <w:r>
        <w:instrText>PageRef _Toc67843803 \h</w:instrText>
      </w:r>
      <w:r>
        <w:fldChar w:fldCharType="separate"/>
      </w:r>
      <w:r>
        <w:t>10</w:t>
      </w:r>
      <w:r>
        <w:fldChar w:fldCharType="end"/>
      </w:r>
      <w:r>
        <w:fldChar w:fldCharType="end"/>
      </w:r>
    </w:p>
    <w:p>
      <w:pPr>
        <w:pStyle w:val="31"/>
        <w:pageBreakBefore w:val="0"/>
        <w:widowControl w:val="0"/>
        <w:tabs>
          <w:tab w:val="right" w:leader="dot" w:pos="9637"/>
        </w:tabs>
      </w:pPr>
      <w:r>
        <w:fldChar w:fldCharType="begin"/>
      </w:r>
      <w:r>
        <w:instrText>Hyperlink \l "_Toc67843804"</w:instrText>
      </w:r>
      <w:r>
        <w:fldChar w:fldCharType="separate"/>
      </w:r>
      <w:r>
        <w:rPr>
          <w:rFonts w:hint="eastAsia"/>
        </w:rPr>
        <w:t>D响应文件的递交</w:t>
      </w:r>
      <w:r>
        <w:tab/>
      </w:r>
      <w:r>
        <w:fldChar w:fldCharType="begin"/>
      </w:r>
      <w:r>
        <w:instrText>PageRef _Toc67843804 \h</w:instrText>
      </w:r>
      <w:r>
        <w:fldChar w:fldCharType="separate"/>
      </w:r>
      <w:r>
        <w:t>13</w:t>
      </w:r>
      <w:r>
        <w:fldChar w:fldCharType="end"/>
      </w:r>
      <w:r>
        <w:fldChar w:fldCharType="end"/>
      </w:r>
    </w:p>
    <w:p>
      <w:pPr>
        <w:pStyle w:val="31"/>
        <w:pageBreakBefore w:val="0"/>
        <w:widowControl w:val="0"/>
        <w:tabs>
          <w:tab w:val="right" w:leader="dot" w:pos="9637"/>
        </w:tabs>
      </w:pPr>
      <w:r>
        <w:fldChar w:fldCharType="begin"/>
      </w:r>
      <w:r>
        <w:instrText>Hyperlink \l "_Toc67843805"</w:instrText>
      </w:r>
      <w:r>
        <w:fldChar w:fldCharType="separate"/>
      </w:r>
      <w:r>
        <w:rPr>
          <w:rFonts w:hint="eastAsia"/>
        </w:rPr>
        <w:t>E唱价、评审和定标</w:t>
      </w:r>
      <w:r>
        <w:tab/>
      </w:r>
      <w:r>
        <w:fldChar w:fldCharType="begin"/>
      </w:r>
      <w:r>
        <w:instrText>PageRef _Toc67843805 \h</w:instrText>
      </w:r>
      <w:r>
        <w:fldChar w:fldCharType="separate"/>
      </w:r>
      <w:r>
        <w:t>13</w:t>
      </w:r>
      <w:r>
        <w:fldChar w:fldCharType="end"/>
      </w:r>
      <w:r>
        <w:fldChar w:fldCharType="end"/>
      </w:r>
    </w:p>
    <w:p>
      <w:pPr>
        <w:pStyle w:val="31"/>
        <w:pageBreakBefore w:val="0"/>
        <w:widowControl w:val="0"/>
        <w:tabs>
          <w:tab w:val="right" w:leader="dot" w:pos="9637"/>
        </w:tabs>
      </w:pPr>
      <w:r>
        <w:fldChar w:fldCharType="begin"/>
      </w:r>
      <w:r>
        <w:instrText>Hyperlink \l "_Toc67843806"</w:instrText>
      </w:r>
      <w:r>
        <w:fldChar w:fldCharType="separate"/>
      </w:r>
      <w:r>
        <w:rPr>
          <w:rFonts w:hint="eastAsia"/>
        </w:rPr>
        <w:t>F授予合同</w:t>
      </w:r>
      <w:r>
        <w:tab/>
      </w:r>
      <w:r>
        <w:fldChar w:fldCharType="begin"/>
      </w:r>
      <w:r>
        <w:instrText>PageRef _Toc67843806 \h</w:instrText>
      </w:r>
      <w:r>
        <w:fldChar w:fldCharType="separate"/>
      </w:r>
      <w:r>
        <w:t>15</w:t>
      </w:r>
      <w:r>
        <w:fldChar w:fldCharType="end"/>
      </w:r>
      <w:r>
        <w:fldChar w:fldCharType="end"/>
      </w:r>
    </w:p>
    <w:p>
      <w:pPr>
        <w:pStyle w:val="31"/>
        <w:pageBreakBefore w:val="0"/>
        <w:widowControl w:val="0"/>
        <w:tabs>
          <w:tab w:val="right" w:leader="dot" w:pos="9637"/>
        </w:tabs>
      </w:pPr>
      <w:r>
        <w:fldChar w:fldCharType="begin"/>
      </w:r>
      <w:r>
        <w:instrText>Hyperlink \l "_Toc67843807"</w:instrText>
      </w:r>
      <w:r>
        <w:fldChar w:fldCharType="separate"/>
      </w:r>
      <w:r>
        <w:rPr>
          <w:rFonts w:hint="eastAsia"/>
        </w:rPr>
        <w:t>G询问、质疑和投诉</w:t>
      </w:r>
      <w:r>
        <w:tab/>
      </w:r>
      <w:r>
        <w:fldChar w:fldCharType="begin"/>
      </w:r>
      <w:r>
        <w:instrText>PageRef _Toc67843807 \h</w:instrText>
      </w:r>
      <w:r>
        <w:fldChar w:fldCharType="separate"/>
      </w:r>
      <w:r>
        <w:t>16</w:t>
      </w:r>
      <w:r>
        <w:fldChar w:fldCharType="end"/>
      </w:r>
      <w:r>
        <w:fldChar w:fldCharType="end"/>
      </w:r>
    </w:p>
    <w:p>
      <w:pPr>
        <w:pStyle w:val="31"/>
        <w:pageBreakBefore w:val="0"/>
        <w:widowControl w:val="0"/>
        <w:tabs>
          <w:tab w:val="right" w:leader="dot" w:pos="9637"/>
        </w:tabs>
      </w:pPr>
      <w:r>
        <w:fldChar w:fldCharType="begin"/>
      </w:r>
      <w:r>
        <w:instrText>Hyperlink \l "_Toc67843808"</w:instrText>
      </w:r>
      <w:r>
        <w:fldChar w:fldCharType="separate"/>
      </w:r>
      <w:r>
        <w:rPr>
          <w:rFonts w:hint="eastAsia"/>
        </w:rPr>
        <w:t>H纪律和监督</w:t>
      </w:r>
      <w:r>
        <w:tab/>
      </w:r>
      <w:r>
        <w:fldChar w:fldCharType="begin"/>
      </w:r>
      <w:r>
        <w:instrText>PageRef _Toc67843808 \h</w:instrText>
      </w:r>
      <w:r>
        <w:fldChar w:fldCharType="separate"/>
      </w:r>
      <w:r>
        <w:t>17</w:t>
      </w:r>
      <w:r>
        <w:fldChar w:fldCharType="end"/>
      </w:r>
      <w:r>
        <w:fldChar w:fldCharType="end"/>
      </w:r>
    </w:p>
    <w:p>
      <w:pPr>
        <w:pStyle w:val="28"/>
        <w:pageBreakBefore w:val="0"/>
        <w:widowControl w:val="0"/>
        <w:tabs>
          <w:tab w:val="right" w:leader="dot" w:pos="9637"/>
        </w:tabs>
      </w:pPr>
      <w:r>
        <w:fldChar w:fldCharType="begin"/>
      </w:r>
      <w:r>
        <w:instrText>Hyperlink \l "_Toc67843809"</w:instrText>
      </w:r>
      <w:r>
        <w:fldChar w:fldCharType="separate"/>
      </w:r>
      <w:r>
        <w:rPr>
          <w:rFonts w:hint="eastAsia"/>
        </w:rPr>
        <w:t>第三章  采购需求</w:t>
      </w:r>
      <w:r>
        <w:tab/>
      </w:r>
      <w:r>
        <w:fldChar w:fldCharType="begin"/>
      </w:r>
      <w:r>
        <w:instrText>PageRef _Toc67843809 \h</w:instrText>
      </w:r>
      <w:r>
        <w:fldChar w:fldCharType="separate"/>
      </w:r>
      <w:r>
        <w:t>21</w:t>
      </w:r>
      <w:r>
        <w:fldChar w:fldCharType="end"/>
      </w:r>
      <w:r>
        <w:fldChar w:fldCharType="end"/>
      </w:r>
    </w:p>
    <w:p>
      <w:pPr>
        <w:pStyle w:val="28"/>
        <w:pageBreakBefore w:val="0"/>
        <w:widowControl w:val="0"/>
        <w:tabs>
          <w:tab w:val="right" w:leader="dot" w:pos="9637"/>
        </w:tabs>
      </w:pPr>
      <w:r>
        <w:fldChar w:fldCharType="begin"/>
      </w:r>
      <w:r>
        <w:instrText>Hyperlink \l "_Toc67843810"</w:instrText>
      </w:r>
      <w:r>
        <w:fldChar w:fldCharType="separate"/>
      </w:r>
      <w:r>
        <w:rPr>
          <w:rFonts w:hint="eastAsia"/>
        </w:rPr>
        <w:t>第四章  合同条款及格式</w:t>
      </w:r>
      <w:r>
        <w:tab/>
      </w:r>
      <w:r>
        <w:fldChar w:fldCharType="begin"/>
      </w:r>
      <w:r>
        <w:instrText>PageRef _Toc67843810 \h</w:instrText>
      </w:r>
      <w:r>
        <w:fldChar w:fldCharType="separate"/>
      </w:r>
      <w:r>
        <w:t>32</w:t>
      </w:r>
      <w:r>
        <w:fldChar w:fldCharType="end"/>
      </w:r>
      <w:r>
        <w:fldChar w:fldCharType="end"/>
      </w:r>
    </w:p>
    <w:p>
      <w:pPr>
        <w:pStyle w:val="28"/>
        <w:pageBreakBefore w:val="0"/>
        <w:widowControl w:val="0"/>
        <w:tabs>
          <w:tab w:val="right" w:leader="dot" w:pos="9637"/>
        </w:tabs>
      </w:pPr>
      <w:r>
        <w:fldChar w:fldCharType="begin"/>
      </w:r>
      <w:r>
        <w:instrText>Hyperlink \l "_Toc67843811"</w:instrText>
      </w:r>
      <w:r>
        <w:fldChar w:fldCharType="separate"/>
      </w:r>
      <w:r>
        <w:rPr>
          <w:rFonts w:hint="eastAsia"/>
        </w:rPr>
        <w:t>第五章 评审方法和标准</w:t>
      </w:r>
      <w:r>
        <w:tab/>
      </w:r>
      <w:r>
        <w:fldChar w:fldCharType="begin"/>
      </w:r>
      <w:r>
        <w:instrText>PageRef _Toc67843811 \h</w:instrText>
      </w:r>
      <w:r>
        <w:fldChar w:fldCharType="separate"/>
      </w:r>
      <w:r>
        <w:t>44</w:t>
      </w:r>
      <w:r>
        <w:fldChar w:fldCharType="end"/>
      </w:r>
      <w:r>
        <w:fldChar w:fldCharType="end"/>
      </w:r>
    </w:p>
    <w:p>
      <w:pPr>
        <w:pStyle w:val="31"/>
        <w:pageBreakBefore w:val="0"/>
        <w:widowControl w:val="0"/>
        <w:tabs>
          <w:tab w:val="right" w:leader="dot" w:pos="9637"/>
        </w:tabs>
      </w:pPr>
      <w:r>
        <w:fldChar w:fldCharType="begin"/>
      </w:r>
      <w:r>
        <w:instrText>Hyperlink \l "_Toc67843812"</w:instrText>
      </w:r>
      <w:r>
        <w:fldChar w:fldCharType="separate"/>
      </w:r>
      <w:r>
        <w:rPr>
          <w:rFonts w:hint="eastAsia"/>
        </w:rPr>
        <w:t>一、总则</w:t>
      </w:r>
      <w:r>
        <w:tab/>
      </w:r>
      <w:r>
        <w:fldChar w:fldCharType="begin"/>
      </w:r>
      <w:r>
        <w:instrText>PageRef _Toc67843812 \h</w:instrText>
      </w:r>
      <w:r>
        <w:fldChar w:fldCharType="separate"/>
      </w:r>
      <w:r>
        <w:t>44</w:t>
      </w:r>
      <w:r>
        <w:fldChar w:fldCharType="end"/>
      </w:r>
      <w:r>
        <w:fldChar w:fldCharType="end"/>
      </w:r>
    </w:p>
    <w:p>
      <w:pPr>
        <w:pStyle w:val="31"/>
        <w:pageBreakBefore w:val="0"/>
        <w:widowControl w:val="0"/>
        <w:tabs>
          <w:tab w:val="right" w:leader="dot" w:pos="9637"/>
        </w:tabs>
      </w:pPr>
      <w:r>
        <w:fldChar w:fldCharType="begin"/>
      </w:r>
      <w:r>
        <w:instrText>Hyperlink \l "_Toc67843813"</w:instrText>
      </w:r>
      <w:r>
        <w:fldChar w:fldCharType="separate"/>
      </w:r>
      <w:r>
        <w:rPr>
          <w:rFonts w:hint="eastAsia"/>
        </w:rPr>
        <w:t>二、评审程序、评审方法和评审标准</w:t>
      </w:r>
      <w:r>
        <w:tab/>
      </w:r>
      <w:r>
        <w:fldChar w:fldCharType="begin"/>
      </w:r>
      <w:r>
        <w:instrText>PageRef _Toc67843813 \h</w:instrText>
      </w:r>
      <w:r>
        <w:fldChar w:fldCharType="separate"/>
      </w:r>
      <w:r>
        <w:t>44</w:t>
      </w:r>
      <w:r>
        <w:fldChar w:fldCharType="end"/>
      </w:r>
      <w:r>
        <w:fldChar w:fldCharType="end"/>
      </w:r>
    </w:p>
    <w:p>
      <w:pPr>
        <w:pStyle w:val="22"/>
        <w:pageBreakBefore w:val="0"/>
        <w:widowControl w:val="0"/>
        <w:tabs>
          <w:tab w:val="right" w:leader="dot" w:pos="9637"/>
        </w:tabs>
      </w:pPr>
      <w:r>
        <w:fldChar w:fldCharType="begin"/>
      </w:r>
      <w:r>
        <w:instrText>Hyperlink \l "_Toc67843814"</w:instrText>
      </w:r>
      <w:r>
        <w:fldChar w:fldCharType="separate"/>
      </w:r>
      <w:r>
        <w:rPr>
          <w:rFonts w:ascii="宋体" w:hAnsi="宋体" w:hint="eastAsia"/>
          <w:bCs/>
          <w:kern w:val="0"/>
        </w:rPr>
        <w:t>附表1、审查表</w:t>
      </w:r>
      <w:r>
        <w:tab/>
      </w:r>
      <w:r>
        <w:fldChar w:fldCharType="begin"/>
      </w:r>
      <w:r>
        <w:instrText>PageRef _Toc67843814 \h</w:instrText>
      </w:r>
      <w:r>
        <w:fldChar w:fldCharType="separate"/>
      </w:r>
      <w:r>
        <w:t>47</w:t>
      </w:r>
      <w:r>
        <w:fldChar w:fldCharType="end"/>
      </w:r>
      <w:r>
        <w:fldChar w:fldCharType="end"/>
      </w:r>
    </w:p>
    <w:p>
      <w:pPr>
        <w:pStyle w:val="22"/>
        <w:pageBreakBefore w:val="0"/>
        <w:widowControl w:val="0"/>
        <w:tabs>
          <w:tab w:val="right" w:leader="dot" w:pos="9637"/>
        </w:tabs>
      </w:pPr>
      <w:r>
        <w:fldChar w:fldCharType="begin"/>
      </w:r>
      <w:r>
        <w:instrText>Hyperlink \l "_Toc67843815"</w:instrText>
      </w:r>
      <w:r>
        <w:fldChar w:fldCharType="separate"/>
      </w:r>
      <w:r>
        <w:rPr>
          <w:rFonts w:ascii="宋体" w:hAnsi="宋体" w:hint="eastAsia"/>
          <w:bCs/>
          <w:kern w:val="0"/>
        </w:rPr>
        <w:t>附表2、评审标准和方法</w:t>
      </w:r>
      <w:r>
        <w:tab/>
      </w:r>
      <w:r>
        <w:fldChar w:fldCharType="begin"/>
      </w:r>
      <w:r>
        <w:instrText>PageRef _Toc67843815 \h</w:instrText>
      </w:r>
      <w:r>
        <w:fldChar w:fldCharType="separate"/>
      </w:r>
      <w:r>
        <w:t>48</w:t>
      </w:r>
      <w:r>
        <w:fldChar w:fldCharType="end"/>
      </w:r>
      <w:r>
        <w:fldChar w:fldCharType="end"/>
      </w:r>
    </w:p>
    <w:p>
      <w:pPr>
        <w:pStyle w:val="28"/>
        <w:pageBreakBefore w:val="0"/>
        <w:widowControl w:val="0"/>
        <w:tabs>
          <w:tab w:val="right" w:leader="dot" w:pos="9637"/>
        </w:tabs>
      </w:pPr>
      <w:r>
        <w:fldChar w:fldCharType="begin"/>
      </w:r>
      <w:r>
        <w:instrText>Hyperlink \l "_Toc67843816"</w:instrText>
      </w:r>
      <w:r>
        <w:fldChar w:fldCharType="separate"/>
      </w:r>
      <w:r>
        <w:rPr>
          <w:rFonts w:hint="eastAsia"/>
        </w:rPr>
        <w:t>第六章  响应文件格式</w:t>
      </w:r>
      <w:r>
        <w:tab/>
      </w:r>
      <w:r>
        <w:fldChar w:fldCharType="begin"/>
      </w:r>
      <w:r>
        <w:instrText>PageRef _Toc67843816 \h</w:instrText>
      </w:r>
      <w:r>
        <w:fldChar w:fldCharType="separate"/>
      </w:r>
      <w:r>
        <w:t>51</w:t>
      </w:r>
      <w:r>
        <w:fldChar w:fldCharType="end"/>
      </w:r>
      <w:r>
        <w:fldChar w:fldCharType="end"/>
      </w:r>
    </w:p>
    <w:p>
      <w:pPr>
        <w:pStyle w:val="31"/>
        <w:pageBreakBefore w:val="0"/>
        <w:widowControl w:val="0"/>
        <w:tabs>
          <w:tab w:val="right" w:leader="dot" w:pos="9637"/>
        </w:tabs>
      </w:pPr>
      <w:r>
        <w:fldChar w:fldCharType="begin"/>
      </w:r>
      <w:r>
        <w:instrText>Hyperlink \l "_Toc67843817"</w:instrText>
      </w:r>
      <w:r>
        <w:fldChar w:fldCharType="separate"/>
      </w:r>
      <w:r>
        <w:rPr>
          <w:rFonts w:hint="eastAsia"/>
        </w:rPr>
        <w:t>1、磋商函</w:t>
      </w:r>
      <w:r>
        <w:tab/>
      </w:r>
      <w:r>
        <w:fldChar w:fldCharType="begin"/>
      </w:r>
      <w:r>
        <w:instrText>PageRef _Toc67843817 \h</w:instrText>
      </w:r>
      <w:r>
        <w:fldChar w:fldCharType="separate"/>
      </w:r>
      <w:r>
        <w:t>54</w:t>
      </w:r>
      <w:r>
        <w:fldChar w:fldCharType="end"/>
      </w:r>
      <w:r>
        <w:fldChar w:fldCharType="end"/>
      </w:r>
    </w:p>
    <w:p>
      <w:pPr>
        <w:pStyle w:val="31"/>
        <w:pageBreakBefore w:val="0"/>
        <w:widowControl w:val="0"/>
        <w:tabs>
          <w:tab w:val="right" w:leader="dot" w:pos="9637"/>
        </w:tabs>
      </w:pPr>
      <w:r>
        <w:fldChar w:fldCharType="begin"/>
      </w:r>
      <w:r>
        <w:instrText>Hyperlink \l "_Toc67843818"</w:instrText>
      </w:r>
      <w:r>
        <w:fldChar w:fldCharType="separate"/>
      </w:r>
      <w:r>
        <w:t>2</w:t>
      </w:r>
      <w:r>
        <w:rPr>
          <w:rFonts w:hint="eastAsia"/>
        </w:rPr>
        <w:t>、法定代表人身份证明</w:t>
      </w:r>
      <w:r>
        <w:tab/>
      </w:r>
      <w:r>
        <w:fldChar w:fldCharType="begin"/>
      </w:r>
      <w:r>
        <w:instrText>PageRef _Toc67843818 \h</w:instrText>
      </w:r>
      <w:r>
        <w:fldChar w:fldCharType="separate"/>
      </w:r>
      <w:r>
        <w:t>55</w:t>
      </w:r>
      <w:r>
        <w:fldChar w:fldCharType="end"/>
      </w:r>
      <w:r>
        <w:fldChar w:fldCharType="end"/>
      </w:r>
    </w:p>
    <w:p>
      <w:pPr>
        <w:pStyle w:val="31"/>
        <w:pageBreakBefore w:val="0"/>
        <w:widowControl w:val="0"/>
        <w:tabs>
          <w:tab w:val="right" w:leader="dot" w:pos="9637"/>
        </w:tabs>
      </w:pPr>
      <w:r>
        <w:fldChar w:fldCharType="begin"/>
      </w:r>
      <w:r>
        <w:instrText>Hyperlink \l "_Toc67843819"</w:instrText>
      </w:r>
      <w:r>
        <w:fldChar w:fldCharType="separate"/>
      </w:r>
      <w:r>
        <w:t>3</w:t>
      </w:r>
      <w:r>
        <w:rPr>
          <w:rFonts w:hint="eastAsia"/>
        </w:rPr>
        <w:t>、授权委托书</w:t>
      </w:r>
      <w:r>
        <w:tab/>
      </w:r>
      <w:r>
        <w:fldChar w:fldCharType="begin"/>
      </w:r>
      <w:r>
        <w:instrText>PageRef _Toc67843819 \h</w:instrText>
      </w:r>
      <w:r>
        <w:fldChar w:fldCharType="separate"/>
      </w:r>
      <w:r>
        <w:t>56</w:t>
      </w:r>
      <w:r>
        <w:fldChar w:fldCharType="end"/>
      </w:r>
      <w:r>
        <w:fldChar w:fldCharType="end"/>
      </w:r>
    </w:p>
    <w:p>
      <w:pPr>
        <w:pStyle w:val="31"/>
        <w:pageBreakBefore w:val="0"/>
        <w:widowControl w:val="0"/>
        <w:tabs>
          <w:tab w:val="right" w:leader="dot" w:pos="9637"/>
        </w:tabs>
      </w:pPr>
      <w:r>
        <w:fldChar w:fldCharType="begin"/>
      </w:r>
      <w:r>
        <w:instrText>Hyperlink \l "_Toc67843820"</w:instrText>
      </w:r>
      <w:r>
        <w:fldChar w:fldCharType="separate"/>
      </w:r>
      <w:r>
        <w:t>4</w:t>
      </w:r>
      <w:r>
        <w:rPr>
          <w:rFonts w:hint="eastAsia"/>
        </w:rPr>
        <w:t>、响应人基本情况表</w:t>
      </w:r>
      <w:r>
        <w:tab/>
      </w:r>
      <w:r>
        <w:fldChar w:fldCharType="begin"/>
      </w:r>
      <w:r>
        <w:instrText>PageRef _Toc67843820 \h</w:instrText>
      </w:r>
      <w:r>
        <w:fldChar w:fldCharType="separate"/>
      </w:r>
      <w:r>
        <w:t>57</w:t>
      </w:r>
      <w:r>
        <w:fldChar w:fldCharType="end"/>
      </w:r>
      <w:r>
        <w:fldChar w:fldCharType="end"/>
      </w:r>
    </w:p>
    <w:p>
      <w:pPr>
        <w:pStyle w:val="31"/>
        <w:pageBreakBefore w:val="0"/>
        <w:widowControl w:val="0"/>
        <w:tabs>
          <w:tab w:val="right" w:leader="dot" w:pos="9637"/>
        </w:tabs>
      </w:pPr>
      <w:r>
        <w:fldChar w:fldCharType="begin"/>
      </w:r>
      <w:r>
        <w:instrText>Hyperlink \l "_Toc67843821"</w:instrText>
      </w:r>
      <w:r>
        <w:fldChar w:fldCharType="separate"/>
      </w:r>
      <w:r>
        <w:rPr>
          <w:rFonts w:ascii="华文细黑" w:eastAsia="华文细黑" w:cs="宋体" w:hAnsi="华文细黑"/>
        </w:rPr>
        <w:t>5</w:t>
      </w:r>
      <w:r>
        <w:rPr>
          <w:rFonts w:ascii="华文细黑" w:eastAsia="华文细黑" w:cs="宋体" w:hAnsi="华文细黑" w:hint="eastAsia"/>
        </w:rPr>
        <w:t>、</w:t>
      </w:r>
      <w:r>
        <w:rPr>
          <w:rFonts w:hint="eastAsia"/>
        </w:rPr>
        <w:t>信用查询</w:t>
      </w:r>
      <w:r>
        <w:tab/>
      </w:r>
      <w:r>
        <w:fldChar w:fldCharType="begin"/>
      </w:r>
      <w:r>
        <w:instrText>PageRef _Toc67843821 \h</w:instrText>
      </w:r>
      <w:r>
        <w:fldChar w:fldCharType="separate"/>
      </w:r>
      <w:r>
        <w:t>58</w:t>
      </w:r>
      <w:r>
        <w:fldChar w:fldCharType="end"/>
      </w:r>
      <w:r>
        <w:fldChar w:fldCharType="end"/>
      </w:r>
    </w:p>
    <w:p>
      <w:pPr>
        <w:pStyle w:val="31"/>
        <w:pageBreakBefore w:val="0"/>
        <w:widowControl w:val="0"/>
        <w:tabs>
          <w:tab w:val="right" w:leader="dot" w:pos="9637"/>
        </w:tabs>
      </w:pPr>
      <w:r>
        <w:fldChar w:fldCharType="begin"/>
      </w:r>
      <w:r>
        <w:instrText>Hyperlink \l "_Toc67843822"</w:instrText>
      </w:r>
      <w:r>
        <w:fldChar w:fldCharType="separate"/>
      </w:r>
      <w:r>
        <w:t>6</w:t>
      </w:r>
      <w:r>
        <w:rPr>
          <w:rFonts w:hint="eastAsia"/>
        </w:rPr>
        <w:t>、无重大违法记录的书面声明</w:t>
      </w:r>
      <w:r>
        <w:tab/>
      </w:r>
      <w:r>
        <w:fldChar w:fldCharType="begin"/>
      </w:r>
      <w:r>
        <w:instrText>PageRef _Toc67843822 \h</w:instrText>
      </w:r>
      <w:r>
        <w:fldChar w:fldCharType="separate"/>
      </w:r>
      <w:r>
        <w:t>59</w:t>
      </w:r>
      <w:r>
        <w:fldChar w:fldCharType="end"/>
      </w:r>
      <w:r>
        <w:fldChar w:fldCharType="end"/>
      </w:r>
    </w:p>
    <w:p>
      <w:pPr>
        <w:pStyle w:val="31"/>
        <w:pageBreakBefore w:val="0"/>
        <w:widowControl w:val="0"/>
        <w:tabs>
          <w:tab w:val="right" w:leader="dot" w:pos="9637"/>
        </w:tabs>
      </w:pPr>
      <w:r>
        <w:fldChar w:fldCharType="begin"/>
      </w:r>
      <w:r>
        <w:instrText>Hyperlink \l "_Toc67843823"</w:instrText>
      </w:r>
      <w:r>
        <w:fldChar w:fldCharType="separate"/>
      </w:r>
      <w:r>
        <w:t>7</w:t>
      </w:r>
      <w:r>
        <w:rPr>
          <w:rFonts w:hint="eastAsia"/>
        </w:rPr>
        <w:t>、</w:t>
      </w:r>
      <w:r>
        <w:rPr>
          <w:rFonts w:ascii="宋体" w:hAnsi="宋体" w:hint="eastAsia"/>
        </w:rPr>
        <w:t>无环保类行政处罚记录</w:t>
      </w:r>
      <w:r>
        <w:rPr>
          <w:rFonts w:hint="eastAsia"/>
        </w:rPr>
        <w:t>的书面声明</w:t>
      </w:r>
      <w:r>
        <w:tab/>
      </w:r>
      <w:r>
        <w:fldChar w:fldCharType="begin"/>
      </w:r>
      <w:r>
        <w:instrText>PageRef _Toc67843823 \h</w:instrText>
      </w:r>
      <w:r>
        <w:fldChar w:fldCharType="separate"/>
      </w:r>
      <w:r>
        <w:t>60</w:t>
      </w:r>
      <w:r>
        <w:fldChar w:fldCharType="end"/>
      </w:r>
      <w:r>
        <w:fldChar w:fldCharType="end"/>
      </w:r>
    </w:p>
    <w:p>
      <w:pPr>
        <w:pStyle w:val="31"/>
        <w:pageBreakBefore w:val="0"/>
        <w:widowControl w:val="0"/>
        <w:tabs>
          <w:tab w:val="right" w:leader="dot" w:pos="9637"/>
        </w:tabs>
      </w:pPr>
      <w:r>
        <w:fldChar w:fldCharType="begin"/>
      </w:r>
      <w:r>
        <w:instrText>Hyperlink \l "_Toc67843824"</w:instrText>
      </w:r>
      <w:r>
        <w:fldChar w:fldCharType="separate"/>
      </w:r>
      <w:r>
        <w:t>8</w:t>
      </w:r>
      <w:r>
        <w:rPr>
          <w:rFonts w:hint="eastAsia"/>
        </w:rPr>
        <w:t>、资格承诺函</w:t>
      </w:r>
      <w:r>
        <w:tab/>
      </w:r>
      <w:r>
        <w:fldChar w:fldCharType="begin"/>
      </w:r>
      <w:r>
        <w:instrText>PageRef _Toc67843824 \h</w:instrText>
      </w:r>
      <w:r>
        <w:fldChar w:fldCharType="separate"/>
      </w:r>
      <w:r>
        <w:t>61</w:t>
      </w:r>
      <w:r>
        <w:fldChar w:fldCharType="end"/>
      </w:r>
      <w:r>
        <w:fldChar w:fldCharType="end"/>
      </w:r>
    </w:p>
    <w:p>
      <w:pPr>
        <w:pStyle w:val="31"/>
        <w:pageBreakBefore w:val="0"/>
        <w:widowControl w:val="0"/>
        <w:tabs>
          <w:tab w:val="right" w:leader="dot" w:pos="9637"/>
        </w:tabs>
      </w:pPr>
      <w:r>
        <w:fldChar w:fldCharType="begin"/>
      </w:r>
      <w:r>
        <w:instrText>Hyperlink \l "_Toc67843825"</w:instrText>
      </w:r>
      <w:r>
        <w:fldChar w:fldCharType="separate"/>
      </w:r>
      <w:r>
        <w:t>9</w:t>
      </w:r>
      <w:r>
        <w:rPr>
          <w:rFonts w:hint="eastAsia"/>
        </w:rPr>
        <w:t>、反商业贿赂承诺书</w:t>
      </w:r>
      <w:r>
        <w:tab/>
      </w:r>
      <w:r>
        <w:fldChar w:fldCharType="begin"/>
      </w:r>
      <w:r>
        <w:instrText>PageRef _Toc67843825 \h</w:instrText>
      </w:r>
      <w:r>
        <w:fldChar w:fldCharType="separate"/>
      </w:r>
      <w:r>
        <w:t>62</w:t>
      </w:r>
      <w:r>
        <w:fldChar w:fldCharType="end"/>
      </w:r>
      <w:r>
        <w:fldChar w:fldCharType="end"/>
      </w:r>
    </w:p>
    <w:p>
      <w:pPr>
        <w:pStyle w:val="31"/>
        <w:pageBreakBefore w:val="0"/>
        <w:widowControl w:val="0"/>
        <w:tabs>
          <w:tab w:val="right" w:leader="dot" w:pos="9637"/>
        </w:tabs>
      </w:pPr>
      <w:r>
        <w:fldChar w:fldCharType="begin"/>
      </w:r>
      <w:r>
        <w:instrText>Hyperlink \l "_Toc67843826"</w:instrText>
      </w:r>
      <w:r>
        <w:fldChar w:fldCharType="separate"/>
      </w:r>
      <w:r>
        <w:t>10</w:t>
      </w:r>
      <w:r>
        <w:rPr>
          <w:rFonts w:hint="eastAsia"/>
        </w:rPr>
        <w:t>、诚信响应、诚信履约承诺书</w:t>
      </w:r>
      <w:r>
        <w:tab/>
      </w:r>
      <w:r>
        <w:fldChar w:fldCharType="begin"/>
      </w:r>
      <w:r>
        <w:instrText>PageRef _Toc67843826 \h</w:instrText>
      </w:r>
      <w:r>
        <w:fldChar w:fldCharType="separate"/>
      </w:r>
      <w:r>
        <w:t>63</w:t>
      </w:r>
      <w:r>
        <w:fldChar w:fldCharType="end"/>
      </w:r>
      <w:r>
        <w:fldChar w:fldCharType="end"/>
      </w:r>
    </w:p>
    <w:p>
      <w:pPr>
        <w:pStyle w:val="31"/>
        <w:pageBreakBefore w:val="0"/>
        <w:widowControl w:val="0"/>
        <w:tabs>
          <w:tab w:val="right" w:leader="dot" w:pos="9637"/>
        </w:tabs>
      </w:pPr>
      <w:r>
        <w:fldChar w:fldCharType="begin"/>
      </w:r>
      <w:r>
        <w:instrText>Hyperlink \l "_Toc67843827"</w:instrText>
      </w:r>
      <w:r>
        <w:fldChar w:fldCharType="separate"/>
      </w:r>
      <w:r>
        <w:rPr>
          <w:rFonts w:hint="eastAsia"/>
        </w:rPr>
        <w:t>1</w:t>
      </w:r>
      <w:r>
        <w:t>1</w:t>
      </w:r>
      <w:r>
        <w:rPr>
          <w:rFonts w:hint="eastAsia"/>
        </w:rPr>
        <w:t>、</w:t>
      </w:r>
      <w:r>
        <w:t>非联合体声明函</w:t>
        <w:tab/>
      </w:r>
      <w:r>
        <w:fldChar w:fldCharType="begin"/>
      </w:r>
      <w:r>
        <w:instrText>PageRef _Toc67843827 \h</w:instrText>
      </w:r>
      <w:r>
        <w:fldChar w:fldCharType="separate"/>
      </w:r>
      <w:r>
        <w:t>64</w:t>
      </w:r>
      <w:r>
        <w:fldChar w:fldCharType="end"/>
      </w:r>
      <w:r>
        <w:fldChar w:fldCharType="end"/>
      </w:r>
    </w:p>
    <w:p>
      <w:pPr>
        <w:pStyle w:val="31"/>
        <w:pageBreakBefore w:val="0"/>
        <w:widowControl w:val="0"/>
        <w:tabs>
          <w:tab w:val="right" w:leader="dot" w:pos="9637"/>
        </w:tabs>
      </w:pPr>
      <w:r>
        <w:fldChar w:fldCharType="begin"/>
      </w:r>
      <w:r>
        <w:instrText>Hyperlink \l "_Toc67843828"</w:instrText>
      </w:r>
      <w:r>
        <w:fldChar w:fldCharType="separate"/>
      </w:r>
      <w:r>
        <w:rPr>
          <w:rFonts w:hint="eastAsia"/>
        </w:rPr>
        <w:t>12</w:t>
      </w:r>
      <w:r>
        <w:t>.具备法律、行政法规规定的承诺函</w:t>
        <w:tab/>
      </w:r>
      <w:r>
        <w:fldChar w:fldCharType="begin"/>
      </w:r>
      <w:r>
        <w:instrText>PageRef _Toc67843828 \h</w:instrText>
      </w:r>
      <w:r>
        <w:fldChar w:fldCharType="separate"/>
      </w:r>
      <w:r>
        <w:t>65</w:t>
      </w:r>
      <w:r>
        <w:fldChar w:fldCharType="end"/>
      </w:r>
      <w:r>
        <w:fldChar w:fldCharType="end"/>
      </w:r>
    </w:p>
    <w:p>
      <w:pPr>
        <w:pStyle w:val="31"/>
        <w:pageBreakBefore w:val="0"/>
        <w:widowControl w:val="0"/>
        <w:tabs>
          <w:tab w:val="right" w:leader="dot" w:pos="9637"/>
        </w:tabs>
      </w:pPr>
      <w:r>
        <w:fldChar w:fldCharType="begin"/>
      </w:r>
      <w:r>
        <w:instrText>Hyperlink \l "_Toc67843829"</w:instrText>
      </w:r>
      <w:r>
        <w:fldChar w:fldCharType="separate"/>
      </w:r>
      <w:r>
        <w:rPr>
          <w:rFonts w:hAnsi="宋体"/>
        </w:rPr>
        <w:t>13.</w:t>
      </w:r>
      <w:r>
        <w:t>其他资格证明材料</w:t>
        <w:tab/>
      </w:r>
      <w:r>
        <w:fldChar w:fldCharType="begin"/>
      </w:r>
      <w:r>
        <w:instrText>PageRef _Toc67843829 \h</w:instrText>
      </w:r>
      <w:r>
        <w:fldChar w:fldCharType="separate"/>
      </w:r>
      <w:r>
        <w:t>66</w:t>
      </w:r>
      <w:r>
        <w:fldChar w:fldCharType="end"/>
      </w:r>
      <w:r>
        <w:fldChar w:fldCharType="end"/>
      </w:r>
    </w:p>
    <w:p>
      <w:pPr>
        <w:pStyle w:val="31"/>
        <w:pageBreakBefore w:val="0"/>
        <w:widowControl w:val="0"/>
        <w:tabs>
          <w:tab w:val="right" w:leader="dot" w:pos="9637"/>
        </w:tabs>
      </w:pPr>
      <w:r>
        <w:fldChar w:fldCharType="begin"/>
      </w:r>
      <w:r>
        <w:instrText>Hyperlink \l "_Toc67843830"</w:instrText>
      </w:r>
      <w:r>
        <w:fldChar w:fldCharType="separate"/>
      </w:r>
      <w:r>
        <w:rPr>
          <w:rFonts w:cs="宋体" w:hAnsi="宋体" w:hint="eastAsia"/>
        </w:rPr>
        <w:t>14、</w:t>
      </w:r>
      <w:r>
        <w:t>中小企业声明函</w:t>
        <w:tab/>
      </w:r>
      <w:r>
        <w:fldChar w:fldCharType="begin"/>
      </w:r>
      <w:r>
        <w:instrText>PageRef _Toc67843830 \h</w:instrText>
      </w:r>
      <w:r>
        <w:fldChar w:fldCharType="separate"/>
      </w:r>
      <w:r>
        <w:t>67</w:t>
      </w:r>
      <w:r>
        <w:fldChar w:fldCharType="end"/>
      </w:r>
      <w:r>
        <w:fldChar w:fldCharType="end"/>
      </w:r>
    </w:p>
    <w:p>
      <w:pPr>
        <w:pStyle w:val="31"/>
        <w:pageBreakBefore w:val="0"/>
        <w:widowControl w:val="0"/>
        <w:tabs>
          <w:tab w:val="right" w:leader="dot" w:pos="9637"/>
        </w:tabs>
      </w:pPr>
      <w:r>
        <w:fldChar w:fldCharType="begin"/>
      </w:r>
      <w:r>
        <w:instrText>Hyperlink \l "_Toc67843831"</w:instrText>
      </w:r>
      <w:r>
        <w:fldChar w:fldCharType="separate"/>
      </w:r>
      <w:r>
        <w:rPr>
          <w:rFonts w:hint="eastAsia"/>
        </w:rPr>
        <w:t>15、残疾人福利性单位声明函</w:t>
      </w:r>
      <w:r>
        <w:tab/>
      </w:r>
      <w:r>
        <w:fldChar w:fldCharType="begin"/>
      </w:r>
      <w:r>
        <w:instrText>PageRef _Toc67843831 \h</w:instrText>
      </w:r>
      <w:r>
        <w:fldChar w:fldCharType="separate"/>
      </w:r>
      <w:r>
        <w:t>68</w:t>
      </w:r>
      <w:r>
        <w:fldChar w:fldCharType="end"/>
      </w:r>
      <w:r>
        <w:fldChar w:fldCharType="end"/>
      </w:r>
    </w:p>
    <w:p>
      <w:pPr>
        <w:pStyle w:val="31"/>
        <w:pageBreakBefore w:val="0"/>
        <w:widowControl w:val="0"/>
        <w:tabs>
          <w:tab w:val="right" w:leader="dot" w:pos="9637"/>
        </w:tabs>
      </w:pPr>
      <w:r>
        <w:fldChar w:fldCharType="begin"/>
      </w:r>
      <w:r>
        <w:instrText>Hyperlink \l "_Toc67843832"</w:instrText>
      </w:r>
      <w:r>
        <w:fldChar w:fldCharType="separate"/>
      </w:r>
      <w:r>
        <w:t>1</w:t>
      </w:r>
      <w:r>
        <w:rPr>
          <w:rFonts w:hint="eastAsia"/>
        </w:rPr>
        <w:t>6、</w:t>
      </w:r>
      <w:r>
        <w:t>监狱企业</w:t>
      </w:r>
      <w:r>
        <w:rPr>
          <w:rFonts w:hint="eastAsia"/>
        </w:rPr>
        <w:t>证明文件</w:t>
      </w:r>
      <w:r>
        <w:tab/>
      </w:r>
      <w:r>
        <w:fldChar w:fldCharType="begin"/>
      </w:r>
      <w:r>
        <w:instrText>PageRef _Toc67843832 \h</w:instrText>
      </w:r>
      <w:r>
        <w:fldChar w:fldCharType="separate"/>
      </w:r>
      <w:r>
        <w:t>69</w:t>
      </w:r>
      <w:r>
        <w:fldChar w:fldCharType="end"/>
      </w:r>
      <w:r>
        <w:fldChar w:fldCharType="end"/>
      </w:r>
    </w:p>
    <w:p>
      <w:pPr>
        <w:pStyle w:val="31"/>
        <w:pageBreakBefore w:val="0"/>
        <w:widowControl w:val="0"/>
        <w:tabs>
          <w:tab w:val="right" w:leader="dot" w:pos="9637"/>
        </w:tabs>
      </w:pPr>
      <w:r>
        <w:fldChar w:fldCharType="begin"/>
      </w:r>
      <w:r>
        <w:instrText>Hyperlink \l "_Toc67843833"</w:instrText>
      </w:r>
      <w:r>
        <w:fldChar w:fldCharType="separate"/>
      </w:r>
      <w:r>
        <w:rPr>
          <w:rFonts w:cs="宋体" w:hAnsi="宋体" w:hint="eastAsia"/>
        </w:rPr>
        <w:t>17、</w:t>
      </w:r>
      <w:r>
        <w:t>报价一览表</w:t>
        <w:tab/>
      </w:r>
      <w:r>
        <w:fldChar w:fldCharType="begin"/>
      </w:r>
      <w:r>
        <w:instrText>PageRef _Toc67843833 \h</w:instrText>
      </w:r>
      <w:r>
        <w:fldChar w:fldCharType="separate"/>
      </w:r>
      <w:r>
        <w:t>70</w:t>
      </w:r>
      <w:r>
        <w:fldChar w:fldCharType="end"/>
      </w:r>
      <w:r>
        <w:fldChar w:fldCharType="end"/>
      </w:r>
    </w:p>
    <w:p>
      <w:pPr>
        <w:pStyle w:val="31"/>
        <w:pageBreakBefore w:val="0"/>
        <w:widowControl w:val="0"/>
        <w:tabs>
          <w:tab w:val="right" w:leader="dot" w:pos="9637"/>
        </w:tabs>
      </w:pPr>
      <w:r>
        <w:fldChar w:fldCharType="begin"/>
      </w:r>
      <w:r>
        <w:instrText>Hyperlink \l "_Toc67843834"</w:instrText>
      </w:r>
      <w:r>
        <w:fldChar w:fldCharType="separate"/>
      </w:r>
      <w:r>
        <w:rPr>
          <w:rFonts w:hint="eastAsia"/>
        </w:rPr>
        <w:t>18、</w:t>
      </w:r>
      <w:r>
        <w:t>采购需求响应表</w:t>
        <w:tab/>
      </w:r>
      <w:r>
        <w:fldChar w:fldCharType="begin"/>
      </w:r>
      <w:r>
        <w:instrText>PageRef _Toc67843834 \h</w:instrText>
      </w:r>
      <w:r>
        <w:fldChar w:fldCharType="separate"/>
      </w:r>
      <w:r>
        <w:t>72</w:t>
      </w:r>
      <w:r>
        <w:fldChar w:fldCharType="end"/>
      </w:r>
      <w:r>
        <w:fldChar w:fldCharType="end"/>
      </w:r>
    </w:p>
    <w:p>
      <w:pPr>
        <w:pStyle w:val="31"/>
        <w:pageBreakBefore w:val="0"/>
        <w:widowControl w:val="0"/>
        <w:tabs>
          <w:tab w:val="right" w:leader="dot" w:pos="9637"/>
        </w:tabs>
      </w:pPr>
      <w:r>
        <w:fldChar w:fldCharType="begin"/>
      </w:r>
      <w:r>
        <w:instrText>Hyperlink \l "_Toc67843835"</w:instrText>
      </w:r>
      <w:r>
        <w:fldChar w:fldCharType="separate"/>
      </w:r>
      <w:r>
        <w:rPr>
          <w:rFonts w:hint="eastAsia"/>
        </w:rPr>
        <w:t>1</w:t>
      </w:r>
      <w:r>
        <w:t>9</w:t>
      </w:r>
      <w:r>
        <w:rPr>
          <w:rFonts w:hint="eastAsia"/>
        </w:rPr>
        <w:t>、</w:t>
      </w:r>
      <w:r>
        <w:rPr>
          <w:rFonts w:ascii="宋体" w:hAnsi="宋体"/>
        </w:rPr>
        <w:t>技术服务方案</w:t>
      </w:r>
      <w:r>
        <w:tab/>
      </w:r>
      <w:r>
        <w:fldChar w:fldCharType="begin"/>
      </w:r>
      <w:r>
        <w:instrText>PageRef _Toc67843835 \h</w:instrText>
      </w:r>
      <w:r>
        <w:fldChar w:fldCharType="separate"/>
      </w:r>
      <w:r>
        <w:t>73</w:t>
      </w:r>
      <w:r>
        <w:fldChar w:fldCharType="end"/>
      </w:r>
      <w:r>
        <w:fldChar w:fldCharType="end"/>
      </w:r>
    </w:p>
    <w:p>
      <w:pPr>
        <w:pStyle w:val="31"/>
        <w:pageBreakBefore w:val="0"/>
        <w:widowControl w:val="0"/>
        <w:tabs>
          <w:tab w:val="right" w:leader="dot" w:pos="9637"/>
        </w:tabs>
      </w:pPr>
      <w:r>
        <w:fldChar w:fldCharType="begin"/>
      </w:r>
      <w:r>
        <w:instrText>Hyperlink \l "_Toc67843836"</w:instrText>
      </w:r>
      <w:r>
        <w:fldChar w:fldCharType="separate"/>
      </w:r>
      <w:r>
        <w:t>20</w:t>
      </w:r>
      <w:r>
        <w:rPr>
          <w:rFonts w:hint="eastAsia"/>
        </w:rPr>
        <w:t>、</w:t>
      </w:r>
      <w:r>
        <w:t>项目业绩表</w:t>
        <w:tab/>
      </w:r>
      <w:r>
        <w:fldChar w:fldCharType="begin"/>
      </w:r>
      <w:r>
        <w:instrText>PageRef _Toc67843836 \h</w:instrText>
      </w:r>
      <w:r>
        <w:fldChar w:fldCharType="separate"/>
      </w:r>
      <w:r>
        <w:t>74</w:t>
      </w:r>
      <w:r>
        <w:fldChar w:fldCharType="end"/>
      </w:r>
      <w:r>
        <w:fldChar w:fldCharType="end"/>
      </w:r>
    </w:p>
    <w:p>
      <w:pPr>
        <w:pStyle w:val="31"/>
        <w:pageBreakBefore w:val="0"/>
        <w:widowControl w:val="0"/>
        <w:tabs>
          <w:tab w:val="right" w:leader="dot" w:pos="9637"/>
        </w:tabs>
      </w:pPr>
      <w:r>
        <w:fldChar w:fldCharType="begin"/>
      </w:r>
      <w:r>
        <w:instrText>Hyperlink \l "_Toc67843837"</w:instrText>
      </w:r>
      <w:r>
        <w:fldChar w:fldCharType="separate"/>
      </w:r>
      <w:r>
        <w:rPr>
          <w:rFonts w:hAnsi="Arial"/>
        </w:rPr>
        <w:t>21、其它说明材料</w:t>
      </w:r>
      <w:r>
        <w:tab/>
      </w:r>
      <w:r>
        <w:fldChar w:fldCharType="begin"/>
      </w:r>
      <w:r>
        <w:instrText>PageRef _Toc67843837 \h</w:instrText>
      </w:r>
      <w:r>
        <w:fldChar w:fldCharType="separate"/>
      </w:r>
      <w:r>
        <w:t>75</w:t>
      </w:r>
      <w:r>
        <w:fldChar w:fldCharType="end"/>
      </w:r>
      <w:r>
        <w:fldChar w:fldCharType="end"/>
      </w:r>
    </w:p>
    <w:p>
      <w:pPr>
        <w:pStyle w:val="31"/>
        <w:tabs>
          <w:tab w:val="right" w:leader="dot" w:pos="9015"/>
        </w:tabs>
        <w:spacing w:line="360" w:lineRule="auto"/>
        <w:ind w:left="0" w:rightChars="-364" w:right="-764"/>
        <w:rPr>
          <w:sz w:val="21"/>
          <w:szCs w:val="21"/>
        </w:rPr>
      </w:pPr>
      <w:r>
        <w:rPr>
          <w:rFonts w:hint="eastAsia"/>
          <w:szCs w:val="21"/>
        </w:rPr>
        <w:fldChar w:fldCharType="end"/>
      </w:r>
    </w:p>
    <w:p>
      <w:pPr>
        <w:widowControl/>
        <w:jc w:val="left"/>
        <w:rPr>
          <w:b/>
          <w:sz w:val="48"/>
          <w:szCs w:val="48"/>
        </w:rPr>
      </w:pPr>
    </w:p>
    <w:p>
      <w:pPr>
        <w:jc w:val="center"/>
        <w:outlineLvl w:val="0"/>
        <w:rPr>
          <w:b/>
          <w:sz w:val="48"/>
          <w:szCs w:val="48"/>
        </w:rPr>
      </w:pPr>
      <w:bookmarkStart w:id="10" w:name="_Toc67843798"/>
      <w:r>
        <w:rPr>
          <w:rFonts w:hint="eastAsia"/>
          <w:b/>
          <w:sz w:val="48"/>
          <w:szCs w:val="48"/>
        </w:rPr>
        <w:t xml:space="preserve">第一章 </w:t>
      </w:r>
      <w:r>
        <w:rPr>
          <w:rFonts w:ascii="宋体" w:hAnsi="宋体" w:hint="eastAsia"/>
          <w:sz w:val="32"/>
          <w:szCs w:val="32"/>
        </w:rPr>
        <w:t xml:space="preserve"> </w:t>
      </w:r>
      <w:bookmarkStart w:id="11" w:name="_Toc317237598"/>
      <w:bookmarkStart w:id="12" w:name="_Toc1977"/>
      <w:bookmarkEnd w:id="8"/>
      <w:bookmarkEnd w:id="9"/>
      <w:r>
        <w:rPr>
          <w:rFonts w:hint="eastAsia"/>
          <w:b/>
          <w:sz w:val="48"/>
          <w:szCs w:val="48"/>
        </w:rPr>
        <w:t>磋商</w:t>
      </w:r>
      <w:r>
        <w:rPr>
          <w:b/>
          <w:sz w:val="48"/>
          <w:szCs w:val="48"/>
        </w:rPr>
        <w:t>公告</w:t>
      </w:r>
      <w:bookmarkEnd w:id="10"/>
    </w:p>
    <w:p>
      <w:pPr>
        <w:spacing w:beforeAutospacing="0" w:afterAutospacing="0" w:line="360" w:lineRule="auto"/>
        <w:ind w:firstLineChars="200" w:firstLine="420"/>
      </w:pPr>
      <w:r>
        <w:rPr>
          <w:rFonts w:hAnsi="宋体" w:hint="eastAsia"/>
          <w:u w:val="single"/>
        </w:rPr>
        <w:t>海南电信规划设计院有限公司</w:t>
      </w:r>
      <w:r>
        <w:rPr>
          <w:rFonts w:hAnsi="宋体" w:hint="eastAsia"/>
        </w:rPr>
        <w:t>(即采购代理机构) 受</w:t>
      </w:r>
      <w:r>
        <w:rPr>
          <w:rFonts w:hAnsi="宋体" w:hint="eastAsia"/>
          <w:u w:val="single"/>
          <w:lang w:val="en-US" w:eastAsia="zh-CN"/>
        </w:rPr>
        <w:t>白沙黎族自治县生态环境局</w:t>
      </w:r>
      <w:r>
        <w:rPr>
          <w:rFonts w:hAnsi="宋体" w:hint="eastAsia"/>
        </w:rPr>
        <w:t>（即采购人）委托，对</w:t>
      </w:r>
      <w:r>
        <w:rPr>
          <w:rFonts w:hAnsi="宋体"/>
          <w:u w:val="single"/>
        </w:rPr>
        <w:t>2026年度白沙县35座小型水质自动监测站运维服务项目</w:t>
      </w:r>
      <w:r>
        <w:rPr>
          <w:rFonts w:hAnsi="宋体" w:hint="eastAsia"/>
        </w:rPr>
        <w:t>采取竞争性磋商方式进行采购，欢迎符合条件的供应商参加响应。</w:t>
      </w:r>
    </w:p>
    <w:p>
      <w:pPr>
        <w:adjustRightInd w:val="0"/>
        <w:snapToGrid w:val="0"/>
        <w:spacing w:beforeLines="50" w:before="156" w:line="360" w:lineRule="auto"/>
        <w:rPr>
          <w:rFonts w:cs="仿宋_GB2312"/>
          <w:b/>
          <w:bCs/>
        </w:rPr>
      </w:pPr>
      <w:bookmarkStart w:id="13" w:name="_Toc35393629"/>
      <w:bookmarkStart w:id="14" w:name="_Toc35393798"/>
      <w:bookmarkStart w:id="15" w:name="_Toc28359012"/>
      <w:bookmarkStart w:id="16" w:name="_Toc28359089"/>
      <w:r>
        <w:rPr>
          <w:rFonts w:cs="仿宋_GB2312" w:hint="eastAsia"/>
          <w:b/>
          <w:bCs/>
        </w:rPr>
        <w:t>一、项目基本情况</w:t>
      </w:r>
      <w:bookmarkEnd w:id="13"/>
      <w:bookmarkEnd w:id="14"/>
      <w:bookmarkEnd w:id="15"/>
      <w:bookmarkEnd w:id="16"/>
    </w:p>
    <w:p>
      <w:pPr>
        <w:adjustRightInd w:val="0"/>
        <w:snapToGrid w:val="0"/>
        <w:spacing w:line="360" w:lineRule="auto"/>
        <w:ind w:firstLineChars="200" w:firstLine="420"/>
        <w:rPr>
          <w:rFonts w:ascii="宋体" w:cs="宋体" w:hAnsi="宋体" w:hint="eastAsia"/>
        </w:rPr>
      </w:pPr>
      <w:r>
        <w:rPr>
          <w:rFonts w:ascii="宋体" w:cs="宋体" w:hAnsi="宋体" w:hint="eastAsia"/>
        </w:rPr>
        <w:t>项目编号：</w:t>
      </w:r>
      <w:r>
        <w:rPr>
          <w:rFonts w:ascii="宋体" w:cs="宋体" w:hAnsi="宋体"/>
          <w:u w:val="single"/>
        </w:rPr>
        <w:t>HNDXY-25-ZB-36</w:t>
      </w:r>
    </w:p>
    <w:p>
      <w:pPr>
        <w:adjustRightInd w:val="0"/>
        <w:snapToGrid w:val="0"/>
        <w:spacing w:line="360" w:lineRule="auto"/>
        <w:ind w:firstLineChars="200" w:firstLine="420"/>
        <w:rPr>
          <w:rFonts w:ascii="宋体" w:cs="宋体" w:hAnsi="宋体" w:hint="eastAsia"/>
        </w:rPr>
      </w:pPr>
      <w:r>
        <w:rPr>
          <w:rFonts w:ascii="宋体" w:cs="宋体" w:hAnsi="宋体" w:hint="eastAsia"/>
        </w:rPr>
        <w:t>项目名称：</w:t>
      </w:r>
      <w:r>
        <w:rPr>
          <w:rFonts w:ascii="宋体" w:cs="宋体" w:hAnsi="宋体" w:hint="eastAsia"/>
          <w:u w:val="single"/>
        </w:rPr>
        <w:t>2026年度白沙县35座小型水质自动监测站运维服务项目</w:t>
      </w:r>
    </w:p>
    <w:p>
      <w:pPr>
        <w:adjustRightInd w:val="0"/>
        <w:snapToGrid w:val="0"/>
        <w:spacing w:line="360" w:lineRule="auto"/>
        <w:ind w:firstLineChars="200" w:firstLine="420"/>
        <w:rPr>
          <w:rFonts w:ascii="宋体" w:cs="宋体" w:hAnsi="宋体" w:hint="eastAsia"/>
        </w:rPr>
      </w:pPr>
      <w:r>
        <w:rPr>
          <w:rFonts w:ascii="宋体" w:cs="宋体" w:hAnsi="宋体" w:hint="eastAsia"/>
        </w:rPr>
        <w:t>采购方式：竞争性磋商</w:t>
      </w:r>
    </w:p>
    <w:p>
      <w:pPr>
        <w:adjustRightInd w:val="0"/>
        <w:snapToGrid w:val="0"/>
        <w:spacing w:line="360" w:lineRule="auto"/>
        <w:ind w:firstLineChars="200" w:firstLine="420"/>
        <w:rPr>
          <w:rFonts w:ascii="宋体" w:cs="宋体" w:hAnsi="宋体" w:hint="eastAsia"/>
          <w:szCs w:val="22"/>
        </w:rPr>
      </w:pPr>
      <w:r>
        <w:rPr>
          <w:rFonts w:ascii="宋体" w:cs="宋体" w:hAnsi="宋体" w:hint="eastAsia"/>
          <w:szCs w:val="22"/>
        </w:rPr>
        <w:t>采购预算 ：￥1892426.00</w:t>
      </w:r>
      <w:r>
        <w:rPr>
          <w:rFonts w:ascii="宋体" w:cs="宋体" w:hAnsi="宋体" w:hint="eastAsia"/>
        </w:rPr>
        <w:t>元（大写</w:t>
      </w:r>
      <w:r>
        <w:rPr>
          <w:rFonts w:ascii="宋体" w:cs="宋体" w:hAnsi="宋体" w:hint="eastAsia"/>
          <w:szCs w:val="22"/>
        </w:rPr>
        <w:t>金额</w:t>
      </w:r>
      <w:r>
        <w:rPr>
          <w:rFonts w:ascii="宋体" w:cs="宋体" w:hAnsi="宋体" w:hint="eastAsia"/>
        </w:rPr>
        <w:t>：壹佰捌拾玖万贰仟肆佰贰拾陆元整）</w:t>
      </w:r>
      <w:r>
        <w:rPr>
          <w:rFonts w:ascii="宋体" w:cs="宋体" w:hAnsi="宋体" w:hint="eastAsia"/>
          <w:szCs w:val="22"/>
        </w:rPr>
        <w:t>；</w:t>
      </w:r>
    </w:p>
    <w:p>
      <w:pPr>
        <w:adjustRightInd w:val="0"/>
        <w:snapToGrid w:val="0"/>
        <w:spacing w:line="360" w:lineRule="auto"/>
        <w:ind w:firstLineChars="200" w:firstLine="420"/>
        <w:rPr>
          <w:rFonts w:ascii="宋体" w:cs="宋体" w:hAnsi="宋体" w:hint="eastAsia"/>
        </w:rPr>
      </w:pPr>
      <w:r>
        <w:rPr>
          <w:rFonts w:ascii="宋体" w:cs="宋体" w:hAnsi="宋体" w:hint="eastAsia"/>
        </w:rPr>
        <w:t>最</w:t>
      </w:r>
      <w:r>
        <w:rPr>
          <w:rFonts w:ascii="宋体" w:cs="宋体" w:hAnsi="宋体" w:hint="eastAsia"/>
          <w:szCs w:val="22"/>
        </w:rPr>
        <w:t>高限价 ：1892426.00元；</w:t>
      </w:r>
    </w:p>
    <w:p>
      <w:pPr>
        <w:adjustRightInd w:val="0"/>
        <w:snapToGrid w:val="0"/>
        <w:spacing w:line="360" w:lineRule="auto"/>
        <w:ind w:firstLineChars="200" w:firstLine="420"/>
      </w:pPr>
      <w:r>
        <w:rPr>
          <w:rFonts w:ascii="宋体" w:cs="宋体" w:hAnsi="宋体" w:hint="eastAsia"/>
        </w:rPr>
        <w:t>采购需</w:t>
      </w:r>
      <w:r>
        <w:rPr>
          <w:rFonts w:hAnsi="宋体" w:hint="eastAsia"/>
        </w:rPr>
        <w:t>求：</w:t>
      </w:r>
      <w:r>
        <w:rPr>
          <w:rFonts w:hAnsi="Times New Roman"/>
          <w:bCs/>
        </w:rPr>
        <w:t>白沙县35座小型水质自动监测站运维服务</w:t>
      </w:r>
      <w:r>
        <w:t>，具体采购内容详见磋商文件第三章采购需求；</w:t>
      </w:r>
    </w:p>
    <w:p>
      <w:pPr>
        <w:adjustRightInd w:val="0"/>
        <w:snapToGrid w:val="0"/>
        <w:spacing w:line="360" w:lineRule="auto"/>
        <w:ind w:firstLineChars="200" w:firstLine="420"/>
        <w:rPr>
          <w:rFonts w:hAnsi="宋体"/>
        </w:rPr>
      </w:pPr>
      <w:r>
        <w:t>合同履行期限：1年；</w:t>
      </w:r>
    </w:p>
    <w:p>
      <w:pPr>
        <w:adjustRightInd w:val="0"/>
        <w:snapToGrid w:val="0"/>
        <w:spacing w:line="360" w:lineRule="auto"/>
        <w:ind w:firstLineChars="200" w:firstLine="420"/>
      </w:pPr>
      <w:bookmarkStart w:id="17" w:name="_Toc28359090"/>
      <w:bookmarkStart w:id="18" w:name="_Toc35393799"/>
      <w:bookmarkStart w:id="19" w:name="_Toc35393630"/>
      <w:bookmarkStart w:id="20" w:name="_Toc28359013"/>
      <w:r>
        <w:t xml:space="preserve">联合体投标：本项目不接受联合体。 </w:t>
      </w:r>
    </w:p>
    <w:p>
      <w:pPr>
        <w:adjustRightInd w:val="0"/>
        <w:snapToGrid w:val="0"/>
        <w:spacing w:beforeLines="50" w:before="156" w:line="360" w:lineRule="auto"/>
        <w:rPr>
          <w:rFonts w:cs="仿宋_GB2312"/>
          <w:b/>
          <w:bCs/>
        </w:rPr>
      </w:pPr>
      <w:r>
        <w:rPr>
          <w:rFonts w:cs="仿宋_GB2312" w:hint="eastAsia"/>
          <w:b/>
          <w:bCs/>
        </w:rPr>
        <w:t>二、供应商的资格要求：</w:t>
      </w:r>
      <w:bookmarkEnd w:id="17"/>
      <w:bookmarkEnd w:id="18"/>
      <w:bookmarkEnd w:id="19"/>
      <w:bookmarkEnd w:id="20"/>
    </w:p>
    <w:p>
      <w:pPr>
        <w:pStyle w:val="32"/>
        <w:spacing w:before="0" w:beforeAutospacing="0" w:after="0" w:afterAutospacing="0" w:line="360" w:lineRule="auto"/>
        <w:ind w:firstLine="561"/>
        <w:textAlignment w:val="baseline"/>
        <w:rPr>
          <w:rFonts w:cs="Times New Roman"/>
          <w:kern w:val="2"/>
          <w:sz w:val="21"/>
          <w:szCs w:val="21"/>
        </w:rPr>
      </w:pPr>
      <w:bookmarkStart w:id="21" w:name="_Toc28359091"/>
      <w:bookmarkStart w:id="22" w:name="_Toc28359014"/>
      <w:bookmarkStart w:id="23" w:name="_Toc35393800"/>
      <w:bookmarkStart w:id="24" w:name="_Toc35393631"/>
      <w:r>
        <w:rPr>
          <w:rFonts w:cs="Times New Roman" w:hint="eastAsia"/>
          <w:kern w:val="2"/>
          <w:sz w:val="21"/>
          <w:szCs w:val="21"/>
        </w:rPr>
        <w:t>（1）基本要求：满足《中华人民共和国政府采购法》第二十二条规定；</w:t>
      </w:r>
    </w:p>
    <w:p>
      <w:pPr>
        <w:pStyle w:val="32"/>
        <w:spacing w:before="0" w:beforeAutospacing="0" w:after="0" w:afterAutospacing="0" w:line="360" w:lineRule="auto"/>
        <w:ind w:firstLine="561"/>
        <w:textAlignment w:val="baseline"/>
        <w:rPr>
          <w:rFonts w:cs="Times New Roman" w:hint="eastAsia"/>
          <w:kern w:val="2"/>
          <w:sz w:val="21"/>
          <w:szCs w:val="21"/>
        </w:rPr>
      </w:pPr>
      <w:r>
        <w:rPr>
          <w:rFonts w:cs="Times New Roman" w:hint="eastAsia"/>
          <w:kern w:val="2"/>
          <w:sz w:val="21"/>
          <w:szCs w:val="21"/>
        </w:rPr>
        <w:t>（2）落实政府采购政策需满足的资格要求：《政府采购促进中小企业发展管理办法》、 《财政部印发通知进一步加大政府采购支持中小企业力度》、《财政部 发展改革委生态环境部市场监管总局关于调整优化节能产品、环境标志产品政府采购执行机制的通 知》、《关于促进残疾人就业政府采购政策的通知》、《财政部司法部关于政府采购 支持监狱企业发展有关问题的通知》、《关于政府采购支持绿色建材促进建筑品质提升 试点工作的通知》、《财政部国务院扶贫办关于运用政府采购政策支持脱贫攻坚的通知》、《海南省财政厅关于印发《海南省绿色产品政府采购实施意见（试行）》的通知》</w:t>
      </w:r>
      <w:r>
        <w:rPr>
          <w:rFonts w:cs="Times New Roman"/>
          <w:kern w:val="2"/>
          <w:sz w:val="21"/>
          <w:szCs w:val="21"/>
        </w:rPr>
        <w:t>、</w:t>
      </w:r>
      <w:r>
        <w:rPr>
          <w:rFonts w:cs="Times New Roman" w:hint="eastAsia"/>
          <w:kern w:val="2"/>
          <w:sz w:val="21"/>
          <w:szCs w:val="21"/>
        </w:rPr>
        <w:t>《海南省财政厅海南省工业和信息化厅关于落实超常规举措加大对中小企业政府采购支持的通知》等相关政府采购政策。</w:t>
      </w:r>
    </w:p>
    <w:p>
      <w:pPr>
        <w:widowControl/>
        <w:spacing w:line="360" w:lineRule="auto"/>
        <w:ind w:firstLine="561"/>
        <w:jc w:val="left"/>
        <w:textAlignment w:val="baseline"/>
        <w:rPr>
          <w:rFonts w:ascii="宋体" w:hAnsi="宋体"/>
          <w:szCs w:val="21"/>
        </w:rPr>
      </w:pPr>
      <w:r>
        <w:rPr>
          <w:rFonts w:hint="eastAsia"/>
          <w:szCs w:val="21"/>
        </w:rPr>
        <w:t>（</w:t>
      </w:r>
      <w:r>
        <w:rPr>
          <w:rFonts w:ascii="宋体" w:hAnsi="宋体" w:hint="eastAsia"/>
          <w:szCs w:val="21"/>
        </w:rPr>
        <w:t>3</w:t>
      </w:r>
      <w:r>
        <w:rPr>
          <w:rFonts w:hint="eastAsia"/>
          <w:szCs w:val="21"/>
        </w:rPr>
        <w:t>）</w:t>
      </w:r>
      <w:r>
        <w:rPr>
          <w:rFonts w:ascii="宋体" w:hAnsi="宋体" w:hint="eastAsia"/>
          <w:szCs w:val="21"/>
        </w:rPr>
        <w:t>本项目的特定资格要求：</w:t>
      </w:r>
    </w:p>
    <w:p>
      <w:pPr>
        <w:widowControl/>
        <w:spacing w:line="360" w:lineRule="auto"/>
        <w:ind w:firstLine="567"/>
        <w:jc w:val="left"/>
        <w:textAlignment w:val="baseline"/>
        <w:rPr>
          <w:rFonts w:ascii="宋体" w:hAnsi="宋体"/>
          <w:szCs w:val="21"/>
        </w:rPr>
      </w:pPr>
      <w:r>
        <w:rPr>
          <w:rFonts w:ascii="宋体" w:hAnsi="宋体" w:hint="eastAsia"/>
          <w:szCs w:val="21"/>
        </w:rPr>
        <w:t xml:space="preserve">3.1、供应商必须是在中华人民共和国注册的、具有独立承担民事责任能力的法人（需提供营业执照副本、组织机构代码证、税务登记证或三证合一的营业执照，复印件加盖公章）； </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2</w:t>
      </w:r>
      <w:r>
        <w:rPr>
          <w:rFonts w:ascii="宋体" w:hAnsi="宋体" w:hint="eastAsia"/>
          <w:szCs w:val="21"/>
        </w:rPr>
        <w:t>、具有良好的商业信誉和健全的财务会计制度（提供承诺函，格式自拟）；</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3</w:t>
      </w:r>
      <w:r>
        <w:rPr>
          <w:rFonts w:ascii="宋体" w:hAnsi="宋体" w:hint="eastAsia"/>
          <w:szCs w:val="21"/>
        </w:rPr>
        <w:t>、有依法缴纳税收和社会保障资金的良好记录（提供承诺函，格式自拟）；</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4</w:t>
      </w:r>
      <w:r>
        <w:rPr>
          <w:rFonts w:ascii="宋体" w:hAnsi="宋体" w:hint="eastAsia"/>
          <w:szCs w:val="21"/>
        </w:rPr>
        <w:t xml:space="preserve">、具有履行合同所必需的设备和专业技术能力（提供承诺函，格式自拟）； </w:t>
      </w:r>
    </w:p>
    <w:p>
      <w:pPr>
        <w:widowControl/>
        <w:spacing w:line="360" w:lineRule="auto"/>
        <w:ind w:firstLine="567"/>
        <w:jc w:val="left"/>
        <w:textAlignment w:val="baseline"/>
        <w:rPr>
          <w:rFonts w:ascii="宋体" w:hAnsi="宋体" w:hint="eastAsia"/>
          <w:szCs w:val="21"/>
        </w:rPr>
      </w:pPr>
      <w:r>
        <w:rPr>
          <w:rFonts w:ascii="宋体" w:hAnsi="宋体" w:hint="eastAsia"/>
          <w:szCs w:val="21"/>
        </w:rPr>
        <w:t>3.</w:t>
      </w:r>
      <w:r>
        <w:rPr>
          <w:rFonts w:ascii="宋体" w:hAnsi="宋体"/>
          <w:szCs w:val="21"/>
        </w:rPr>
        <w:t>5</w:t>
      </w:r>
      <w:r>
        <w:rPr>
          <w:rFonts w:ascii="宋体" w:hAnsi="宋体" w:hint="eastAsia"/>
          <w:szCs w:val="21"/>
        </w:rPr>
        <w:t>、供应商需提供参加投标活动前三年内，在经营活动中没有重大违法记录的声明（提供声明函）；</w:t>
      </w:r>
    </w:p>
    <w:p>
      <w:pPr>
        <w:widowControl/>
        <w:spacing w:line="360" w:lineRule="auto"/>
        <w:ind w:firstLine="567"/>
        <w:jc w:val="left"/>
        <w:textAlignment w:val="baseline"/>
        <w:rPr>
          <w:rFonts w:ascii="宋体" w:eastAsia="宋体" w:hAnsi="宋体" w:hint="eastAsia"/>
          <w:szCs w:val="21"/>
          <w:lang w:eastAsia="zh-CN"/>
        </w:rPr>
      </w:pPr>
      <w:r>
        <w:rPr>
          <w:rFonts w:ascii="宋体" w:hAnsi="宋体" w:hint="eastAsia"/>
          <w:szCs w:val="21"/>
        </w:rPr>
        <w:t>3.</w:t>
      </w:r>
      <w:r>
        <w:rPr>
          <w:rFonts w:ascii="宋体" w:hAnsi="宋体"/>
          <w:szCs w:val="21"/>
        </w:rPr>
        <w:t>6</w:t>
      </w:r>
      <w:r>
        <w:rPr>
          <w:rFonts w:ascii="宋体" w:hAnsi="宋体" w:hint="eastAsia"/>
          <w:szCs w:val="21"/>
        </w:rPr>
        <w:t>、参加政府采购活动前三年内，在经营活动中无环保类行政处罚记录（提供声明函）</w:t>
      </w:r>
      <w:r>
        <w:rPr>
          <w:rFonts w:ascii="宋体" w:hAnsi="宋体" w:hint="eastAsia"/>
          <w:szCs w:val="21"/>
          <w:lang w:eastAsia="zh-CN"/>
        </w:rPr>
        <w:t>；</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7</w:t>
      </w:r>
      <w:r>
        <w:rPr>
          <w:rFonts w:ascii="宋体" w:hAnsi="宋体" w:hint="eastAsia"/>
          <w:szCs w:val="21"/>
        </w:rPr>
        <w:t>、在“信用中国”网站（www.creditchina.gov.cn）、中国政府采购网（www.ccgp.gov.cn）没有列入失信被执行人、重大税收违法案件当事人名单、政府采购严重违法失信行为记录名单的供应商。（查询日期须</w:t>
      </w:r>
      <w:r>
        <w:rPr>
          <w:rFonts w:cs="仿宋_GB2312" w:hint="eastAsia"/>
        </w:rPr>
        <w:t>为本项目采购公告发布之后日期）。</w:t>
      </w:r>
      <w:r>
        <w:rPr>
          <w:rFonts w:cs="仿宋_GB2312"/>
        </w:rPr>
        <w:t>或</w:t>
      </w:r>
      <w:r>
        <w:rPr>
          <w:rFonts w:cs="仿宋_GB2312" w:hint="eastAsia"/>
        </w:rPr>
        <w:t>提供承诺函（格式自拟，供应商承诺函不实的，将依照有关法律法规追究法律责任）</w:t>
      </w:r>
      <w:r>
        <w:rPr>
          <w:rFonts w:ascii="宋体" w:hAnsi="宋体" w:hint="eastAsia"/>
          <w:szCs w:val="21"/>
        </w:rPr>
        <w:t>；</w:t>
      </w:r>
    </w:p>
    <w:p>
      <w:pPr>
        <w:adjustRightInd w:val="0"/>
        <w:snapToGrid w:val="0"/>
        <w:spacing w:beforeLines="50" w:before="156" w:line="360" w:lineRule="auto"/>
        <w:ind w:firstLineChars="200" w:firstLine="420"/>
      </w:pPr>
      <w:r>
        <w:rPr>
          <w:rFonts w:ascii="宋体" w:hAnsi="宋体" w:hint="eastAsia"/>
          <w:szCs w:val="21"/>
        </w:rPr>
        <w:t xml:space="preserve"> 3.</w:t>
      </w:r>
      <w:r>
        <w:rPr>
          <w:rFonts w:ascii="宋体" w:hAnsi="宋体"/>
          <w:szCs w:val="21"/>
        </w:rPr>
        <w:t>8</w:t>
      </w:r>
      <w:r>
        <w:rPr>
          <w:rFonts w:ascii="宋体" w:hAnsi="宋体" w:hint="eastAsia"/>
          <w:szCs w:val="21"/>
        </w:rPr>
        <w:t>、</w:t>
      </w:r>
      <w:r>
        <w:t>具备法律、行政法规规定的其他条件（提供承诺函）</w:t>
      </w:r>
      <w:r>
        <w:rPr>
          <w:rFonts w:hint="eastAsia"/>
          <w:lang w:eastAsia="zh-CN"/>
        </w:rPr>
        <w:t>。</w:t>
      </w:r>
    </w:p>
    <w:p>
      <w:pPr>
        <w:adjustRightInd w:val="0"/>
        <w:snapToGrid w:val="0"/>
        <w:spacing w:beforeLines="50" w:before="156" w:line="360" w:lineRule="auto"/>
        <w:rPr>
          <w:rFonts w:cs="仿宋_GB2312"/>
          <w:b/>
          <w:bCs/>
        </w:rPr>
      </w:pPr>
      <w:r>
        <w:rPr>
          <w:rFonts w:cs="仿宋_GB2312" w:hint="eastAsia"/>
          <w:b/>
          <w:bCs/>
        </w:rPr>
        <w:t>三、获取采购文件</w:t>
      </w:r>
      <w:bookmarkEnd w:id="21"/>
      <w:bookmarkEnd w:id="22"/>
      <w:bookmarkEnd w:id="23"/>
      <w:bookmarkEnd w:id="24"/>
    </w:p>
    <w:p>
      <w:pPr>
        <w:adjustRightInd w:val="0"/>
        <w:snapToGrid w:val="0"/>
        <w:spacing w:line="360" w:lineRule="auto"/>
        <w:ind w:firstLine="539"/>
        <w:rPr>
          <w:rFonts w:cs="仿宋_GB2312"/>
        </w:rPr>
      </w:pPr>
      <w:r>
        <w:rPr>
          <w:rFonts w:cs="仿宋_GB2312" w:hint="eastAsia"/>
          <w:color w:val="000000"/>
        </w:rPr>
        <w:t>时间：</w:t>
      </w:r>
      <w:r>
        <w:rPr>
          <w:rFonts w:cs="仿宋_GB2312" w:hint="eastAsia"/>
          <w:color w:val="000000"/>
          <w:u w:val="single"/>
        </w:rPr>
        <w:t>2</w:t>
      </w:r>
      <w:r>
        <w:rPr>
          <w:rFonts w:cs="仿宋_GB2312"/>
          <w:color w:val="000000"/>
          <w:u w:val="single"/>
        </w:rPr>
        <w:t>025</w:t>
      </w:r>
      <w:r>
        <w:rPr>
          <w:rFonts w:cs="仿宋_GB2312" w:hint="eastAsia"/>
          <w:color w:val="000000"/>
        </w:rPr>
        <w:t>年</w:t>
      </w:r>
      <w:r>
        <w:rPr>
          <w:rFonts w:cs="仿宋_GB2312"/>
          <w:color w:val="000000"/>
          <w:u w:val="single"/>
        </w:rPr>
        <w:t>12</w:t>
      </w:r>
      <w:r>
        <w:rPr>
          <w:rFonts w:cs="仿宋_GB2312" w:hint="eastAsia"/>
          <w:color w:val="000000"/>
        </w:rPr>
        <w:t>月</w:t>
      </w:r>
      <w:r>
        <w:rPr>
          <w:rFonts w:cs="仿宋_GB2312"/>
          <w:color w:val="000000"/>
          <w:u w:val="single"/>
        </w:rPr>
        <w:t>18</w:t>
      </w:r>
      <w:r>
        <w:rPr>
          <w:rFonts w:cs="仿宋_GB2312" w:hint="eastAsia"/>
          <w:color w:val="000000"/>
        </w:rPr>
        <w:t>日至</w:t>
      </w:r>
      <w:r>
        <w:rPr>
          <w:rFonts w:cs="仿宋_GB2312" w:hint="eastAsia"/>
          <w:color w:val="000000"/>
          <w:u w:val="single"/>
        </w:rPr>
        <w:t>2</w:t>
      </w:r>
      <w:r>
        <w:rPr>
          <w:rFonts w:cs="仿宋_GB2312"/>
          <w:color w:val="000000"/>
          <w:u w:val="single"/>
        </w:rPr>
        <w:t>025</w:t>
      </w:r>
      <w:r>
        <w:rPr>
          <w:rFonts w:cs="仿宋_GB2312" w:hint="eastAsia"/>
          <w:color w:val="000000"/>
        </w:rPr>
        <w:t>年</w:t>
      </w:r>
      <w:r>
        <w:rPr>
          <w:rFonts w:cs="仿宋_GB2312"/>
          <w:color w:val="000000"/>
          <w:u w:val="single"/>
        </w:rPr>
        <w:t>12</w:t>
      </w:r>
      <w:r>
        <w:rPr>
          <w:rFonts w:cs="仿宋_GB2312" w:hint="eastAsia"/>
          <w:color w:val="000000"/>
        </w:rPr>
        <w:t>月</w:t>
      </w:r>
      <w:r>
        <w:rPr>
          <w:rFonts w:cs="仿宋_GB2312"/>
          <w:color w:val="000000"/>
          <w:u w:val="single"/>
        </w:rPr>
        <w:t>24</w:t>
      </w:r>
      <w:r>
        <w:rPr>
          <w:rFonts w:cs="仿宋_GB2312" w:hint="eastAsia"/>
          <w:color w:val="000000"/>
        </w:rPr>
        <w:t>日（磋商文件的发售期限自开始之日起不</w:t>
      </w:r>
      <w:r>
        <w:rPr>
          <w:rFonts w:cs="仿宋_GB2312" w:hint="eastAsia"/>
        </w:rPr>
        <w:t>得少于5个工作日），每天上午8：</w:t>
      </w:r>
      <w:r>
        <w:rPr>
          <w:rFonts w:cs="仿宋_GB2312"/>
        </w:rPr>
        <w:t>30</w:t>
      </w:r>
      <w:r>
        <w:rPr>
          <w:rFonts w:cs="仿宋_GB2312" w:hint="eastAsia"/>
        </w:rPr>
        <w:t>至1</w:t>
      </w:r>
      <w:r>
        <w:rPr>
          <w:rFonts w:cs="仿宋_GB2312"/>
        </w:rPr>
        <w:t>2</w:t>
      </w:r>
      <w:r>
        <w:rPr>
          <w:rFonts w:cs="仿宋_GB2312" w:hint="eastAsia"/>
        </w:rPr>
        <w:t>:</w:t>
      </w:r>
      <w:r>
        <w:rPr>
          <w:rFonts w:cs="仿宋_GB2312"/>
        </w:rPr>
        <w:t>00</w:t>
      </w:r>
      <w:r>
        <w:rPr>
          <w:rFonts w:cs="仿宋_GB2312" w:hint="eastAsia"/>
        </w:rPr>
        <w:t>，下午1</w:t>
      </w:r>
      <w:r>
        <w:rPr>
          <w:rFonts w:cs="仿宋_GB2312"/>
        </w:rPr>
        <w:t>4</w:t>
      </w:r>
      <w:r>
        <w:rPr>
          <w:rFonts w:cs="仿宋_GB2312" w:hint="eastAsia"/>
        </w:rPr>
        <w:t>:</w:t>
      </w:r>
      <w:r>
        <w:rPr>
          <w:rFonts w:cs="仿宋_GB2312"/>
        </w:rPr>
        <w:t>30</w:t>
      </w:r>
      <w:r>
        <w:rPr>
          <w:rFonts w:cs="仿宋_GB2312" w:hint="eastAsia"/>
        </w:rPr>
        <w:t>至1</w:t>
      </w:r>
      <w:r>
        <w:rPr>
          <w:rFonts w:cs="仿宋_GB2312"/>
        </w:rPr>
        <w:t>7</w:t>
      </w:r>
      <w:r>
        <w:rPr>
          <w:rFonts w:cs="仿宋_GB2312" w:hint="eastAsia"/>
        </w:rPr>
        <w:t>:</w:t>
      </w:r>
      <w:r>
        <w:rPr>
          <w:rFonts w:cs="仿宋_GB2312"/>
        </w:rPr>
        <w:t>30</w:t>
      </w:r>
      <w:r>
        <w:rPr>
          <w:rFonts w:cs="仿宋_GB2312" w:hint="eastAsia"/>
        </w:rPr>
        <w:t>（北京时间，法定节假日除外 ）</w:t>
      </w:r>
      <w:r>
        <w:rPr>
          <w:rFonts w:cs="仿宋_GB2312"/>
        </w:rPr>
        <w:t>。</w:t>
      </w:r>
    </w:p>
    <w:p>
      <w:pPr>
        <w:adjustRightInd w:val="0"/>
        <w:snapToGrid w:val="0"/>
        <w:spacing w:line="360" w:lineRule="auto"/>
        <w:ind w:firstLine="539"/>
        <w:rPr>
          <w:rFonts w:cs="仿宋_GB2312"/>
          <w:color w:val="000000"/>
        </w:rPr>
      </w:pPr>
      <w:r>
        <w:rPr>
          <w:rFonts w:cs="仿宋_GB2312" w:hint="eastAsia"/>
        </w:rPr>
        <w:t>获取地点：</w:t>
      </w:r>
      <w:r>
        <w:rPr>
          <w:rFonts w:cs="仿宋_GB2312"/>
        </w:rPr>
        <w:t>线上获取。</w:t>
      </w:r>
    </w:p>
    <w:p>
      <w:pPr>
        <w:adjustRightInd w:val="0"/>
        <w:snapToGrid w:val="0"/>
        <w:spacing w:line="360" w:lineRule="auto"/>
        <w:ind w:firstLine="539"/>
        <w:rPr>
          <w:rFonts w:ascii="宋体" w:hAnsi="宋体"/>
          <w:sz w:val="22"/>
        </w:rPr>
      </w:pPr>
      <w:r>
        <w:rPr>
          <w:rFonts w:cs="仿宋_GB2312" w:hint="eastAsia"/>
        </w:rPr>
        <w:t>获</w:t>
      </w:r>
      <w:r>
        <w:rPr>
          <w:rFonts w:ascii="宋体" w:hAnsi="宋体" w:hint="eastAsia"/>
          <w:szCs w:val="21"/>
        </w:rPr>
        <w:t>取方式：请响应人在标书发售时间内，将经办人将营业执照、授权委托书、经办人的身份证、项目联系人电话和增值税发票开票信息（可复制</w:t>
      </w:r>
      <w:r>
        <w:rPr>
          <w:rFonts w:ascii="宋体" w:hAnsi="宋体"/>
          <w:szCs w:val="21"/>
        </w:rPr>
        <w:t>word</w:t>
      </w:r>
      <w:r>
        <w:rPr>
          <w:rFonts w:ascii="宋体" w:hAnsi="宋体" w:hint="eastAsia"/>
          <w:szCs w:val="21"/>
        </w:rPr>
        <w:t>文本），通过电子邮件发送至1264572446@qq.com，向采购代理机构（符先生：18876788011）了解有关信息及购买竞争性磋商文件，进行报名。</w:t>
      </w:r>
    </w:p>
    <w:p>
      <w:pPr>
        <w:adjustRightInd w:val="0"/>
        <w:snapToGrid w:val="0"/>
        <w:spacing w:line="360" w:lineRule="auto"/>
        <w:ind w:firstLine="539"/>
        <w:rPr>
          <w:rFonts w:ascii="宋体" w:hAnsi="宋体" w:hint="eastAsia"/>
          <w:szCs w:val="21"/>
        </w:rPr>
      </w:pPr>
      <w:r>
        <w:rPr>
          <w:rFonts w:ascii="宋体" w:hAnsi="宋体" w:hint="eastAsia"/>
          <w:szCs w:val="21"/>
        </w:rPr>
        <w:t xml:space="preserve"> 标书售价：每套售价300.00元；响应保证金的金额：0.00元。</w:t>
      </w:r>
    </w:p>
    <w:p>
      <w:pPr>
        <w:pStyle w:val="87"/>
        <w:spacing w:line="360" w:lineRule="auto"/>
        <w:ind w:firstLineChars="300" w:firstLine="630"/>
        <w:rPr>
          <w:rFonts w:ascii="宋体" w:eastAsia="宋体" w:hAnsi="宋体" w:hint="eastAsia"/>
          <w:color w:val="auto"/>
          <w:kern w:val="2"/>
          <w:sz w:val="21"/>
          <w:szCs w:val="21"/>
        </w:rPr>
      </w:pPr>
      <w:r>
        <w:rPr>
          <w:rFonts w:ascii="宋体" w:eastAsia="宋体" w:hAnsi="宋体" w:hint="eastAsia"/>
          <w:color w:val="auto"/>
          <w:kern w:val="2"/>
          <w:sz w:val="21"/>
          <w:szCs w:val="21"/>
        </w:rPr>
        <w:t>标书费和磋商保证金应到达以下指定账户并注明汇款单位：</w:t>
      </w:r>
    </w:p>
    <w:p>
      <w:pPr>
        <w:pStyle w:val="87"/>
        <w:spacing w:line="360" w:lineRule="auto"/>
        <w:ind w:firstLineChars="300" w:firstLine="630"/>
        <w:rPr>
          <w:rFonts w:ascii="宋体" w:eastAsia="宋体" w:hAnsi="宋体" w:hint="eastAsia"/>
          <w:color w:val="auto"/>
          <w:kern w:val="2"/>
          <w:sz w:val="21"/>
          <w:szCs w:val="21"/>
        </w:rPr>
      </w:pPr>
      <w:bookmarkStart w:id="25" w:name="_Toc28359092"/>
      <w:bookmarkStart w:id="26" w:name="_Toc35393801"/>
      <w:bookmarkStart w:id="27" w:name="_Toc35393632"/>
      <w:bookmarkStart w:id="28" w:name="_Toc28359015"/>
      <w:r>
        <w:rPr>
          <w:rFonts w:ascii="宋体" w:eastAsia="宋体" w:hAnsi="宋体" w:hint="eastAsia"/>
          <w:color w:val="auto"/>
          <w:kern w:val="2"/>
          <w:sz w:val="21"/>
          <w:szCs w:val="21"/>
        </w:rPr>
        <w:t xml:space="preserve">开户单位：海南电信规划设计院有限公司      </w:t>
      </w:r>
    </w:p>
    <w:p>
      <w:pPr>
        <w:pStyle w:val="87"/>
        <w:spacing w:line="360" w:lineRule="auto"/>
        <w:ind w:firstLineChars="300" w:firstLine="630"/>
        <w:rPr>
          <w:rFonts w:ascii="宋体" w:eastAsia="宋体" w:hAnsi="宋体" w:hint="eastAsia"/>
          <w:color w:val="auto"/>
          <w:kern w:val="2"/>
          <w:sz w:val="21"/>
          <w:szCs w:val="21"/>
        </w:rPr>
      </w:pPr>
      <w:r>
        <w:rPr>
          <w:rFonts w:ascii="宋体" w:eastAsia="宋体" w:hAnsi="宋体" w:hint="eastAsia"/>
          <w:color w:val="auto"/>
          <w:kern w:val="2"/>
          <w:sz w:val="21"/>
          <w:szCs w:val="21"/>
        </w:rPr>
        <w:t>开户银行：中国邮政储蓄银行股份有限公司海口市蓝天路支行</w:t>
      </w:r>
    </w:p>
    <w:p>
      <w:pPr>
        <w:pStyle w:val="87"/>
        <w:spacing w:line="360" w:lineRule="auto"/>
        <w:rPr>
          <w:rFonts w:ascii="宋体" w:eastAsia="宋体" w:hAnsi="宋体" w:hint="eastAsia"/>
          <w:color w:val="auto"/>
          <w:kern w:val="2"/>
          <w:sz w:val="21"/>
          <w:szCs w:val="21"/>
        </w:rPr>
      </w:pPr>
      <w:r>
        <w:rPr>
          <w:rFonts w:ascii="宋体" w:eastAsia="宋体" w:hAnsi="宋体" w:hint="eastAsia"/>
          <w:color w:val="auto"/>
          <w:kern w:val="2"/>
          <w:sz w:val="21"/>
          <w:szCs w:val="21"/>
        </w:rPr>
        <w:t xml:space="preserve">      帐    号：946017013000052069</w:t>
      </w:r>
    </w:p>
    <w:p>
      <w:pPr>
        <w:adjustRightInd w:val="0"/>
        <w:snapToGrid w:val="0"/>
        <w:spacing w:beforeLines="50" w:before="156" w:line="360" w:lineRule="auto"/>
        <w:rPr>
          <w:rFonts w:cs="仿宋_GB2312"/>
          <w:b/>
          <w:bCs/>
        </w:rPr>
      </w:pPr>
      <w:r>
        <w:rPr>
          <w:rFonts w:cs="仿宋_GB2312" w:hint="eastAsia"/>
          <w:b/>
          <w:bCs/>
        </w:rPr>
        <w:t>四、响应文件提交</w:t>
      </w:r>
      <w:bookmarkEnd w:id="25"/>
      <w:bookmarkEnd w:id="26"/>
      <w:bookmarkEnd w:id="27"/>
      <w:bookmarkEnd w:id="28"/>
    </w:p>
    <w:p>
      <w:pPr>
        <w:adjustRightInd w:val="0"/>
        <w:snapToGrid w:val="0"/>
        <w:spacing w:line="360" w:lineRule="auto"/>
        <w:ind w:firstLineChars="200" w:firstLine="420"/>
        <w:rPr>
          <w:rFonts w:cs="仿宋_GB2312"/>
          <w:bCs/>
        </w:rPr>
      </w:pPr>
      <w:r>
        <w:rPr>
          <w:rFonts w:cs="仿宋_GB2312" w:hint="eastAsia"/>
        </w:rPr>
        <w:t>截止时间：</w:t>
      </w:r>
      <w:r>
        <w:rPr>
          <w:rFonts w:cs="等线"/>
          <w:u w:val="single"/>
        </w:rPr>
        <w:t>2025</w:t>
      </w:r>
      <w:r>
        <w:rPr>
          <w:rFonts w:cs="等线"/>
        </w:rPr>
        <w:t>年</w:t>
      </w:r>
      <w:r>
        <w:rPr>
          <w:rFonts w:cs="等线"/>
          <w:u w:val="single"/>
        </w:rPr>
        <w:t>12</w:t>
      </w:r>
      <w:r>
        <w:rPr>
          <w:rFonts w:cs="等线"/>
        </w:rPr>
        <w:t>月</w:t>
      </w:r>
      <w:r>
        <w:rPr>
          <w:rFonts w:cs="等线"/>
          <w:u w:val="single"/>
        </w:rPr>
        <w:t>29</w:t>
      </w:r>
      <w:r>
        <w:rPr>
          <w:rFonts w:cs="等线"/>
        </w:rPr>
        <w:t>日</w:t>
      </w:r>
      <w:r>
        <w:rPr>
          <w:rFonts w:cs="等线"/>
          <w:u w:val="single"/>
        </w:rPr>
        <w:t>15</w:t>
      </w:r>
      <w:r>
        <w:rPr>
          <w:rFonts w:cs="等线"/>
        </w:rPr>
        <w:t>点</w:t>
      </w:r>
      <w:r>
        <w:rPr>
          <w:rFonts w:cs="等线" w:hint="eastAsia"/>
          <w:u w:val="single"/>
        </w:rPr>
        <w:t>00</w:t>
      </w:r>
      <w:r>
        <w:rPr>
          <w:rFonts w:cs="等线"/>
        </w:rPr>
        <w:t>分</w:t>
      </w:r>
      <w:r>
        <w:rPr>
          <w:rFonts w:cs="仿宋_GB2312" w:hint="eastAsia"/>
          <w:bCs/>
        </w:rPr>
        <w:t>（北京时间）</w:t>
      </w:r>
      <w:r>
        <w:rPr>
          <w:rFonts w:cs="仿宋_GB2312" w:hint="eastAsia"/>
        </w:rPr>
        <w:t>（从磋商文件开始发出之日起至供应商提交首次响应文件截止之日止不得少于10日）</w:t>
      </w:r>
    </w:p>
    <w:p>
      <w:pPr>
        <w:spacing w:line="440" w:lineRule="exact"/>
        <w:ind w:leftChars="197" w:left="414" w:firstLineChars="49" w:firstLine="103"/>
        <w:jc w:val="left"/>
        <w:rPr>
          <w:rFonts w:cs="仿宋_GB2312" w:hAnsi="宋体" w:hint="eastAsia"/>
        </w:rPr>
      </w:pPr>
      <w:bookmarkStart w:id="29" w:name="_Toc35393802"/>
      <w:bookmarkStart w:id="30" w:name="_Toc28359016"/>
      <w:bookmarkStart w:id="31" w:name="_Toc35393633"/>
      <w:bookmarkStart w:id="32" w:name="_Toc28359093"/>
      <w:r>
        <w:rPr>
          <w:rFonts w:cs="仿宋_GB2312" w:hAnsi="宋体" w:hint="eastAsia"/>
        </w:rPr>
        <w:t>响应文件递交地址(地点)：海南省海口市龙华区金盘路6号电信综合楼4楼会议室。</w:t>
      </w:r>
    </w:p>
    <w:p>
      <w:pPr>
        <w:adjustRightInd w:val="0"/>
        <w:snapToGrid w:val="0"/>
        <w:spacing w:line="360" w:lineRule="auto"/>
        <w:ind w:left="0"/>
        <w:rPr>
          <w:rFonts w:cs="仿宋_GB2312"/>
          <w:b/>
          <w:bCs/>
        </w:rPr>
      </w:pPr>
      <w:r>
        <w:rPr>
          <w:rFonts w:cs="仿宋_GB2312" w:hint="eastAsia"/>
          <w:b/>
          <w:bCs/>
        </w:rPr>
        <w:t>五、开启</w:t>
      </w:r>
      <w:bookmarkEnd w:id="29"/>
      <w:bookmarkEnd w:id="30"/>
      <w:bookmarkEnd w:id="31"/>
      <w:bookmarkEnd w:id="32"/>
    </w:p>
    <w:p>
      <w:pPr>
        <w:adjustRightInd w:val="0"/>
        <w:snapToGrid w:val="0"/>
        <w:spacing w:line="360" w:lineRule="auto"/>
        <w:ind w:firstLineChars="200" w:firstLine="420"/>
        <w:rPr>
          <w:rFonts w:cs="仿宋_GB2312"/>
          <w:bCs/>
          <w:u w:val="single"/>
        </w:rPr>
      </w:pPr>
      <w:r>
        <w:rPr>
          <w:rFonts w:cs="仿宋_GB2312" w:hint="eastAsia"/>
        </w:rPr>
        <w:t>时间：</w:t>
      </w:r>
      <w:r>
        <w:rPr>
          <w:rFonts w:cs="等线"/>
          <w:u w:val="single"/>
        </w:rPr>
        <w:t>2025</w:t>
      </w:r>
      <w:r>
        <w:rPr>
          <w:rFonts w:cs="等线"/>
        </w:rPr>
        <w:t>年</w:t>
      </w:r>
      <w:r>
        <w:rPr>
          <w:rFonts w:cs="等线"/>
          <w:u w:val="single"/>
        </w:rPr>
        <w:t>12</w:t>
      </w:r>
      <w:r>
        <w:rPr>
          <w:rFonts w:cs="等线"/>
        </w:rPr>
        <w:t>月</w:t>
      </w:r>
      <w:r>
        <w:rPr>
          <w:rFonts w:cs="等线"/>
          <w:u w:val="single"/>
        </w:rPr>
        <w:t>29</w:t>
      </w:r>
      <w:r>
        <w:rPr>
          <w:rFonts w:cs="等线"/>
        </w:rPr>
        <w:t>日</w:t>
      </w:r>
      <w:r>
        <w:rPr>
          <w:rFonts w:cs="等线"/>
          <w:u w:val="single"/>
        </w:rPr>
        <w:t>15</w:t>
      </w:r>
      <w:r>
        <w:rPr>
          <w:rFonts w:cs="等线"/>
        </w:rPr>
        <w:t>点</w:t>
      </w:r>
      <w:r>
        <w:rPr>
          <w:rFonts w:cs="等线" w:hint="eastAsia"/>
          <w:u w:val="single"/>
        </w:rPr>
        <w:t>00</w:t>
      </w:r>
      <w:r>
        <w:rPr>
          <w:rFonts w:cs="等线"/>
        </w:rPr>
        <w:t>分</w:t>
      </w:r>
      <w:r>
        <w:rPr>
          <w:rFonts w:cs="仿宋_GB2312" w:hint="eastAsia"/>
          <w:bCs/>
        </w:rPr>
        <w:t>（北京时间）</w:t>
      </w:r>
    </w:p>
    <w:p>
      <w:pPr>
        <w:adjustRightInd w:val="0"/>
        <w:snapToGrid w:val="0"/>
        <w:spacing w:line="360" w:lineRule="auto"/>
        <w:ind w:firstLineChars="200" w:firstLine="420"/>
        <w:rPr>
          <w:rFonts w:cs="仿宋_GB2312"/>
          <w:bCs/>
          <w:color w:val="000000"/>
          <w:u w:val="single"/>
        </w:rPr>
      </w:pPr>
      <w:r>
        <w:rPr>
          <w:rFonts w:cs="仿宋_GB2312" w:hint="eastAsia"/>
        </w:rPr>
        <w:t>地</w:t>
      </w:r>
      <w:r>
        <w:rPr>
          <w:rFonts w:cs="仿宋_GB2312" w:hAnsi="宋体" w:hint="eastAsia"/>
        </w:rPr>
        <w:t xml:space="preserve">点：海南省海口市龙华区金盘路6号电信综合楼4楼会议室。 </w:t>
      </w:r>
    </w:p>
    <w:p>
      <w:pPr>
        <w:adjustRightInd w:val="0"/>
        <w:snapToGrid w:val="0"/>
        <w:spacing w:beforeLines="50" w:before="156" w:line="360" w:lineRule="auto"/>
        <w:rPr>
          <w:rFonts w:cs="仿宋_GB2312"/>
          <w:b/>
          <w:bCs/>
        </w:rPr>
      </w:pPr>
      <w:bookmarkStart w:id="33" w:name="_Toc28359094"/>
      <w:bookmarkStart w:id="34" w:name="_Toc28359017"/>
      <w:bookmarkStart w:id="35" w:name="_Toc35393803"/>
      <w:bookmarkStart w:id="36" w:name="_Toc35393634"/>
      <w:r>
        <w:rPr>
          <w:rFonts w:cs="仿宋_GB2312" w:hint="eastAsia"/>
          <w:b/>
          <w:bCs/>
        </w:rPr>
        <w:t>六、公告发布媒介及公告期限</w:t>
      </w:r>
      <w:bookmarkEnd w:id="33"/>
      <w:bookmarkEnd w:id="34"/>
      <w:bookmarkEnd w:id="35"/>
      <w:bookmarkEnd w:id="36"/>
    </w:p>
    <w:p>
      <w:pPr>
        <w:adjustRightInd w:val="0"/>
        <w:snapToGrid w:val="0"/>
        <w:spacing w:line="360" w:lineRule="auto"/>
        <w:ind w:firstLineChars="200" w:firstLine="420"/>
        <w:rPr>
          <w:rFonts w:cs="仿宋_GB2312"/>
        </w:rPr>
      </w:pPr>
      <w:r>
        <w:rPr>
          <w:rFonts w:cs="仿宋_GB2312"/>
        </w:rPr>
        <w:t>发布媒介</w:t>
      </w:r>
      <w:r>
        <w:rPr>
          <w:rFonts w:cs="仿宋_GB2312" w:hint="eastAsia"/>
        </w:rPr>
        <w:t>：</w:t>
      </w:r>
      <w:r>
        <w:t>海南省政府采购行业协会网。</w:t>
      </w:r>
    </w:p>
    <w:p>
      <w:pPr>
        <w:adjustRightInd w:val="0"/>
        <w:snapToGrid w:val="0"/>
        <w:spacing w:line="360" w:lineRule="auto"/>
        <w:ind w:firstLineChars="200" w:firstLine="420"/>
        <w:rPr>
          <w:rFonts w:cs="仿宋_GB2312"/>
        </w:rPr>
      </w:pPr>
      <w:r>
        <w:rPr>
          <w:rFonts w:cs="仿宋_GB2312" w:hint="eastAsia"/>
        </w:rPr>
        <w:t>公告期限：自本公告发布之日起</w:t>
      </w:r>
      <w:r>
        <w:rPr>
          <w:rFonts w:cs="仿宋_GB2312"/>
        </w:rPr>
        <w:t>5</w:t>
      </w:r>
      <w:r>
        <w:rPr>
          <w:rFonts w:cs="仿宋_GB2312" w:hint="eastAsia"/>
        </w:rPr>
        <w:t>个工作日。</w:t>
      </w:r>
    </w:p>
    <w:p>
      <w:pPr>
        <w:adjustRightInd w:val="0"/>
        <w:snapToGrid w:val="0"/>
        <w:spacing w:beforeLines="50" w:before="156" w:line="360" w:lineRule="auto"/>
        <w:rPr>
          <w:rFonts w:cs="仿宋_GB2312"/>
          <w:b/>
          <w:bCs/>
        </w:rPr>
      </w:pPr>
      <w:r>
        <w:rPr>
          <w:rFonts w:cs="仿宋_GB2312" w:hint="eastAsia"/>
          <w:b/>
          <w:bCs/>
        </w:rPr>
        <w:t>七、质疑与投诉</w:t>
      </w:r>
    </w:p>
    <w:p>
      <w:pPr>
        <w:adjustRightInd w:val="0"/>
        <w:snapToGrid w:val="0"/>
        <w:spacing w:line="360" w:lineRule="auto"/>
        <w:ind w:firstLine="539"/>
        <w:rPr>
          <w:rFonts w:cs="仿宋_GB2312"/>
        </w:rPr>
      </w:pPr>
      <w:r>
        <w:rPr>
          <w:rFonts w:cs="仿宋_GB2312" w:hint="eastAsia"/>
        </w:rPr>
        <w:t>供应商认为自己的权益受到损害的，可以在知道或者应当知道其权益受到损害之日起七个工作日内，向采购代理机构或采购人提出质疑。</w:t>
      </w:r>
    </w:p>
    <w:p>
      <w:pPr>
        <w:adjustRightInd w:val="0"/>
        <w:snapToGrid w:val="0"/>
        <w:spacing w:line="360" w:lineRule="auto"/>
        <w:ind w:firstLine="480"/>
        <w:rPr>
          <w:rFonts w:cs="仿宋_GB2312"/>
        </w:rPr>
      </w:pPr>
      <w:r>
        <w:rPr>
          <w:rFonts w:cs="仿宋_GB2312" w:hint="eastAsia"/>
        </w:rPr>
        <w:t>1、接收质疑函方式：书面纸质质疑函</w:t>
      </w:r>
    </w:p>
    <w:p>
      <w:pPr>
        <w:adjustRightInd w:val="0"/>
        <w:snapToGrid w:val="0"/>
        <w:spacing w:line="360" w:lineRule="auto"/>
        <w:ind w:firstLine="480"/>
        <w:rPr>
          <w:rFonts w:cs="仿宋_GB2312"/>
        </w:rPr>
      </w:pPr>
      <w:r>
        <w:rPr>
          <w:rFonts w:cs="仿宋_GB2312" w:hint="eastAsia"/>
        </w:rPr>
        <w:t>2、质疑函内容、格式：应符合《政府采购质疑和投诉办法》相关规定和财政部制定的《政府采购供应商质疑函范本》格式，详见海南省政府采购网。</w:t>
      </w:r>
    </w:p>
    <w:p>
      <w:pPr>
        <w:adjustRightInd w:val="0"/>
        <w:snapToGrid w:val="0"/>
        <w:spacing w:line="360" w:lineRule="auto"/>
        <w:ind w:firstLine="480"/>
        <w:rPr>
          <w:rFonts w:cs="仿宋_GB2312"/>
        </w:rPr>
      </w:pPr>
      <w:r>
        <w:rPr>
          <w:rFonts w:cs="仿宋_GB2312" w:hint="eastAsia"/>
        </w:rPr>
        <w:t>质疑供应商对采购人、采购代理机构的答复不满意，或者采购人、采购代理机构未在规定时间内作出答复的，可以在答复期满后15个工作日内向本级财政部门提起投诉。</w:t>
      </w:r>
    </w:p>
    <w:p>
      <w:pPr>
        <w:adjustRightInd w:val="0"/>
        <w:snapToGrid w:val="0"/>
        <w:spacing w:beforeLines="50" w:before="156" w:line="360" w:lineRule="auto"/>
        <w:rPr>
          <w:rFonts w:cs="仿宋_GB2312"/>
          <w:b/>
          <w:bCs/>
        </w:rPr>
      </w:pPr>
      <w:r>
        <w:rPr>
          <w:rFonts w:cs="仿宋_GB2312" w:hint="eastAsia"/>
          <w:b/>
          <w:bCs/>
        </w:rPr>
        <w:t>八、其他补充事宜</w:t>
      </w:r>
    </w:p>
    <w:p>
      <w:pPr>
        <w:adjustRightInd w:val="0"/>
        <w:snapToGrid w:val="0"/>
        <w:spacing w:line="360" w:lineRule="auto"/>
        <w:ind w:firstLine="480"/>
        <w:rPr>
          <w:rFonts w:cs="仿宋_GB2312"/>
        </w:rPr>
      </w:pPr>
      <w:r>
        <w:rPr>
          <w:rFonts w:cs="仿宋_GB2312"/>
        </w:rPr>
        <w:t>无</w:t>
      </w:r>
    </w:p>
    <w:p>
      <w:pPr>
        <w:adjustRightInd w:val="0"/>
        <w:snapToGrid w:val="0"/>
        <w:spacing w:beforeLines="50" w:before="156" w:line="360" w:lineRule="auto"/>
        <w:rPr>
          <w:rFonts w:cs="仿宋_GB2312"/>
          <w:b/>
          <w:bCs/>
        </w:rPr>
      </w:pPr>
      <w:bookmarkStart w:id="37" w:name="_Toc35393636"/>
      <w:bookmarkStart w:id="38" w:name="_Toc35393805"/>
      <w:bookmarkStart w:id="39" w:name="_Toc28359018"/>
      <w:bookmarkStart w:id="40" w:name="_Toc28359095"/>
      <w:r>
        <w:rPr>
          <w:rFonts w:cs="仿宋_GB2312" w:hint="eastAsia"/>
          <w:b/>
          <w:bCs/>
        </w:rPr>
        <w:t>九、凡对本次采购提出询问，请按以下方式联系。</w:t>
      </w:r>
      <w:bookmarkEnd w:id="37"/>
      <w:bookmarkEnd w:id="38"/>
      <w:bookmarkEnd w:id="39"/>
      <w:bookmarkEnd w:id="40"/>
    </w:p>
    <w:p>
      <w:pPr>
        <w:spacing w:line="440" w:lineRule="exact"/>
        <w:ind w:leftChars="197" w:left="414" w:firstLineChars="49" w:firstLine="103"/>
        <w:jc w:val="left"/>
        <w:rPr>
          <w:rFonts w:cs="仿宋_GB2312" w:hAnsi="宋体" w:hint="eastAsia"/>
        </w:rPr>
      </w:pPr>
      <w:r>
        <w:rPr>
          <w:rFonts w:cs="仿宋_GB2312" w:hAnsi="宋体" w:hint="eastAsia"/>
        </w:rPr>
        <w:t>采购人：</w:t>
      </w:r>
      <w:r>
        <w:rPr>
          <w:rFonts w:hAnsi="宋体" w:hint="eastAsia"/>
          <w:u w:val="single"/>
          <w:lang w:val="en-US" w:eastAsia="zh-CN"/>
        </w:rPr>
        <w:t>白沙黎族自治县生态环境局</w:t>
      </w:r>
    </w:p>
    <w:p>
      <w:pPr>
        <w:spacing w:line="440" w:lineRule="exact"/>
        <w:ind w:leftChars="197" w:left="414" w:firstLineChars="49" w:firstLine="103"/>
        <w:jc w:val="left"/>
        <w:rPr>
          <w:rFonts w:cs="仿宋_GB2312" w:hAnsi="宋体" w:hint="eastAsia"/>
        </w:rPr>
      </w:pPr>
      <w:r>
        <w:rPr>
          <w:rFonts w:cs="仿宋_GB2312" w:hAnsi="宋体" w:hint="eastAsia"/>
        </w:rPr>
        <w:t>地址：</w:t>
      </w:r>
      <w:r>
        <w:rPr>
          <w:rFonts w:hAnsi="宋体" w:hint="eastAsia"/>
          <w:u w:val="single"/>
          <w:lang w:val="en-US" w:eastAsia="zh-CN"/>
        </w:rPr>
        <w:t>白沙黎族自治县生态环境局</w:t>
      </w:r>
    </w:p>
    <w:p>
      <w:pPr>
        <w:spacing w:line="440" w:lineRule="exact"/>
        <w:ind w:leftChars="197" w:left="414" w:firstLineChars="49" w:firstLine="103"/>
        <w:jc w:val="left"/>
        <w:rPr>
          <w:rFonts w:cs="仿宋_GB2312" w:hAnsi="宋体" w:hint="eastAsia"/>
          <w:highlight w:val="none"/>
        </w:rPr>
      </w:pPr>
      <w:r>
        <w:rPr>
          <w:rFonts w:cs="仿宋_GB2312" w:hAnsi="宋体" w:hint="eastAsia"/>
          <w:highlight w:val="none"/>
        </w:rPr>
        <w:t>联系人：</w:t>
      </w:r>
      <w:r>
        <w:rPr>
          <w:rFonts w:cs="仿宋_GB2312" w:hAnsi="宋体" w:hint="eastAsia"/>
          <w:lang w:eastAsia="zh-CN"/>
          <w:highlight w:val="none"/>
        </w:rPr>
        <w:t>陈</w:t>
      </w:r>
      <w:r>
        <w:rPr>
          <w:rFonts w:cs="仿宋_GB2312" w:hAnsi="宋体" w:hint="eastAsia"/>
          <w:highlight w:val="none"/>
        </w:rPr>
        <w:t>先生</w:t>
      </w:r>
    </w:p>
    <w:p>
      <w:pPr>
        <w:spacing w:line="440" w:lineRule="exact"/>
        <w:ind w:leftChars="197" w:left="414" w:firstLineChars="49" w:firstLine="103"/>
        <w:jc w:val="left"/>
        <w:rPr>
          <w:rFonts w:eastAsia="宋体" w:cs="仿宋_GB2312" w:hAnsi="宋体"/>
          <w:lang w:val="en-US" w:eastAsia="zh-CN"/>
          <w:highlight w:val="none"/>
        </w:rPr>
      </w:pPr>
      <w:r>
        <w:rPr>
          <w:rFonts w:cs="仿宋_GB2312" w:hAnsi="宋体" w:hint="eastAsia"/>
          <w:highlight w:val="none"/>
        </w:rPr>
        <w:t>联系电话：</w:t>
      </w:r>
      <w:r>
        <w:rPr>
          <w:rFonts w:cs="仿宋_GB2312" w:hAnsi="宋体" w:hint="eastAsia"/>
          <w:lang w:val="en-US" w:eastAsia="zh-CN"/>
          <w:highlight w:val="none"/>
        </w:rPr>
        <w:t>0898-27715663</w:t>
      </w:r>
    </w:p>
    <w:p>
      <w:pPr>
        <w:spacing w:line="440" w:lineRule="exact"/>
        <w:ind w:leftChars="197" w:left="414" w:firstLineChars="49" w:firstLine="103"/>
        <w:jc w:val="left"/>
        <w:rPr>
          <w:rFonts w:cs="仿宋_GB2312" w:hAnsi="宋体" w:hint="eastAsia"/>
        </w:rPr>
      </w:pPr>
      <w:r>
        <w:rPr>
          <w:rFonts w:cs="仿宋_GB2312" w:hAnsi="宋体" w:hint="eastAsia"/>
        </w:rPr>
        <w:t>采购代理机构：海南电信规划设计院有限公司</w:t>
      </w:r>
    </w:p>
    <w:p>
      <w:pPr>
        <w:spacing w:line="440" w:lineRule="exact"/>
        <w:ind w:leftChars="197" w:left="414" w:firstLineChars="49" w:firstLine="103"/>
        <w:jc w:val="left"/>
        <w:rPr>
          <w:rFonts w:cs="仿宋_GB2312" w:hAnsi="宋体" w:hint="eastAsia"/>
        </w:rPr>
      </w:pPr>
      <w:r>
        <w:rPr>
          <w:rFonts w:cs="仿宋_GB2312" w:hAnsi="宋体" w:hint="eastAsia"/>
        </w:rPr>
        <w:t>公司地址：</w:t>
      </w:r>
      <w:r>
        <w:rPr>
          <w:rFonts w:cs="仿宋_GB2312" w:hAnsi="宋体"/>
        </w:rPr>
        <w:t>海南省</w:t>
      </w:r>
      <w:r>
        <w:rPr>
          <w:rFonts w:cs="仿宋_GB2312" w:hAnsi="宋体" w:hint="eastAsia"/>
        </w:rPr>
        <w:t>海口市</w:t>
      </w:r>
      <w:r>
        <w:rPr>
          <w:rFonts w:cs="仿宋_GB2312" w:hAnsi="宋体"/>
        </w:rPr>
        <w:t>龙华区</w:t>
      </w:r>
      <w:r>
        <w:rPr>
          <w:rFonts w:cs="仿宋_GB2312" w:hAnsi="宋体" w:hint="eastAsia"/>
        </w:rPr>
        <w:t>金盘路6号</w:t>
      </w:r>
    </w:p>
    <w:p>
      <w:pPr>
        <w:spacing w:line="440" w:lineRule="exact"/>
        <w:ind w:leftChars="197" w:left="414" w:firstLineChars="49" w:firstLine="103"/>
        <w:jc w:val="left"/>
        <w:rPr>
          <w:rFonts w:cs="仿宋_GB2312" w:hAnsi="宋体" w:hint="eastAsia"/>
        </w:rPr>
      </w:pPr>
      <w:r>
        <w:rPr>
          <w:rFonts w:cs="仿宋_GB2312" w:hAnsi="宋体" w:hint="eastAsia"/>
        </w:rPr>
        <w:t>联系人：符名宝</w:t>
      </w:r>
    </w:p>
    <w:p>
      <w:pPr>
        <w:spacing w:line="440" w:lineRule="exact"/>
        <w:ind w:leftChars="197" w:left="414" w:firstLineChars="49" w:firstLine="103"/>
        <w:jc w:val="left"/>
        <w:rPr>
          <w:rFonts w:cs="仿宋_GB2312" w:hAnsi="宋体" w:hint="eastAsia"/>
        </w:rPr>
      </w:pPr>
      <w:r>
        <w:rPr>
          <w:rFonts w:cs="仿宋_GB2312" w:hAnsi="宋体" w:hint="eastAsia"/>
        </w:rPr>
        <w:t>联系电话：18876788011</w:t>
      </w:r>
    </w:p>
    <w:p>
      <w:pPr>
        <w:spacing w:line="440" w:lineRule="exact"/>
        <w:ind w:leftChars="197" w:left="414" w:firstLineChars="49" w:firstLine="103"/>
        <w:jc w:val="left"/>
        <w:rPr>
          <w:rFonts w:cs="仿宋_GB2312" w:hAnsi="宋体" w:hint="eastAsia"/>
        </w:rPr>
      </w:pPr>
      <w:r>
        <w:rPr>
          <w:rFonts w:cs="仿宋_GB2312" w:hAnsi="宋体" w:hint="eastAsia"/>
        </w:rPr>
        <w:t>邮箱：1264572446@qq.com</w:t>
      </w:r>
    </w:p>
    <w:p/>
    <w:p>
      <w:pPr>
        <w:pStyle w:val="1"/>
        <w:rPr>
          <w:szCs w:val="21"/>
        </w:rPr>
      </w:pPr>
      <w:r>
        <w:rPr>
          <w:rFonts w:hint="eastAsia"/>
        </w:rPr>
        <w:br w:type="page"/>
      </w:r>
      <w:bookmarkStart w:id="41" w:name="_Toc67843799"/>
      <w:r>
        <w:rPr>
          <w:rFonts w:hint="eastAsia"/>
        </w:rPr>
        <w:t>第二章  供应商须知</w:t>
      </w:r>
      <w:bookmarkStart w:id="42" w:name="_Toc1957"/>
      <w:bookmarkEnd w:id="11"/>
      <w:bookmarkEnd w:id="12"/>
      <w:bookmarkEnd w:id="41"/>
    </w:p>
    <w:p>
      <w:pPr>
        <w:pStyle w:val="2"/>
        <w:ind w:firstLineChars="100" w:firstLine="240"/>
        <w:rPr>
          <w:sz w:val="24"/>
          <w:szCs w:val="24"/>
        </w:rPr>
      </w:pPr>
      <w:bookmarkStart w:id="43" w:name="_Toc67843800"/>
      <w:r>
        <w:rPr>
          <w:rFonts w:hint="eastAsia"/>
          <w:sz w:val="24"/>
          <w:szCs w:val="24"/>
        </w:rPr>
        <w:t>供应商须知前附表</w:t>
      </w:r>
      <w:bookmarkEnd w:id="42"/>
      <w:bookmarkEnd w:id="43"/>
    </w:p>
    <w:tbl>
      <w:tblPr>
        <w:jc w:val="left"/>
        <w:tblInd w:w="312" w:type="dxa"/>
        <w:tblW w:w="86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28" w:type="dxa"/>
          <w:bottom w:w="0" w:type="dxa"/>
          <w:right w:w="28" w:type="dxa"/>
        </w:tblCellMar>
        <w:tblLook w:val="0600" w:firstRow="0" w:lastRow="0" w:firstColumn="0" w:lastColumn="0" w:noHBand="1" w:noVBand="1"/>
      </w:tblPr>
      <w:tblGrid>
        <w:gridCol w:w="1134"/>
        <w:gridCol w:w="31"/>
        <w:gridCol w:w="7482"/>
      </w:tblGrid>
      <w:tr>
        <w:trPr>
          <w:cantSplit/>
          <w:trHeight w:val="863"/>
        </w:trPr>
        <w:tc>
          <w:tcPr>
            <w:tcW w:w="1134" w:type="dxa"/>
            <w:vAlign w:val="center"/>
          </w:tcPr>
          <w:p>
            <w:pPr>
              <w:widowControl/>
              <w:autoSpaceDE w:val="0"/>
              <w:autoSpaceDN w:val="0"/>
              <w:jc w:val="center"/>
              <w:textAlignment w:val="bottom"/>
              <w:rPr>
                <w:rFonts w:hAnsi="宋体"/>
                <w:szCs w:val="21"/>
              </w:rPr>
            </w:pPr>
            <w:r>
              <w:rPr>
                <w:rFonts w:hAnsi="宋体" w:hint="eastAsia"/>
                <w:szCs w:val="21"/>
              </w:rPr>
              <w:t>供应商须知</w:t>
            </w:r>
          </w:p>
          <w:p>
            <w:pPr>
              <w:widowControl/>
              <w:autoSpaceDE w:val="0"/>
              <w:autoSpaceDN w:val="0"/>
              <w:jc w:val="center"/>
              <w:textAlignment w:val="bottom"/>
              <w:rPr>
                <w:rFonts w:hAnsi="宋体"/>
                <w:szCs w:val="21"/>
              </w:rPr>
            </w:pPr>
            <w:r>
              <w:rPr>
                <w:rFonts w:hAnsi="宋体" w:hint="eastAsia"/>
                <w:szCs w:val="21"/>
              </w:rPr>
              <w:t>条款号</w:t>
            </w:r>
          </w:p>
        </w:tc>
        <w:tc>
          <w:tcPr>
            <w:tcW w:w="7513" w:type="dxa"/>
            <w:gridSpan w:val="2"/>
            <w:vAlign w:val="center"/>
          </w:tcPr>
          <w:p>
            <w:pPr>
              <w:widowControl/>
              <w:autoSpaceDE w:val="0"/>
              <w:autoSpaceDN w:val="0"/>
              <w:jc w:val="center"/>
              <w:textAlignment w:val="bottom"/>
              <w:rPr>
                <w:rFonts w:hAnsi="宋体"/>
                <w:szCs w:val="21"/>
              </w:rPr>
            </w:pPr>
            <w:r>
              <w:rPr>
                <w:rFonts w:hAnsi="宋体" w:hint="eastAsia"/>
                <w:szCs w:val="21"/>
              </w:rPr>
              <w:t>内容</w:t>
            </w:r>
          </w:p>
        </w:tc>
      </w:tr>
      <w:tr>
        <w:trPr>
          <w:cantSplit/>
          <w:trHeight w:val="1123"/>
        </w:trPr>
        <w:tc>
          <w:tcPr>
            <w:tcW w:w="1134" w:type="dxa"/>
            <w:vAlign w:val="center"/>
          </w:tcPr>
          <w:p>
            <w:pPr>
              <w:widowControl/>
              <w:autoSpaceDE w:val="0"/>
              <w:autoSpaceDN w:val="0"/>
              <w:jc w:val="center"/>
              <w:textAlignment w:val="bottom"/>
              <w:rPr>
                <w:rFonts w:hAnsi="宋体"/>
                <w:highlight w:val="none"/>
              </w:rPr>
            </w:pPr>
            <w:r>
              <w:rPr>
                <w:rFonts w:hAnsi="宋体" w:hint="eastAsia"/>
                <w:highlight w:val="none"/>
              </w:rPr>
              <w:t>1</w:t>
            </w:r>
          </w:p>
        </w:tc>
        <w:tc>
          <w:tcPr>
            <w:tcW w:w="7513" w:type="dxa"/>
            <w:gridSpan w:val="2"/>
            <w:tcBorders>
              <w:left w:val="single" w:sz="6" w:space="0" w:color="auto"/>
            </w:tcBorders>
            <w:vAlign w:val="center"/>
          </w:tcPr>
          <w:p>
            <w:pPr>
              <w:spacing w:beforeAutospacing="0" w:afterAutospacing="0" w:line="360" w:lineRule="auto"/>
              <w:rPr>
                <w:rFonts w:cs="Arial" w:hAnsi="宋体"/>
                <w:u w:val="single"/>
                <w:highlight w:val="none"/>
              </w:rPr>
            </w:pPr>
            <w:r>
              <w:rPr>
                <w:rFonts w:cs="Arial" w:hAnsi="宋体" w:hint="eastAsia"/>
                <w:highlight w:val="none"/>
              </w:rPr>
              <w:t>项目名称：</w:t>
            </w:r>
            <w:r>
              <w:rPr>
                <w:rFonts w:cs="Arial" w:hAnsi="宋体"/>
                <w:u w:val="single"/>
                <w:highlight w:val="none"/>
              </w:rPr>
              <w:t>2026年度白沙县35座小型水质自动监测站运维服务项目</w:t>
            </w:r>
          </w:p>
          <w:p>
            <w:pPr>
              <w:spacing w:beforeAutospacing="0" w:afterAutospacing="0" w:line="360" w:lineRule="auto"/>
              <w:jc w:val="left"/>
              <w:rPr>
                <w:rFonts w:ascii="宋体" w:hAnsi="宋体"/>
                <w:szCs w:val="21"/>
                <w:u w:val="single"/>
                <w:highlight w:val="none"/>
              </w:rPr>
            </w:pPr>
            <w:r>
              <w:rPr>
                <w:rFonts w:ascii="宋体" w:hAnsi="宋体" w:hint="eastAsia"/>
                <w:szCs w:val="21"/>
                <w:highlight w:val="none"/>
              </w:rPr>
              <w:t>采购人</w:t>
            </w:r>
            <w:r>
              <w:rPr>
                <w:rFonts w:ascii="宋体" w:hAnsi="宋体" w:hint="eastAsia"/>
                <w:szCs w:val="21"/>
                <w:u w:val="single"/>
                <w:highlight w:val="none"/>
              </w:rPr>
              <w:t>：</w:t>
            </w:r>
            <w:r>
              <w:rPr>
                <w:rFonts w:hAnsi="宋体" w:hint="eastAsia"/>
                <w:u w:val="single"/>
                <w:lang w:val="en-US" w:eastAsia="zh-CN"/>
                <w:highlight w:val="none"/>
              </w:rPr>
              <w:t>白沙黎族自治县生态环境局</w:t>
            </w:r>
          </w:p>
          <w:p>
            <w:pPr>
              <w:spacing w:beforeAutospacing="0" w:afterAutospacing="0" w:line="360" w:lineRule="auto"/>
              <w:jc w:val="left"/>
              <w:rPr>
                <w:rFonts w:ascii="宋体" w:hAnsi="宋体"/>
                <w:szCs w:val="21"/>
                <w:u w:val="single"/>
                <w:highlight w:val="none"/>
              </w:rPr>
            </w:pPr>
            <w:r>
              <w:rPr>
                <w:rFonts w:ascii="宋体" w:hAnsi="宋体" w:hint="eastAsia"/>
                <w:szCs w:val="21"/>
                <w:highlight w:val="none"/>
              </w:rPr>
              <w:t>地址：</w:t>
            </w:r>
            <w:r>
              <w:rPr>
                <w:u w:val="single"/>
                <w:highlight w:val="none"/>
              </w:rPr>
              <w:t>海南省</w:t>
            </w:r>
            <w:r>
              <w:rPr>
                <w:rFonts w:hAnsi="宋体" w:hint="eastAsia"/>
                <w:u w:val="single"/>
                <w:lang w:val="en-US" w:eastAsia="zh-CN"/>
                <w:highlight w:val="none"/>
              </w:rPr>
              <w:t>白沙黎族自治县</w:t>
            </w:r>
          </w:p>
          <w:p>
            <w:pPr>
              <w:spacing w:beforeAutospacing="0" w:afterAutospacing="0" w:line="360" w:lineRule="auto"/>
              <w:jc w:val="left"/>
              <w:rPr>
                <w:rFonts w:hAnsi="宋体"/>
                <w:highlight w:val="none"/>
              </w:rPr>
            </w:pPr>
            <w:r>
              <w:rPr>
                <w:rFonts w:hAnsi="宋体" w:hint="eastAsia"/>
                <w:highlight w:val="none"/>
              </w:rPr>
              <w:t>联系人：</w:t>
            </w:r>
            <w:r>
              <w:rPr>
                <w:rFonts w:hAnsi="宋体" w:hint="eastAsia"/>
                <w:lang w:eastAsia="zh-CN"/>
                <w:highlight w:val="none"/>
              </w:rPr>
              <w:t>陈</w:t>
            </w:r>
            <w:r>
              <w:rPr>
                <w:rFonts w:hAnsi="宋体"/>
                <w:u w:val="single"/>
                <w:highlight w:val="none"/>
              </w:rPr>
              <w:t>先生</w:t>
            </w:r>
          </w:p>
          <w:p>
            <w:pPr>
              <w:spacing w:beforeAutospacing="0" w:afterAutospacing="0" w:line="360" w:lineRule="auto"/>
              <w:jc w:val="left"/>
              <w:rPr>
                <w:rFonts w:hAnsi="宋体"/>
                <w:highlight w:val="none"/>
              </w:rPr>
            </w:pPr>
            <w:r>
              <w:rPr>
                <w:rFonts w:hAnsi="宋体" w:hint="eastAsia"/>
                <w:highlight w:val="none"/>
              </w:rPr>
              <w:t>联系电话：</w:t>
            </w:r>
            <w:r>
              <w:rPr>
                <w:rFonts w:cs="仿宋_GB2312" w:hAnsi="宋体" w:hint="eastAsia"/>
                <w:lang w:val="en-US" w:eastAsia="zh-CN"/>
                <w:highlight w:val="none"/>
              </w:rPr>
              <w:t>0898-27715663</w:t>
            </w:r>
          </w:p>
        </w:tc>
      </w:tr>
      <w:tr>
        <w:trPr>
          <w:cantSplit/>
          <w:trHeight w:val="90"/>
        </w:trPr>
        <w:tc>
          <w:tcPr>
            <w:tcW w:w="1165" w:type="dxa"/>
            <w:gridSpan w:val="2"/>
            <w:vAlign w:val="center"/>
          </w:tcPr>
          <w:p>
            <w:pPr>
              <w:widowControl/>
              <w:autoSpaceDE w:val="0"/>
              <w:autoSpaceDN w:val="0"/>
              <w:jc w:val="center"/>
              <w:textAlignment w:val="bottom"/>
              <w:rPr>
                <w:rFonts w:hAnsi="宋体"/>
              </w:rPr>
            </w:pPr>
            <w:r>
              <w:rPr>
                <w:rFonts w:hAnsi="宋体" w:hint="eastAsia"/>
              </w:rPr>
              <w:t>2</w:t>
            </w:r>
          </w:p>
        </w:tc>
        <w:tc>
          <w:tcPr>
            <w:tcW w:w="7482" w:type="dxa"/>
            <w:tcBorders>
              <w:left w:val="single" w:sz="6" w:space="0" w:color="auto"/>
            </w:tcBorders>
            <w:vAlign w:val="center"/>
          </w:tcPr>
          <w:p>
            <w:pPr>
              <w:spacing w:beforeAutospacing="0" w:afterAutospacing="0" w:line="360" w:lineRule="auto"/>
              <w:rPr>
                <w:rFonts w:cs="Arial" w:hAnsi="宋体"/>
              </w:rPr>
            </w:pPr>
            <w:r>
              <w:rPr>
                <w:rFonts w:cs="Arial" w:hAnsi="宋体" w:hint="eastAsia"/>
              </w:rPr>
              <w:t>采购代理机构名称：海南电信规划设计院有限公司</w:t>
            </w:r>
          </w:p>
          <w:p>
            <w:pPr>
              <w:spacing w:beforeAutospacing="0" w:afterAutospacing="0" w:line="360" w:lineRule="auto"/>
              <w:rPr>
                <w:rFonts w:ascii="宋体" w:hAnsi="宋体"/>
                <w:szCs w:val="21"/>
              </w:rPr>
            </w:pPr>
            <w:r>
              <w:rPr>
                <w:rFonts w:cs="Arial" w:hAnsi="宋体" w:hint="eastAsia"/>
              </w:rPr>
              <w:t>地</w:t>
            </w:r>
            <w:r>
              <w:rPr>
                <w:rFonts w:ascii="宋体" w:hAnsi="宋体" w:hint="eastAsia"/>
                <w:szCs w:val="21"/>
              </w:rPr>
              <w:t>址：海南省海口市金盘路6号电信综合楼4楼</w:t>
            </w:r>
          </w:p>
          <w:p>
            <w:pPr>
              <w:spacing w:beforeAutospacing="0" w:afterAutospacing="0" w:line="360" w:lineRule="auto"/>
              <w:rPr>
                <w:rFonts w:ascii="宋体" w:hAnsi="宋体"/>
                <w:szCs w:val="21"/>
              </w:rPr>
            </w:pPr>
            <w:r>
              <w:rPr>
                <w:rFonts w:ascii="宋体" w:hAnsi="宋体" w:hint="eastAsia"/>
                <w:szCs w:val="21"/>
              </w:rPr>
              <w:t>联系人：符名宝</w:t>
            </w:r>
          </w:p>
          <w:p>
            <w:pPr>
              <w:spacing w:beforeAutospacing="0" w:afterAutospacing="0" w:line="360" w:lineRule="auto"/>
              <w:rPr>
                <w:rFonts w:cs="Arial" w:hAnsi="宋体"/>
              </w:rPr>
            </w:pPr>
            <w:r>
              <w:rPr>
                <w:rFonts w:ascii="宋体" w:hAnsi="宋体" w:hint="eastAsia"/>
                <w:szCs w:val="21"/>
              </w:rPr>
              <w:t>联系电话：18876788011</w:t>
            </w:r>
          </w:p>
        </w:tc>
      </w:tr>
      <w:tr>
        <w:trPr>
          <w:trHeight w:val="1397"/>
        </w:trPr>
        <w:tc>
          <w:tcPr>
            <w:tcW w:w="1134" w:type="dxa"/>
            <w:tcMar>
              <w:left w:w="108" w:type="dxa"/>
              <w:right w:w="108" w:type="dxa"/>
            </w:tcMar>
            <w:vAlign w:val="center"/>
          </w:tcPr>
          <w:p>
            <w:pPr>
              <w:widowControl/>
              <w:autoSpaceDE w:val="0"/>
              <w:autoSpaceDN w:val="0"/>
              <w:jc w:val="center"/>
              <w:textAlignment w:val="bottom"/>
              <w:rPr>
                <w:rFonts w:hAnsi="宋体"/>
              </w:rPr>
            </w:pPr>
            <w:r>
              <w:rPr>
                <w:rFonts w:hAnsi="宋体" w:hint="eastAsia"/>
              </w:rPr>
              <w:t>3</w:t>
            </w:r>
          </w:p>
        </w:tc>
        <w:tc>
          <w:tcPr>
            <w:tcW w:w="7513" w:type="dxa"/>
            <w:gridSpan w:val="2"/>
            <w:tcBorders>
              <w:left w:val="single" w:sz="6" w:space="0" w:color="auto"/>
            </w:tcBorders>
            <w:tcMar>
              <w:left w:w="108" w:type="dxa"/>
              <w:right w:w="108" w:type="dxa"/>
            </w:tcMar>
            <w:vAlign w:val="center"/>
          </w:tcPr>
          <w:p>
            <w:pPr>
              <w:rPr>
                <w:rFonts w:cs="Arial" w:hAnsi="宋体"/>
                <w:b/>
              </w:rPr>
            </w:pPr>
            <w:r>
              <w:rPr>
                <w:rFonts w:ascii="华文细黑" w:eastAsia="华文细黑" w:hAnsi="华文细黑" w:hint="eastAsia"/>
                <w:szCs w:val="21"/>
              </w:rPr>
              <w:t>★</w:t>
            </w:r>
            <w:r>
              <w:rPr>
                <w:rFonts w:cs="Arial" w:hAnsi="宋体" w:hint="eastAsia"/>
                <w:b/>
              </w:rPr>
              <w:t>供应商资格要求：</w:t>
            </w:r>
          </w:p>
          <w:p>
            <w:pPr>
              <w:pStyle w:val="32"/>
              <w:spacing w:before="0" w:beforeAutospacing="0" w:after="0" w:afterAutospacing="0" w:line="360" w:lineRule="auto"/>
              <w:ind w:firstLineChars="200" w:firstLine="420"/>
              <w:textAlignment w:val="baseline"/>
              <w:rPr>
                <w:rFonts w:cs="Times New Roman"/>
                <w:kern w:val="2"/>
                <w:sz w:val="21"/>
                <w:szCs w:val="21"/>
              </w:rPr>
            </w:pPr>
            <w:r>
              <w:rPr>
                <w:rFonts w:cs="Times New Roman" w:hint="eastAsia"/>
                <w:kern w:val="2"/>
                <w:sz w:val="21"/>
                <w:szCs w:val="21"/>
              </w:rPr>
              <w:t>（1）基本要求：满足《中华人民共和国政府采购法》第二十二条规定；</w:t>
            </w:r>
          </w:p>
          <w:p>
            <w:pPr>
              <w:pStyle w:val="32"/>
              <w:spacing w:before="0" w:beforeAutospacing="0" w:after="0" w:afterAutospacing="0" w:line="360" w:lineRule="auto"/>
              <w:ind w:firstLineChars="200" w:firstLine="420"/>
              <w:textAlignment w:val="baseline"/>
              <w:rPr>
                <w:rFonts w:cs="Times New Roman" w:hint="eastAsia"/>
                <w:kern w:val="2"/>
                <w:sz w:val="21"/>
                <w:szCs w:val="21"/>
              </w:rPr>
            </w:pPr>
            <w:r>
              <w:rPr>
                <w:rFonts w:cs="Times New Roman" w:hint="eastAsia"/>
                <w:kern w:val="2"/>
                <w:sz w:val="21"/>
                <w:szCs w:val="21"/>
              </w:rPr>
              <w:t>（2）落实政府采购政策需满足的资格要求：《政府采购促进中小企业发展管理办法》、 《财政部印发通知进一步加大政府采购支持中小企业力度》、《财政部 发展改革委生态环境部市场监管总局关于调整优化节能产品、环境标志产品政府采购执行机制的通知》、《关于促进残疾人就业政府采购政策的通知》、《财政部 司法部关于政府采购 支持监狱企业发展有关问题的通知》、《关于政府采购支持绿色建材促进建筑品质提升 试点工作的通知》、《财政部国务院扶贫办关于运用政府采购政策支持脱贫攻坚的通知》、 《海南省财政厅关于印发《海南省绿色产品政府采购实施意见（试行）》的通知》、《海南省财政厅海南省工业和信息化厅关于落实超常规举措加大对中小企业政府采购支持 的通知》等相关政府采购政策。</w:t>
            </w:r>
          </w:p>
          <w:p>
            <w:pPr>
              <w:widowControl/>
              <w:spacing w:line="360" w:lineRule="auto"/>
              <w:ind w:firstLineChars="200" w:firstLine="420"/>
              <w:jc w:val="left"/>
              <w:textAlignment w:val="baseline"/>
              <w:rPr>
                <w:rFonts w:ascii="宋体" w:hAnsi="宋体"/>
                <w:szCs w:val="21"/>
              </w:rPr>
            </w:pPr>
            <w:r>
              <w:rPr>
                <w:rFonts w:hint="eastAsia"/>
                <w:szCs w:val="21"/>
              </w:rPr>
              <w:t>（</w:t>
            </w:r>
            <w:r>
              <w:rPr>
                <w:rFonts w:ascii="宋体" w:hAnsi="宋体" w:hint="eastAsia"/>
                <w:szCs w:val="21"/>
              </w:rPr>
              <w:t>3</w:t>
            </w:r>
            <w:r>
              <w:rPr>
                <w:rFonts w:hint="eastAsia"/>
                <w:szCs w:val="21"/>
              </w:rPr>
              <w:t>）</w:t>
            </w:r>
            <w:r>
              <w:rPr>
                <w:rFonts w:ascii="宋体" w:hAnsi="宋体" w:hint="eastAsia"/>
                <w:szCs w:val="21"/>
              </w:rPr>
              <w:t>本项目的特定资格要求：</w:t>
            </w:r>
          </w:p>
          <w:p>
            <w:pPr>
              <w:widowControl/>
              <w:spacing w:line="360" w:lineRule="auto"/>
              <w:ind w:firstLine="567"/>
              <w:jc w:val="left"/>
              <w:textAlignment w:val="baseline"/>
              <w:rPr>
                <w:rFonts w:ascii="宋体" w:hAnsi="宋体"/>
                <w:szCs w:val="21"/>
              </w:rPr>
            </w:pPr>
            <w:r>
              <w:rPr>
                <w:rFonts w:ascii="宋体" w:hAnsi="宋体" w:hint="eastAsia"/>
                <w:szCs w:val="21"/>
              </w:rPr>
              <w:t xml:space="preserve">3.1、供应商必须是在中华人民共和国注册的、具有独立承担民事责任能力的法人（需提供营业执照副本、组织机构代码证、税务登记证或三证合一的营业执照，复印件加盖公章）； </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2</w:t>
            </w:r>
            <w:r>
              <w:rPr>
                <w:rFonts w:ascii="宋体" w:hAnsi="宋体" w:hint="eastAsia"/>
                <w:szCs w:val="21"/>
              </w:rPr>
              <w:t>、具有良好的商业信誉和健全的财务会计制度（提供承诺函，格式自拟）；</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3</w:t>
            </w:r>
            <w:r>
              <w:rPr>
                <w:rFonts w:ascii="宋体" w:hAnsi="宋体" w:hint="eastAsia"/>
                <w:szCs w:val="21"/>
              </w:rPr>
              <w:t>、有依法缴纳税收和社会保障资金的良好记录（提供承诺函，格式自拟）；</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4</w:t>
            </w:r>
            <w:r>
              <w:rPr>
                <w:rFonts w:ascii="宋体" w:hAnsi="宋体" w:hint="eastAsia"/>
                <w:szCs w:val="21"/>
              </w:rPr>
              <w:t xml:space="preserve">、具有履行合同所必需的设备和专业技术能力（提供承诺函，格式自拟）； </w:t>
            </w:r>
          </w:p>
          <w:p>
            <w:pPr>
              <w:widowControl/>
              <w:spacing w:line="360" w:lineRule="auto"/>
              <w:ind w:firstLine="567"/>
              <w:jc w:val="left"/>
              <w:textAlignment w:val="baseline"/>
              <w:rPr>
                <w:rFonts w:ascii="宋体" w:hAnsi="宋体" w:hint="eastAsia"/>
                <w:szCs w:val="21"/>
              </w:rPr>
            </w:pPr>
            <w:r>
              <w:rPr>
                <w:rFonts w:ascii="宋体" w:hAnsi="宋体" w:hint="eastAsia"/>
                <w:szCs w:val="21"/>
              </w:rPr>
              <w:t>3.</w:t>
            </w:r>
            <w:r>
              <w:rPr>
                <w:rFonts w:ascii="宋体" w:hAnsi="宋体"/>
                <w:szCs w:val="21"/>
              </w:rPr>
              <w:t>5</w:t>
            </w:r>
            <w:r>
              <w:rPr>
                <w:rFonts w:ascii="宋体" w:hAnsi="宋体" w:hint="eastAsia"/>
                <w:szCs w:val="21"/>
              </w:rPr>
              <w:t>、供应商需提供参加投标活动前三年内，在经营活动中没有重大违法记录的声明（提供声明函）；</w:t>
            </w:r>
          </w:p>
          <w:p>
            <w:pPr>
              <w:widowControl/>
              <w:spacing w:line="360" w:lineRule="auto"/>
              <w:ind w:firstLine="567"/>
              <w:jc w:val="left"/>
              <w:textAlignment w:val="baseline"/>
              <w:rPr>
                <w:rFonts w:ascii="宋体" w:eastAsia="宋体" w:hAnsi="宋体" w:hint="eastAsia"/>
                <w:szCs w:val="21"/>
                <w:lang w:eastAsia="zh-CN"/>
              </w:rPr>
            </w:pPr>
            <w:r>
              <w:rPr>
                <w:rFonts w:ascii="宋体" w:hAnsi="宋体" w:hint="eastAsia"/>
                <w:szCs w:val="21"/>
              </w:rPr>
              <w:t>3.</w:t>
            </w:r>
            <w:r>
              <w:rPr>
                <w:rFonts w:ascii="宋体" w:hAnsi="宋体"/>
                <w:szCs w:val="21"/>
              </w:rPr>
              <w:t>6</w:t>
            </w:r>
            <w:r>
              <w:rPr>
                <w:rFonts w:ascii="宋体" w:hAnsi="宋体" w:hint="eastAsia"/>
                <w:szCs w:val="21"/>
              </w:rPr>
              <w:t>、参加政府采购活动前三年内，在经营活动中无环保类行政处罚记录（提供声明函）</w:t>
            </w:r>
            <w:r>
              <w:rPr>
                <w:rFonts w:ascii="宋体" w:hAnsi="宋体" w:hint="eastAsia"/>
                <w:szCs w:val="21"/>
                <w:lang w:eastAsia="zh-CN"/>
              </w:rPr>
              <w:t>；</w:t>
            </w:r>
          </w:p>
          <w:p>
            <w:pPr>
              <w:widowControl/>
              <w:spacing w:line="360" w:lineRule="auto"/>
              <w:ind w:firstLine="567"/>
              <w:jc w:val="left"/>
              <w:textAlignment w:val="baseline"/>
              <w:rPr>
                <w:rFonts w:ascii="宋体" w:hAnsi="宋体"/>
                <w:szCs w:val="21"/>
              </w:rPr>
            </w:pPr>
            <w:r>
              <w:rPr>
                <w:rFonts w:ascii="宋体" w:hAnsi="宋体" w:hint="eastAsia"/>
                <w:szCs w:val="21"/>
              </w:rPr>
              <w:t>3.</w:t>
            </w:r>
            <w:r>
              <w:rPr>
                <w:rFonts w:ascii="宋体" w:hAnsi="宋体"/>
                <w:szCs w:val="21"/>
              </w:rPr>
              <w:t>7</w:t>
            </w:r>
            <w:r>
              <w:rPr>
                <w:rFonts w:ascii="宋体" w:hAnsi="宋体" w:hint="eastAsia"/>
                <w:szCs w:val="21"/>
              </w:rPr>
              <w:t>、在“信用中国”网站（www.creditchina.gov.cn）、中国政府采购网（www.ccgp.gov.cn）没有列入失信被执行人、重大税收违法案件当事人名单、政府采购严重违法失信行为记录名单的供应商。（查询日期须</w:t>
            </w:r>
            <w:r>
              <w:rPr>
                <w:rFonts w:cs="仿宋_GB2312" w:hint="eastAsia"/>
              </w:rPr>
              <w:t>为本项目采购公告发布之后日期）。</w:t>
            </w:r>
            <w:r>
              <w:rPr>
                <w:rFonts w:cs="仿宋_GB2312"/>
              </w:rPr>
              <w:t>或</w:t>
            </w:r>
            <w:r>
              <w:rPr>
                <w:rFonts w:cs="仿宋_GB2312" w:hint="eastAsia"/>
              </w:rPr>
              <w:t>提供承诺函（格式自拟，供应商承诺函不实的，将依照有关法律法规追究法律责任）</w:t>
            </w:r>
            <w:r>
              <w:rPr>
                <w:rFonts w:ascii="宋体" w:hAnsi="宋体" w:hint="eastAsia"/>
                <w:szCs w:val="21"/>
              </w:rPr>
              <w:t>；</w:t>
            </w:r>
          </w:p>
          <w:p>
            <w:pPr>
              <w:widowControl/>
              <w:spacing w:line="360" w:lineRule="auto"/>
              <w:ind w:left="0" w:firstLineChars="250" w:firstLine="525"/>
              <w:jc w:val="left"/>
              <w:textAlignment w:val="baseline"/>
              <w:rPr>
                <w:rFonts w:ascii="宋体" w:hAnsi="宋体"/>
                <w:szCs w:val="21"/>
              </w:rPr>
            </w:pPr>
            <w:r>
              <w:rPr>
                <w:rFonts w:ascii="宋体" w:hAnsi="宋体" w:hint="eastAsia"/>
                <w:szCs w:val="21"/>
              </w:rPr>
              <w:t>3.</w:t>
            </w:r>
            <w:r>
              <w:rPr>
                <w:rFonts w:ascii="宋体" w:hAnsi="宋体"/>
                <w:szCs w:val="21"/>
              </w:rPr>
              <w:t>8</w:t>
            </w:r>
            <w:r>
              <w:rPr>
                <w:rFonts w:ascii="宋体" w:hAnsi="宋体" w:hint="eastAsia"/>
                <w:szCs w:val="21"/>
              </w:rPr>
              <w:t>、</w:t>
            </w:r>
            <w:r>
              <w:t>具备法律、行政法规规定的其他条件（提供承诺函）</w:t>
            </w:r>
            <w:r>
              <w:rPr>
                <w:rFonts w:hint="eastAsia"/>
                <w:lang w:eastAsia="zh-CN"/>
              </w:rPr>
              <w:t>。</w:t>
            </w:r>
          </w:p>
        </w:tc>
      </w:tr>
      <w:tr>
        <w:trPr>
          <w:trHeight w:val="548"/>
        </w:trPr>
        <w:tc>
          <w:tcPr>
            <w:tcW w:w="1134" w:type="dxa"/>
            <w:tcMar>
              <w:left w:w="108" w:type="dxa"/>
              <w:right w:w="108" w:type="dxa"/>
            </w:tcMar>
            <w:vAlign w:val="center"/>
          </w:tcPr>
          <w:p>
            <w:pPr>
              <w:widowControl/>
              <w:autoSpaceDE w:val="0"/>
              <w:autoSpaceDN w:val="0"/>
              <w:jc w:val="center"/>
              <w:textAlignment w:val="bottom"/>
              <w:rPr>
                <w:rFonts w:hAnsi="宋体"/>
                <w:b/>
              </w:rPr>
            </w:pPr>
            <w:r>
              <w:rPr>
                <w:rFonts w:hAnsi="宋体" w:hint="eastAsia"/>
                <w:b/>
              </w:rPr>
              <w:t>4</w:t>
            </w:r>
          </w:p>
        </w:tc>
        <w:tc>
          <w:tcPr>
            <w:tcW w:w="7513" w:type="dxa"/>
            <w:gridSpan w:val="2"/>
            <w:tcBorders>
              <w:left w:val="single" w:sz="6" w:space="0" w:color="auto"/>
            </w:tcBorders>
            <w:tcMar>
              <w:left w:w="108" w:type="dxa"/>
              <w:right w:w="108" w:type="dxa"/>
            </w:tcMar>
            <w:vAlign w:val="center"/>
          </w:tcPr>
          <w:p>
            <w:pPr>
              <w:tabs>
                <w:tab w:val="left" w:pos="8640"/>
              </w:tabs>
              <w:rPr>
                <w:rFonts w:cs="Arial" w:hAnsi="宋体"/>
              </w:rPr>
            </w:pPr>
            <w:r>
              <w:rPr>
                <w:rFonts w:cs="Arial" w:hAnsi="宋体" w:hint="eastAsia"/>
              </w:rPr>
              <w:t>磋商文件的澄清：响应截止时间5日前以书面形式通知</w:t>
            </w:r>
          </w:p>
        </w:tc>
      </w:tr>
      <w:tr>
        <w:trPr>
          <w:trHeight w:val="685"/>
        </w:trPr>
        <w:tc>
          <w:tcPr>
            <w:tcW w:w="1134" w:type="dxa"/>
            <w:tcMar>
              <w:left w:w="108" w:type="dxa"/>
              <w:right w:w="108" w:type="dxa"/>
            </w:tcMar>
            <w:vAlign w:val="center"/>
          </w:tcPr>
          <w:p>
            <w:pPr>
              <w:widowControl/>
              <w:autoSpaceDE w:val="0"/>
              <w:autoSpaceDN w:val="0"/>
              <w:jc w:val="center"/>
              <w:textAlignment w:val="bottom"/>
              <w:rPr>
                <w:rFonts w:hAnsi="宋体"/>
                <w:b/>
              </w:rPr>
            </w:pPr>
            <w:r>
              <w:rPr>
                <w:rFonts w:hAnsi="宋体" w:hint="eastAsia"/>
                <w:b/>
              </w:rPr>
              <w:t>5</w:t>
            </w:r>
          </w:p>
        </w:tc>
        <w:tc>
          <w:tcPr>
            <w:tcW w:w="7513" w:type="dxa"/>
            <w:gridSpan w:val="2"/>
            <w:tcBorders>
              <w:left w:val="single" w:sz="6" w:space="0" w:color="auto"/>
            </w:tcBorders>
            <w:tcMar>
              <w:left w:w="108" w:type="dxa"/>
              <w:right w:w="108" w:type="dxa"/>
            </w:tcMar>
            <w:vAlign w:val="center"/>
          </w:tcPr>
          <w:p>
            <w:pPr>
              <w:ind w:leftChars="-4" w:left="-8" w:firstLineChars="3" w:firstLine="6"/>
              <w:rPr>
                <w:rFonts w:cs="Arial" w:hAnsi="宋体"/>
              </w:rPr>
            </w:pPr>
            <w:r>
              <w:rPr>
                <w:rFonts w:cs="Arial" w:hAnsi="宋体" w:hint="eastAsia"/>
              </w:rPr>
              <w:t>磋商文件的修改：响应截止时间5日前以书面形式通知</w:t>
            </w:r>
          </w:p>
        </w:tc>
      </w:tr>
      <w:tr>
        <w:trPr>
          <w:trHeight w:val="567"/>
        </w:trPr>
        <w:tc>
          <w:tcPr>
            <w:tcW w:w="1134" w:type="dxa"/>
            <w:tcMar>
              <w:left w:w="108" w:type="dxa"/>
              <w:right w:w="108" w:type="dxa"/>
            </w:tcMar>
            <w:vAlign w:val="center"/>
          </w:tcPr>
          <w:p>
            <w:pPr>
              <w:widowControl/>
              <w:autoSpaceDE w:val="0"/>
              <w:autoSpaceDN w:val="0"/>
              <w:jc w:val="center"/>
              <w:textAlignment w:val="bottom"/>
              <w:rPr>
                <w:rFonts w:hAnsi="宋体"/>
                <w:b/>
              </w:rPr>
            </w:pPr>
            <w:r>
              <w:rPr>
                <w:rFonts w:hAnsi="宋体"/>
                <w:b/>
              </w:rPr>
              <w:t>6</w:t>
            </w:r>
          </w:p>
        </w:tc>
        <w:tc>
          <w:tcPr>
            <w:tcW w:w="7513" w:type="dxa"/>
            <w:gridSpan w:val="2"/>
            <w:tcBorders>
              <w:left w:val="single" w:sz="6" w:space="0" w:color="auto"/>
            </w:tcBorders>
            <w:tcMar>
              <w:left w:w="108" w:type="dxa"/>
              <w:right w:w="108" w:type="dxa"/>
            </w:tcMar>
            <w:vAlign w:val="center"/>
          </w:tcPr>
          <w:p>
            <w:pPr>
              <w:spacing w:line="276" w:lineRule="auto"/>
              <w:rPr>
                <w:szCs w:val="21"/>
              </w:rPr>
            </w:pPr>
            <w:r>
              <w:rPr>
                <w:rFonts w:hint="eastAsia"/>
                <w:szCs w:val="21"/>
              </w:rPr>
              <w:t>是否接受联合体：</w:t>
            </w:r>
            <w:r>
              <w:rPr>
                <w:szCs w:val="21"/>
              </w:rPr>
              <w:t>不</w:t>
            </w:r>
            <w:r>
              <w:rPr>
                <w:rFonts w:hint="eastAsia"/>
                <w:szCs w:val="21"/>
              </w:rPr>
              <w:t>接受</w:t>
            </w:r>
          </w:p>
        </w:tc>
      </w:tr>
      <w:tr>
        <w:trPr>
          <w:trHeight w:val="527"/>
        </w:trPr>
        <w:tc>
          <w:tcPr>
            <w:tcW w:w="1134" w:type="dxa"/>
            <w:tcMar>
              <w:left w:w="108" w:type="dxa"/>
              <w:right w:w="108" w:type="dxa"/>
            </w:tcMar>
            <w:vAlign w:val="center"/>
          </w:tcPr>
          <w:p>
            <w:pPr>
              <w:widowControl/>
              <w:autoSpaceDE w:val="0"/>
              <w:autoSpaceDN w:val="0"/>
              <w:jc w:val="center"/>
              <w:textAlignment w:val="bottom"/>
              <w:rPr>
                <w:rFonts w:hAnsi="宋体"/>
                <w:b/>
              </w:rPr>
            </w:pPr>
            <w:r>
              <w:rPr>
                <w:rFonts w:hAnsi="宋体"/>
                <w:b/>
              </w:rPr>
              <w:t>7</w:t>
            </w:r>
          </w:p>
        </w:tc>
        <w:tc>
          <w:tcPr>
            <w:tcW w:w="7513" w:type="dxa"/>
            <w:gridSpan w:val="2"/>
            <w:tcBorders>
              <w:left w:val="single" w:sz="6" w:space="0" w:color="auto"/>
            </w:tcBorders>
            <w:tcMar>
              <w:left w:w="108" w:type="dxa"/>
              <w:right w:w="108" w:type="dxa"/>
            </w:tcMar>
            <w:vAlign w:val="center"/>
          </w:tcPr>
          <w:p>
            <w:pPr>
              <w:widowControl/>
              <w:autoSpaceDE w:val="0"/>
              <w:autoSpaceDN w:val="0"/>
              <w:textAlignment w:val="bottom"/>
              <w:rPr>
                <w:rFonts w:hAnsi="宋体"/>
              </w:rPr>
            </w:pPr>
            <w:r>
              <w:rPr>
                <w:rFonts w:hAnsi="宋体" w:hint="eastAsia"/>
              </w:rPr>
              <w:t>响应备选方案：不接受</w:t>
            </w:r>
          </w:p>
        </w:tc>
      </w:tr>
      <w:tr>
        <w:trPr>
          <w:trHeight w:val="607"/>
        </w:trPr>
        <w:tc>
          <w:tcPr>
            <w:tcW w:w="1134" w:type="dxa"/>
            <w:tcMar>
              <w:left w:w="108" w:type="dxa"/>
              <w:right w:w="108" w:type="dxa"/>
            </w:tcMar>
            <w:vAlign w:val="center"/>
          </w:tcPr>
          <w:p>
            <w:pPr>
              <w:jc w:val="center"/>
              <w:rPr>
                <w:rFonts w:hAnsi="宋体"/>
                <w:b/>
              </w:rPr>
            </w:pPr>
            <w:r>
              <w:rPr>
                <w:rFonts w:hAnsi="宋体"/>
                <w:b/>
              </w:rPr>
              <w:t>8</w:t>
            </w:r>
          </w:p>
        </w:tc>
        <w:tc>
          <w:tcPr>
            <w:tcW w:w="7513" w:type="dxa"/>
            <w:gridSpan w:val="2"/>
            <w:tcBorders>
              <w:left w:val="single" w:sz="6" w:space="0" w:color="auto"/>
            </w:tcBorders>
            <w:tcMar>
              <w:left w:w="108" w:type="dxa"/>
              <w:right w:w="108" w:type="dxa"/>
            </w:tcMar>
            <w:vAlign w:val="center"/>
          </w:tcPr>
          <w:p>
            <w:pPr>
              <w:snapToGrid w:val="0"/>
              <w:spacing w:beforeLines="50" w:before="156" w:line="276" w:lineRule="auto"/>
              <w:rPr>
                <w:szCs w:val="21"/>
              </w:rPr>
            </w:pPr>
            <w:r>
              <w:rPr>
                <w:rFonts w:hint="eastAsia"/>
                <w:b/>
                <w:sz w:val="21"/>
                <w:szCs w:val="21"/>
              </w:rPr>
              <w:fldChar w:fldCharType="begin"/>
            </w:r>
            <w:r>
              <w:rPr>
                <w:rFonts w:hint="eastAsia"/>
                <w:b/>
                <w:sz w:val="21"/>
                <w:szCs w:val="21"/>
              </w:rPr>
              <w:instrText>eq \o\ac(</w:instrText>
            </w:r>
            <w:r>
              <w:rPr>
                <w:rFonts w:hint="eastAsia"/>
                <w:b/>
                <w:position w:val="0"/>
                <w:sz w:val="21"/>
                <w:szCs w:val="21"/>
              </w:rPr>
              <w:instrText>□</w:instrText>
            </w:r>
            <w:r>
              <w:rPr>
                <w:rFonts w:hint="eastAsia"/>
                <w:b/>
                <w:sz w:val="21"/>
                <w:szCs w:val="21"/>
              </w:rPr>
              <w:instrText>,√)</w:instrText>
            </w:r>
            <w:r>
              <w:rPr>
                <w:rFonts w:hint="eastAsia"/>
                <w:b/>
                <w:sz w:val="21"/>
                <w:szCs w:val="21"/>
              </w:rPr>
              <w:fldChar w:fldCharType="end"/>
            </w:r>
            <w:r>
              <w:rPr>
                <w:szCs w:val="21"/>
              </w:rPr>
              <w:t>不需要提交磋商保证金</w:t>
            </w:r>
          </w:p>
          <w:p>
            <w:pPr>
              <w:snapToGrid w:val="0"/>
              <w:spacing w:line="276" w:lineRule="auto"/>
              <w:rPr>
                <w:szCs w:val="21"/>
              </w:rPr>
            </w:pPr>
            <w:r>
              <w:rPr>
                <w:szCs w:val="21"/>
              </w:rPr>
              <w:t>□需要提交磋商保证金</w:t>
            </w:r>
          </w:p>
          <w:p>
            <w:pPr>
              <w:snapToGrid w:val="0"/>
              <w:spacing w:line="276" w:lineRule="auto"/>
              <w:rPr>
                <w:szCs w:val="21"/>
              </w:rPr>
            </w:pPr>
            <w:r>
              <w:rPr>
                <w:szCs w:val="21"/>
              </w:rPr>
              <w:t>1、</w:t>
            </w:r>
            <w:r>
              <w:rPr>
                <w:szCs w:val="21"/>
                <w:highlight w:val="none"/>
              </w:rPr>
              <w:t>磋商保证金金额：</w:t>
            </w:r>
            <w:r>
              <w:rPr>
                <w:szCs w:val="21"/>
              </w:rPr>
              <w:t>人民币整（￥）</w:t>
            </w:r>
          </w:p>
          <w:p>
            <w:pPr>
              <w:snapToGrid w:val="0"/>
              <w:spacing w:line="276" w:lineRule="auto"/>
              <w:rPr>
                <w:szCs w:val="21"/>
              </w:rPr>
            </w:pPr>
            <w:r>
              <w:rPr>
                <w:szCs w:val="21"/>
              </w:rPr>
              <w:t>2、磋商保证金到账时间：同开标时间</w:t>
            </w:r>
          </w:p>
          <w:p>
            <w:pPr>
              <w:snapToGrid w:val="0"/>
              <w:spacing w:line="276" w:lineRule="auto"/>
              <w:rPr>
                <w:szCs w:val="21"/>
              </w:rPr>
            </w:pPr>
            <w:r>
              <w:rPr>
                <w:szCs w:val="21"/>
              </w:rPr>
              <w:t>3、磋商保证金缴纳方式：</w:t>
            </w:r>
            <w:r>
              <w:rPr>
                <w:rFonts w:cs="仿宋_GB2312" w:hint="eastAsia"/>
                <w:bCs/>
                <w:sz w:val="21"/>
                <w:szCs w:val="21"/>
              </w:rPr>
              <w:fldChar w:fldCharType="begin"/>
            </w:r>
            <w:r>
              <w:rPr>
                <w:rFonts w:cs="仿宋_GB2312" w:hint="eastAsia"/>
                <w:bCs/>
                <w:sz w:val="21"/>
                <w:szCs w:val="21"/>
              </w:rPr>
              <w:instrText>eq \o\ac(</w:instrText>
            </w:r>
            <w:r>
              <w:rPr>
                <w:rFonts w:cs="仿宋_GB2312" w:hint="eastAsia"/>
                <w:bCs/>
                <w:position w:val="0"/>
                <w:sz w:val="21"/>
                <w:szCs w:val="21"/>
              </w:rPr>
              <w:instrText>□</w:instrText>
            </w:r>
            <w:r>
              <w:rPr>
                <w:rFonts w:cs="仿宋_GB2312" w:hint="eastAsia"/>
                <w:bCs/>
                <w:sz w:val="21"/>
                <w:szCs w:val="21"/>
              </w:rPr>
              <w:instrText>,√)</w:instrText>
            </w:r>
            <w:r>
              <w:rPr>
                <w:rFonts w:cs="仿宋_GB2312" w:hint="eastAsia"/>
                <w:bCs/>
                <w:sz w:val="21"/>
                <w:szCs w:val="21"/>
              </w:rPr>
              <w:fldChar w:fldCharType="end"/>
            </w:r>
            <w:r>
              <w:rPr>
                <w:szCs w:val="21"/>
              </w:rPr>
              <w:t xml:space="preserve">保函   </w:t>
            </w:r>
            <w:r>
              <w:rPr>
                <w:rFonts w:cs="仿宋_GB2312" w:hint="eastAsia"/>
                <w:bCs/>
                <w:sz w:val="21"/>
                <w:szCs w:val="21"/>
              </w:rPr>
              <w:fldChar w:fldCharType="begin"/>
            </w:r>
            <w:r>
              <w:rPr>
                <w:rFonts w:cs="仿宋_GB2312" w:hint="eastAsia"/>
                <w:bCs/>
                <w:sz w:val="21"/>
                <w:szCs w:val="21"/>
              </w:rPr>
              <w:instrText>eq \o\ac(</w:instrText>
            </w:r>
            <w:r>
              <w:rPr>
                <w:rFonts w:cs="仿宋_GB2312" w:hint="eastAsia"/>
                <w:bCs/>
                <w:position w:val="0"/>
                <w:sz w:val="21"/>
                <w:szCs w:val="21"/>
              </w:rPr>
              <w:instrText>□</w:instrText>
            </w:r>
            <w:r>
              <w:rPr>
                <w:rFonts w:cs="仿宋_GB2312" w:hint="eastAsia"/>
                <w:bCs/>
                <w:sz w:val="21"/>
                <w:szCs w:val="21"/>
              </w:rPr>
              <w:instrText>,√)</w:instrText>
            </w:r>
            <w:r>
              <w:rPr>
                <w:rFonts w:cs="仿宋_GB2312" w:hint="eastAsia"/>
                <w:bCs/>
                <w:sz w:val="21"/>
                <w:szCs w:val="21"/>
              </w:rPr>
              <w:fldChar w:fldCharType="end"/>
            </w:r>
            <w:r>
              <w:rPr>
                <w:szCs w:val="21"/>
              </w:rPr>
              <w:t xml:space="preserve">支票  </w:t>
            </w:r>
            <w:r>
              <w:rPr>
                <w:rFonts w:cs="仿宋_GB2312" w:hint="eastAsia"/>
                <w:bCs/>
                <w:sz w:val="21"/>
                <w:szCs w:val="21"/>
              </w:rPr>
              <w:fldChar w:fldCharType="begin"/>
            </w:r>
            <w:r>
              <w:rPr>
                <w:rFonts w:cs="仿宋_GB2312" w:hint="eastAsia"/>
                <w:bCs/>
                <w:sz w:val="21"/>
                <w:szCs w:val="21"/>
              </w:rPr>
              <w:instrText>eq \o\ac(</w:instrText>
            </w:r>
            <w:r>
              <w:rPr>
                <w:rFonts w:cs="仿宋_GB2312" w:hint="eastAsia"/>
                <w:bCs/>
                <w:position w:val="0"/>
                <w:sz w:val="21"/>
                <w:szCs w:val="21"/>
              </w:rPr>
              <w:instrText>□</w:instrText>
            </w:r>
            <w:r>
              <w:rPr>
                <w:rFonts w:cs="仿宋_GB2312" w:hint="eastAsia"/>
                <w:bCs/>
                <w:sz w:val="21"/>
                <w:szCs w:val="21"/>
              </w:rPr>
              <w:instrText>,√)</w:instrText>
            </w:r>
            <w:r>
              <w:rPr>
                <w:rFonts w:cs="仿宋_GB2312" w:hint="eastAsia"/>
                <w:bCs/>
                <w:sz w:val="21"/>
                <w:szCs w:val="21"/>
              </w:rPr>
              <w:fldChar w:fldCharType="end"/>
            </w:r>
            <w:r>
              <w:rPr>
                <w:szCs w:val="21"/>
              </w:rPr>
              <w:t>转账  □其他</w:t>
            </w:r>
          </w:p>
          <w:p>
            <w:pPr>
              <w:snapToGrid w:val="0"/>
              <w:spacing w:line="276" w:lineRule="auto"/>
              <w:rPr>
                <w:szCs w:val="21"/>
              </w:rPr>
            </w:pPr>
            <w:r>
              <w:rPr>
                <w:rFonts w:hint="eastAsia"/>
                <w:szCs w:val="21"/>
              </w:rPr>
              <w:t>（备注：如采用银行保函或建设工程投标保证保险形式的，请在开标现场将保函或保证保险原件递交给工作人员。保函或保证保险相关内容不得背离招标文件约定的实质性内容，出具保函或保证保险的银行和保险公司须为中国境内注册的合法有效机构</w:t>
            </w:r>
            <w:r>
              <w:rPr>
                <w:szCs w:val="21"/>
              </w:rPr>
              <w:t xml:space="preserve"> )</w:t>
            </w:r>
          </w:p>
          <w:p>
            <w:pPr>
              <w:snapToGrid w:val="0"/>
              <w:spacing w:line="276" w:lineRule="auto"/>
              <w:rPr>
                <w:szCs w:val="21"/>
              </w:rPr>
            </w:pPr>
            <w:r>
              <w:rPr>
                <w:szCs w:val="21"/>
              </w:rPr>
              <w:t>保证金收款人银行信息：</w:t>
            </w:r>
          </w:p>
          <w:p>
            <w:pPr>
              <w:snapToGrid w:val="0"/>
              <w:spacing w:line="276" w:lineRule="auto"/>
              <w:rPr>
                <w:szCs w:val="21"/>
              </w:rPr>
            </w:pPr>
            <w:r>
              <w:rPr>
                <w:szCs w:val="21"/>
              </w:rPr>
              <w:t>户  名：海南电信规划设计院有限公司</w:t>
            </w:r>
          </w:p>
          <w:p>
            <w:pPr>
              <w:pStyle w:val="87"/>
              <w:spacing w:line="360" w:lineRule="auto"/>
              <w:ind w:firstLineChars="300" w:firstLine="630"/>
              <w:rPr>
                <w:rFonts w:ascii="Times New Roman" w:eastAsia="宋体" w:hAnsi="宋体"/>
                <w:color w:val="auto"/>
                <w:kern w:val="2"/>
                <w:sz w:val="21"/>
                <w:szCs w:val="21"/>
              </w:rPr>
            </w:pPr>
            <w:r>
              <w:rPr>
                <w:rFonts w:ascii="Times New Roman" w:eastAsia="宋体" w:hAnsi="宋体" w:hint="eastAsia"/>
                <w:color w:val="auto"/>
                <w:kern w:val="2"/>
                <w:sz w:val="21"/>
                <w:szCs w:val="21"/>
              </w:rPr>
              <w:t>开户银行：</w:t>
            </w:r>
            <w:r>
              <w:rPr>
                <w:rFonts w:ascii="Times New Roman" w:eastAsia="宋体" w:hAnsi="宋体"/>
                <w:color w:val="auto"/>
                <w:kern w:val="2"/>
                <w:sz w:val="21"/>
                <w:szCs w:val="21"/>
              </w:rPr>
              <w:t>中国邮政储蓄银行股份有限公司海口市蓝天路支行</w:t>
            </w:r>
          </w:p>
          <w:p>
            <w:pPr>
              <w:pStyle w:val="87"/>
              <w:spacing w:line="360" w:lineRule="auto"/>
              <w:rPr>
                <w:rFonts w:ascii="Times New Roman" w:eastAsia="宋体" w:hAnsi="宋体"/>
                <w:color w:val="auto"/>
                <w:kern w:val="2"/>
                <w:sz w:val="21"/>
                <w:szCs w:val="21"/>
              </w:rPr>
            </w:pPr>
            <w:r>
              <w:rPr>
                <w:rFonts w:ascii="Times New Roman" w:eastAsia="宋体" w:hAnsi="宋体" w:hint="eastAsia"/>
                <w:color w:val="auto"/>
                <w:kern w:val="2"/>
                <w:sz w:val="21"/>
                <w:szCs w:val="21"/>
              </w:rPr>
              <w:t xml:space="preserve">      帐    号：</w:t>
            </w:r>
            <w:r>
              <w:rPr>
                <w:rFonts w:ascii="Times New Roman" w:eastAsia="宋体" w:hAnsi="宋体"/>
                <w:color w:val="auto"/>
                <w:kern w:val="2"/>
                <w:sz w:val="21"/>
                <w:szCs w:val="21"/>
              </w:rPr>
              <w:t>946017013000052069</w:t>
            </w:r>
          </w:p>
          <w:p>
            <w:pPr>
              <w:snapToGrid w:val="0"/>
              <w:spacing w:line="276" w:lineRule="auto"/>
              <w:rPr>
                <w:szCs w:val="21"/>
              </w:rPr>
            </w:pPr>
            <w:r>
              <w:rPr>
                <w:szCs w:val="21"/>
              </w:rPr>
              <w:t>4、保证金退还方式：原路退回</w:t>
            </w:r>
          </w:p>
          <w:p>
            <w:pPr>
              <w:widowControl/>
              <w:tabs>
                <w:tab w:val="left" w:pos="6054"/>
              </w:tabs>
              <w:autoSpaceDE w:val="0"/>
              <w:autoSpaceDN w:val="0"/>
              <w:ind w:left="2835" w:hangingChars="1350" w:hanging="2835"/>
              <w:textAlignment w:val="bottom"/>
            </w:pPr>
            <w:r>
              <w:rPr>
                <w:szCs w:val="21"/>
              </w:rPr>
              <w:t>5、保证金退还咨询电话：</w:t>
            </w:r>
            <w:r>
              <w:rPr>
                <w:rFonts w:hint="eastAsia"/>
                <w:szCs w:val="21"/>
              </w:rPr>
              <w:t>18876788011</w:t>
            </w:r>
          </w:p>
        </w:tc>
      </w:tr>
      <w:tr>
        <w:trPr>
          <w:trHeight w:val="685"/>
        </w:trPr>
        <w:tc>
          <w:tcPr>
            <w:tcW w:w="1134" w:type="dxa"/>
            <w:tcMar>
              <w:left w:w="108" w:type="dxa"/>
              <w:right w:w="108" w:type="dxa"/>
            </w:tcMar>
            <w:vAlign w:val="center"/>
          </w:tcPr>
          <w:p>
            <w:pPr>
              <w:jc w:val="center"/>
              <w:rPr>
                <w:rFonts w:hAnsi="宋体"/>
                <w:b/>
              </w:rPr>
            </w:pPr>
            <w:r>
              <w:rPr>
                <w:rFonts w:hAnsi="宋体"/>
                <w:b/>
              </w:rPr>
              <w:t>9</w:t>
            </w:r>
          </w:p>
        </w:tc>
        <w:tc>
          <w:tcPr>
            <w:tcW w:w="7513" w:type="dxa"/>
            <w:gridSpan w:val="2"/>
            <w:tcBorders>
              <w:left w:val="single" w:sz="6" w:space="0" w:color="auto"/>
            </w:tcBorders>
            <w:tcMar>
              <w:left w:w="108" w:type="dxa"/>
              <w:right w:w="108" w:type="dxa"/>
            </w:tcMar>
            <w:vAlign w:val="center"/>
          </w:tcPr>
          <w:p>
            <w:pPr>
              <w:widowControl/>
              <w:autoSpaceDE w:val="0"/>
              <w:autoSpaceDN w:val="0"/>
              <w:textAlignment w:val="bottom"/>
              <w:rPr>
                <w:rFonts w:hAnsi="宋体"/>
              </w:rPr>
            </w:pPr>
            <w:r>
              <w:rPr>
                <w:rFonts w:hAnsi="宋体" w:hint="eastAsia"/>
              </w:rPr>
              <w:t>响应有效期：自响应文件递交截止日起</w:t>
            </w:r>
            <w:r>
              <w:rPr>
                <w:rFonts w:hAnsi="宋体"/>
                <w:b/>
              </w:rPr>
              <w:t>60</w:t>
            </w:r>
            <w:r>
              <w:rPr>
                <w:rFonts w:hAnsi="宋体" w:hint="eastAsia"/>
              </w:rPr>
              <w:t>天</w:t>
            </w:r>
          </w:p>
        </w:tc>
      </w:tr>
      <w:tr>
        <w:trPr>
          <w:trHeight w:val="1090"/>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0</w:t>
            </w:r>
          </w:p>
        </w:tc>
        <w:tc>
          <w:tcPr>
            <w:tcW w:w="7513" w:type="dxa"/>
            <w:gridSpan w:val="2"/>
            <w:tcBorders>
              <w:left w:val="single" w:sz="6" w:space="0" w:color="auto"/>
            </w:tcBorders>
            <w:tcMar>
              <w:left w:w="108" w:type="dxa"/>
              <w:right w:w="108" w:type="dxa"/>
            </w:tcMar>
            <w:vAlign w:val="center"/>
          </w:tcPr>
          <w:p>
            <w:pPr>
              <w:widowControl/>
              <w:autoSpaceDE w:val="0"/>
              <w:autoSpaceDN w:val="0"/>
              <w:textAlignment w:val="bottom"/>
              <w:rPr>
                <w:rFonts w:hAnsi="宋体" w:hint="eastAsia"/>
              </w:rPr>
            </w:pPr>
            <w:r>
              <w:rPr>
                <w:rFonts w:hAnsi="宋体" w:hint="eastAsia"/>
              </w:rPr>
              <w:t>响应文件份数：</w:t>
            </w:r>
            <w:r>
              <w:rPr>
                <w:rFonts w:hAnsi="宋体"/>
              </w:rPr>
              <w:t>每个标包</w:t>
            </w:r>
            <w:r>
              <w:rPr>
                <w:rFonts w:hAnsi="宋体" w:hint="eastAsia"/>
              </w:rPr>
              <w:t>正本一份，副本一份，可读取的电子文档一份（U盘）。</w:t>
            </w:r>
          </w:p>
          <w:p>
            <w:pPr>
              <w:widowControl/>
              <w:autoSpaceDE w:val="0"/>
              <w:autoSpaceDN w:val="0"/>
              <w:textAlignment w:val="bottom"/>
              <w:rPr>
                <w:rFonts w:hAnsi="宋体"/>
              </w:rPr>
            </w:pPr>
            <w:r>
              <w:rPr>
                <w:rFonts w:hAnsi="宋体" w:hint="eastAsia"/>
              </w:rPr>
              <w:t>供应商提供的可读取的响应文件电子文档（U盘），内容包括响应文件的所有内容，文件格式仅限*.doc，*.xls,*.ppt，*pdf。</w:t>
            </w:r>
          </w:p>
        </w:tc>
      </w:tr>
      <w:tr>
        <w:trPr>
          <w:trHeight w:val="620"/>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1</w:t>
            </w:r>
          </w:p>
        </w:tc>
        <w:tc>
          <w:tcPr>
            <w:tcW w:w="7513" w:type="dxa"/>
            <w:gridSpan w:val="2"/>
            <w:tcBorders>
              <w:left w:val="single" w:sz="6" w:space="0" w:color="auto"/>
            </w:tcBorders>
            <w:tcMar>
              <w:left w:w="108" w:type="dxa"/>
              <w:right w:w="108" w:type="dxa"/>
            </w:tcMar>
            <w:vAlign w:val="center"/>
          </w:tcPr>
          <w:p>
            <w:pPr>
              <w:spacing w:line="360" w:lineRule="auto"/>
              <w:jc w:val="left"/>
              <w:rPr>
                <w:rFonts w:ascii="宋体" w:hAnsi="宋体"/>
                <w:szCs w:val="21"/>
              </w:rPr>
            </w:pPr>
            <w:r>
              <w:rPr>
                <w:rFonts w:ascii="宋体" w:hAnsi="宋体" w:hint="eastAsia"/>
                <w:szCs w:val="21"/>
              </w:rPr>
              <w:t>响应文件的签署及盖章：</w:t>
            </w:r>
          </w:p>
          <w:tbl>
            <w:tblPr>
              <w:jc w:val="center"/>
              <w:tblW w:w="6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655"/>
              <w:gridCol w:w="2652"/>
              <w:gridCol w:w="3547"/>
            </w:tblGrid>
            <w:tr>
              <w:trPr>
                <w:trHeight w:val="391"/>
              </w:trPr>
              <w:tc>
                <w:tcPr>
                  <w:tcW w:w="655" w:type="dxa"/>
                  <w:shd w:val="clear" w:color="auto" w:fill="auto"/>
                  <w:noWrap/>
                  <w:vAlign w:val="center"/>
                </w:tcPr>
                <w:p>
                  <w:pPr>
                    <w:jc w:val="center"/>
                    <w:rPr>
                      <w:rFonts w:ascii="宋体" w:hAnsi="宋体" w:hint="eastAsia"/>
                      <w:szCs w:val="21"/>
                    </w:rPr>
                  </w:pPr>
                  <w:r>
                    <w:rPr>
                      <w:rFonts w:ascii="宋体" w:hAnsi="宋体" w:hint="eastAsia"/>
                      <w:szCs w:val="21"/>
                    </w:rPr>
                    <w:t>序号</w:t>
                  </w:r>
                </w:p>
              </w:tc>
              <w:tc>
                <w:tcPr>
                  <w:tcW w:w="2652" w:type="dxa"/>
                  <w:shd w:val="clear" w:color="auto" w:fill="auto"/>
                  <w:noWrap/>
                  <w:vAlign w:val="center"/>
                </w:tcPr>
                <w:p>
                  <w:pPr>
                    <w:jc w:val="center"/>
                    <w:rPr>
                      <w:rFonts w:ascii="宋体" w:hAnsi="宋体" w:hint="eastAsia"/>
                      <w:szCs w:val="21"/>
                    </w:rPr>
                  </w:pPr>
                  <w:r>
                    <w:rPr>
                      <w:rFonts w:ascii="宋体" w:hAnsi="宋体" w:hint="eastAsia"/>
                      <w:szCs w:val="21"/>
                    </w:rPr>
                    <w:t>文件类型</w:t>
                  </w:r>
                </w:p>
              </w:tc>
              <w:tc>
                <w:tcPr>
                  <w:tcW w:w="3547" w:type="dxa"/>
                  <w:shd w:val="clear" w:color="auto" w:fill="auto"/>
                  <w:noWrap/>
                  <w:vAlign w:val="center"/>
                </w:tcPr>
                <w:p>
                  <w:pPr>
                    <w:jc w:val="center"/>
                    <w:rPr>
                      <w:rFonts w:ascii="宋体" w:hAnsi="宋体" w:hint="eastAsia"/>
                      <w:szCs w:val="21"/>
                    </w:rPr>
                  </w:pPr>
                  <w:r>
                    <w:rPr>
                      <w:rFonts w:ascii="宋体" w:hAnsi="宋体" w:hint="eastAsia"/>
                      <w:szCs w:val="21"/>
                    </w:rPr>
                    <w:t>签字盖章要求</w:t>
                  </w:r>
                </w:p>
              </w:tc>
            </w:tr>
            <w:tr>
              <w:trPr>
                <w:trHeight w:val="70"/>
              </w:trPr>
              <w:tc>
                <w:tcPr>
                  <w:tcW w:w="655" w:type="dxa"/>
                  <w:shd w:val="clear" w:color="auto" w:fill="auto"/>
                  <w:noWrap/>
                  <w:vAlign w:val="center"/>
                </w:tcPr>
                <w:p>
                  <w:pPr>
                    <w:autoSpaceDE w:val="0"/>
                    <w:autoSpaceDN w:val="0"/>
                    <w:jc w:val="center"/>
                    <w:rPr>
                      <w:rFonts w:ascii="宋体" w:hAnsi="宋体" w:hint="eastAsia"/>
                      <w:szCs w:val="21"/>
                    </w:rPr>
                  </w:pPr>
                  <w:r>
                    <w:rPr>
                      <w:rFonts w:ascii="宋体" w:hAnsi="宋体" w:hint="eastAsia"/>
                      <w:szCs w:val="21"/>
                    </w:rPr>
                    <w:t>1</w:t>
                  </w:r>
                </w:p>
              </w:tc>
              <w:tc>
                <w:tcPr>
                  <w:tcW w:w="2652"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法定代表人（负责人）身份证明</w:t>
                  </w:r>
                </w:p>
              </w:tc>
              <w:tc>
                <w:tcPr>
                  <w:tcW w:w="3547"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须加盖单位公章</w:t>
                  </w:r>
                </w:p>
              </w:tc>
            </w:tr>
            <w:tr>
              <w:trPr>
                <w:trHeight w:val="81"/>
              </w:trPr>
              <w:tc>
                <w:tcPr>
                  <w:tcW w:w="655" w:type="dxa"/>
                  <w:shd w:val="clear" w:color="auto" w:fill="auto"/>
                  <w:noWrap/>
                  <w:vAlign w:val="center"/>
                </w:tcPr>
                <w:p>
                  <w:pPr>
                    <w:autoSpaceDE w:val="0"/>
                    <w:autoSpaceDN w:val="0"/>
                    <w:jc w:val="center"/>
                    <w:rPr>
                      <w:rFonts w:ascii="宋体" w:hAnsi="宋体" w:hint="eastAsia"/>
                      <w:szCs w:val="21"/>
                    </w:rPr>
                  </w:pPr>
                  <w:r>
                    <w:rPr>
                      <w:rFonts w:ascii="宋体" w:hAnsi="宋体" w:hint="eastAsia"/>
                      <w:szCs w:val="21"/>
                    </w:rPr>
                    <w:t>2</w:t>
                  </w:r>
                </w:p>
              </w:tc>
              <w:tc>
                <w:tcPr>
                  <w:tcW w:w="2652"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法定代表人（负责人）授权委托书原件（若法定代表人（负责人）授权委托代理人签字时须提供）</w:t>
                  </w:r>
                </w:p>
              </w:tc>
              <w:tc>
                <w:tcPr>
                  <w:tcW w:w="3547"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同时满足以下要求：</w:t>
                    <w:br/>
                    <w:t>①加盖单位公章</w:t>
                    <w:br/>
                    <w:t>②法定代表人（负责人）签字/盖章</w:t>
                    <w:br/>
                    <w:t>③委托代理人签字</w:t>
                  </w:r>
                </w:p>
              </w:tc>
            </w:tr>
            <w:tr>
              <w:trPr>
                <w:trHeight w:val="243"/>
              </w:trPr>
              <w:tc>
                <w:tcPr>
                  <w:tcW w:w="655" w:type="dxa"/>
                  <w:shd w:val="clear" w:color="auto" w:fill="auto"/>
                  <w:noWrap/>
                  <w:vAlign w:val="center"/>
                </w:tcPr>
                <w:p>
                  <w:pPr>
                    <w:autoSpaceDE w:val="0"/>
                    <w:autoSpaceDN w:val="0"/>
                    <w:jc w:val="center"/>
                    <w:rPr>
                      <w:rFonts w:ascii="宋体" w:hAnsi="宋体" w:hint="eastAsia"/>
                      <w:szCs w:val="21"/>
                    </w:rPr>
                  </w:pPr>
                  <w:r>
                    <w:rPr>
                      <w:rFonts w:ascii="宋体" w:hAnsi="宋体" w:hint="eastAsia"/>
                      <w:szCs w:val="21"/>
                    </w:rPr>
                    <w:t>3</w:t>
                  </w:r>
                </w:p>
              </w:tc>
              <w:tc>
                <w:tcPr>
                  <w:tcW w:w="2652"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磋商文件第六章“响应文件格式”中的磋商函、报价函原件</w:t>
                  </w:r>
                </w:p>
              </w:tc>
              <w:tc>
                <w:tcPr>
                  <w:tcW w:w="3547"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同时满足以下要求：</w:t>
                    <w:br/>
                    <w:t>①加盖单位公章</w:t>
                    <w:br/>
                    <w:t>②法定代表人（负责人）签字/盖章或委托代理人签字</w:t>
                  </w:r>
                </w:p>
              </w:tc>
            </w:tr>
            <w:tr>
              <w:trPr>
                <w:trHeight w:val="243"/>
              </w:trPr>
              <w:tc>
                <w:tcPr>
                  <w:tcW w:w="655" w:type="dxa"/>
                  <w:shd w:val="clear" w:color="auto" w:fill="auto"/>
                  <w:noWrap/>
                  <w:vAlign w:val="center"/>
                </w:tcPr>
                <w:p>
                  <w:pPr>
                    <w:autoSpaceDE w:val="0"/>
                    <w:autoSpaceDN w:val="0"/>
                    <w:jc w:val="center"/>
                    <w:rPr>
                      <w:rFonts w:ascii="宋体" w:hAnsi="宋体" w:hint="eastAsia"/>
                      <w:szCs w:val="21"/>
                    </w:rPr>
                  </w:pPr>
                  <w:r>
                    <w:rPr>
                      <w:rFonts w:ascii="宋体" w:hAnsi="宋体" w:hint="eastAsia"/>
                      <w:szCs w:val="21"/>
                    </w:rPr>
                    <w:t>4</w:t>
                  </w:r>
                </w:p>
              </w:tc>
              <w:tc>
                <w:tcPr>
                  <w:tcW w:w="2652"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磋商文件第六章“响应文件格式”中，除本表1、2、3之外的其他文件中，有单位名称和法定代表人（负责人）或其委托代理人签字落款文件</w:t>
                  </w:r>
                </w:p>
              </w:tc>
              <w:tc>
                <w:tcPr>
                  <w:tcW w:w="3547"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以下要求需满足①、②或③两项</w:t>
                    <w:br/>
                    <w:t>①加盖单位公章</w:t>
                    <w:br/>
                    <w:t>②法定代表人（负责人）签字/盖章</w:t>
                    <w:br/>
                    <w:t>③委托代理人签字</w:t>
                  </w:r>
                </w:p>
              </w:tc>
            </w:tr>
            <w:tr>
              <w:trPr>
                <w:trHeight w:val="135"/>
              </w:trPr>
              <w:tc>
                <w:tcPr>
                  <w:tcW w:w="655" w:type="dxa"/>
                  <w:shd w:val="clear" w:color="auto" w:fill="auto"/>
                  <w:noWrap/>
                  <w:vAlign w:val="center"/>
                </w:tcPr>
                <w:p>
                  <w:pPr>
                    <w:autoSpaceDE w:val="0"/>
                    <w:autoSpaceDN w:val="0"/>
                    <w:jc w:val="center"/>
                    <w:rPr>
                      <w:rFonts w:ascii="宋体" w:hAnsi="宋体" w:hint="eastAsia"/>
                      <w:szCs w:val="21"/>
                    </w:rPr>
                  </w:pPr>
                  <w:r>
                    <w:rPr>
                      <w:rFonts w:ascii="宋体" w:hAnsi="宋体" w:hint="eastAsia"/>
                      <w:szCs w:val="21"/>
                    </w:rPr>
                    <w:t>5</w:t>
                  </w:r>
                </w:p>
              </w:tc>
              <w:tc>
                <w:tcPr>
                  <w:tcW w:w="2652"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除本表1、2、3、4以外的其他响应文件组成部分</w:t>
                  </w:r>
                </w:p>
              </w:tc>
              <w:tc>
                <w:tcPr>
                  <w:tcW w:w="3547" w:type="dxa"/>
                  <w:tcBorders>
                    <w:left w:val="single" w:sz="4" w:space="0" w:color="auto"/>
                  </w:tcBorders>
                  <w:shd w:val="clear" w:color="auto" w:fill="auto"/>
                  <w:noWrap/>
                  <w:vAlign w:val="center"/>
                </w:tcPr>
                <w:p>
                  <w:pPr>
                    <w:widowControl/>
                    <w:jc w:val="left"/>
                    <w:textAlignment w:val="center"/>
                    <w:rPr>
                      <w:rFonts w:ascii="宋体" w:hAnsi="宋体" w:hint="eastAsia"/>
                      <w:szCs w:val="21"/>
                    </w:rPr>
                  </w:pPr>
                  <w:r>
                    <w:rPr>
                      <w:rFonts w:ascii="宋体" w:hAnsi="宋体" w:hint="eastAsia"/>
                      <w:szCs w:val="21"/>
                    </w:rPr>
                    <w:t>以下要求满足其一即可：</w:t>
                    <w:br/>
                    <w:t>①使用单位公章加盖骑缝章</w:t>
                    <w:br/>
                    <w:t>②逐页加盖单位公章</w:t>
                    <w:br/>
                    <w:t>③法定代表人（负责人）逐页签字/盖章</w:t>
                    <w:br/>
                    <w:t>④委托代理人逐页签字</w:t>
                  </w:r>
                </w:p>
              </w:tc>
            </w:tr>
            <w:tr>
              <w:trPr>
                <w:trHeight w:val="70"/>
              </w:trPr>
              <w:tc>
                <w:tcPr>
                  <w:tcW w:w="6854" w:type="dxa"/>
                  <w:gridSpan w:val="3"/>
                  <w:shd w:val="clear" w:color="auto" w:fill="auto"/>
                  <w:noWrap/>
                  <w:vAlign w:val="center"/>
                </w:tcPr>
                <w:p>
                  <w:pPr>
                    <w:autoSpaceDE w:val="0"/>
                    <w:autoSpaceDN w:val="0"/>
                    <w:jc w:val="left"/>
                    <w:rPr>
                      <w:rFonts w:ascii="宋体" w:hAnsi="宋体" w:hint="eastAsia"/>
                      <w:szCs w:val="21"/>
                    </w:rPr>
                  </w:pPr>
                  <w:r>
                    <w:rPr>
                      <w:rFonts w:ascii="宋体" w:hAnsi="宋体" w:hint="eastAsia"/>
                      <w:szCs w:val="21"/>
                    </w:rPr>
                    <w:t>特别说明：①使用投标专用章或其他业务章代替公章的，应提供《投标专用印章授权函》原件。《投标专用印章授权函》应同时加盖单位公章和被授权印章。②由法人签字的，可以是法人亲笔签名或法人有效手签章或法人姓名方章。由委托代理人签字的必须是亲笔签名。</w:t>
                  </w:r>
                </w:p>
              </w:tc>
            </w:tr>
          </w:tbl>
          <w:p>
            <w:pPr>
              <w:spacing w:line="360" w:lineRule="auto"/>
              <w:jc w:val="left"/>
              <w:rPr>
                <w:rFonts w:ascii="宋体" w:hAnsi="宋体"/>
                <w:szCs w:val="21"/>
              </w:rPr>
            </w:pPr>
          </w:p>
          <w:p>
            <w:pPr>
              <w:spacing w:line="360" w:lineRule="auto"/>
              <w:jc w:val="left"/>
              <w:rPr>
                <w:rFonts w:ascii="宋体" w:hAnsi="宋体"/>
                <w:szCs w:val="21"/>
              </w:rPr>
            </w:pPr>
            <w:r>
              <w:rPr>
                <w:rFonts w:ascii="宋体" w:hAnsi="宋体" w:hint="eastAsia"/>
                <w:szCs w:val="21"/>
              </w:rPr>
              <w:t>供应商递交的响应文件所附的相关资质、证明等材料必须为真实有效的，加盖的公章必须是供应商在公安部门备案的合法有效公章，若提供虚假材料，将取消成交资格，并上报行政主管部门进行相关处罚。</w:t>
            </w:r>
          </w:p>
        </w:tc>
      </w:tr>
      <w:tr>
        <w:trPr>
          <w:trHeight w:val="1090"/>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2</w:t>
            </w:r>
          </w:p>
        </w:tc>
        <w:tc>
          <w:tcPr>
            <w:tcW w:w="7513" w:type="dxa"/>
            <w:gridSpan w:val="2"/>
            <w:tcBorders>
              <w:left w:val="single" w:sz="6" w:space="0" w:color="auto"/>
            </w:tcBorders>
            <w:tcMar>
              <w:left w:w="108" w:type="dxa"/>
              <w:right w:w="108" w:type="dxa"/>
            </w:tcMar>
            <w:vAlign w:val="center"/>
          </w:tcPr>
          <w:p>
            <w:pPr>
              <w:spacing w:line="276" w:lineRule="auto"/>
              <w:rPr>
                <w:rFonts w:hAnsi="宋体"/>
                <w:highlight w:val="lightGray"/>
              </w:rPr>
            </w:pPr>
            <w:r>
              <w:rPr>
                <w:rFonts w:ascii="宋体" w:hAnsi="宋体" w:hint="eastAsia"/>
                <w:szCs w:val="21"/>
              </w:rPr>
              <w:t>装订要求：按A4规格竖装，正本与副本应分别装订成册，并编制目录，装订应采用胶装，不得采用活页夹。密封要求：响应文件正、副本、电子版分开包装密封，在密封袋上要清楚标明正本、副本、电子版字样。响应文件包装的封口处应加盖供应商公章。</w:t>
            </w:r>
          </w:p>
        </w:tc>
      </w:tr>
      <w:tr>
        <w:trPr>
          <w:trHeight w:val="90"/>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3</w:t>
            </w:r>
          </w:p>
        </w:tc>
        <w:tc>
          <w:tcPr>
            <w:tcW w:w="7513" w:type="dxa"/>
            <w:gridSpan w:val="2"/>
            <w:tcBorders>
              <w:left w:val="single" w:sz="6" w:space="0" w:color="auto"/>
            </w:tcBorders>
            <w:tcMar>
              <w:left w:w="108" w:type="dxa"/>
              <w:right w:w="108" w:type="dxa"/>
            </w:tcMar>
            <w:vAlign w:val="center"/>
          </w:tcPr>
          <w:p>
            <w:pPr>
              <w:autoSpaceDE w:val="0"/>
              <w:autoSpaceDN w:val="0"/>
              <w:ind w:rightChars="-9" w:right="-19"/>
              <w:textAlignment w:val="bottom"/>
              <w:rPr>
                <w:rFonts w:cs="Arial" w:hAnsi="宋体"/>
              </w:rPr>
            </w:pPr>
            <w:r>
              <w:rPr>
                <w:rFonts w:cs="Arial" w:hAnsi="宋体" w:hint="eastAsia"/>
              </w:rPr>
              <w:t>磋商小组成员数量：由</w:t>
            </w:r>
            <w:r>
              <w:rPr>
                <w:rFonts w:cs="Arial" w:hAnsi="宋体" w:hint="eastAsia"/>
                <w:u w:val="single"/>
              </w:rPr>
              <w:t xml:space="preserve"> 3 </w:t>
            </w:r>
            <w:r>
              <w:rPr>
                <w:rFonts w:cs="Arial" w:hAnsi="宋体" w:hint="eastAsia"/>
              </w:rPr>
              <w:t>名评审专家组成。</w:t>
            </w:r>
          </w:p>
          <w:p>
            <w:pPr>
              <w:autoSpaceDE w:val="0"/>
              <w:autoSpaceDN w:val="0"/>
              <w:ind w:rightChars="-9" w:right="-19" w:firstLine="0"/>
              <w:textAlignment w:val="bottom"/>
              <w:rPr>
                <w:rFonts w:cs="Arial" w:hAnsi="宋体"/>
              </w:rPr>
            </w:pPr>
            <w:r>
              <w:rPr>
                <w:rFonts w:cs="Arial" w:hAnsi="宋体" w:hint="eastAsia"/>
              </w:rPr>
              <w:t>磋商小组组成来源：</w:t>
            </w:r>
            <w:r>
              <w:rPr>
                <w:rFonts w:cs="Arial" w:hAnsi="宋体" w:hint="eastAsia"/>
                <w:u w:val="single"/>
              </w:rPr>
              <w:t>本项目评审专家从海南省专家库中抽取。</w:t>
            </w:r>
          </w:p>
        </w:tc>
      </w:tr>
      <w:tr>
        <w:trPr>
          <w:trHeight w:val="455"/>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4</w:t>
            </w:r>
          </w:p>
        </w:tc>
        <w:tc>
          <w:tcPr>
            <w:tcW w:w="7513" w:type="dxa"/>
            <w:gridSpan w:val="2"/>
            <w:tcBorders>
              <w:left w:val="single" w:sz="6" w:space="0" w:color="auto"/>
            </w:tcBorders>
            <w:tcMar>
              <w:left w:w="108" w:type="dxa"/>
              <w:right w:w="108" w:type="dxa"/>
            </w:tcMar>
            <w:vAlign w:val="center"/>
          </w:tcPr>
          <w:p>
            <w:pPr>
              <w:spacing w:line="360" w:lineRule="auto"/>
              <w:jc w:val="left"/>
              <w:rPr>
                <w:rFonts w:ascii="宋体" w:hAnsi="宋体"/>
                <w:szCs w:val="21"/>
              </w:rPr>
            </w:pPr>
            <w:r>
              <w:rPr>
                <w:rFonts w:hint="eastAsia"/>
                <w:szCs w:val="21"/>
              </w:rPr>
              <w:t>评审方法：</w:t>
            </w:r>
            <w:r>
              <w:rPr>
                <w:rFonts w:ascii="宋体" w:hAnsi="宋体" w:hint="eastAsia"/>
                <w:szCs w:val="21"/>
              </w:rPr>
              <w:t>经磋商确定最终采购需求和提交最后报价的供应商后，由磋商小组采用综合评分法对提交最后报价的供应商的响应文件和最后报价进行综合评分。</w:t>
            </w:r>
          </w:p>
        </w:tc>
      </w:tr>
      <w:tr>
        <w:trPr>
          <w:trHeight w:val="455"/>
        </w:trPr>
        <w:tc>
          <w:tcPr>
            <w:tcW w:w="1134" w:type="dxa"/>
            <w:tcMar>
              <w:left w:w="108" w:type="dxa"/>
              <w:right w:w="108" w:type="dxa"/>
            </w:tcMar>
            <w:vAlign w:val="center"/>
          </w:tcPr>
          <w:p>
            <w:pPr>
              <w:jc w:val="center"/>
              <w:rPr>
                <w:rFonts w:hAnsi="宋体"/>
                <w:b/>
              </w:rPr>
            </w:pPr>
            <w:r>
              <w:rPr>
                <w:rFonts w:hAnsi="宋体" w:hint="eastAsia"/>
                <w:b/>
              </w:rPr>
              <w:t>1</w:t>
            </w:r>
            <w:r>
              <w:rPr>
                <w:rFonts w:hAnsi="宋体"/>
                <w:b/>
              </w:rPr>
              <w:t>5</w:t>
            </w:r>
          </w:p>
        </w:tc>
        <w:tc>
          <w:tcPr>
            <w:tcW w:w="7513" w:type="dxa"/>
            <w:gridSpan w:val="2"/>
            <w:tcBorders>
              <w:left w:val="single" w:sz="6" w:space="0" w:color="auto"/>
            </w:tcBorders>
            <w:tcMar>
              <w:left w:w="108" w:type="dxa"/>
              <w:right w:w="108" w:type="dxa"/>
            </w:tcMar>
            <w:vAlign w:val="center"/>
          </w:tcPr>
          <w:p>
            <w:pPr>
              <w:spacing w:line="360" w:lineRule="auto"/>
              <w:jc w:val="left"/>
              <w:rPr>
                <w:rFonts w:ascii="宋体" w:eastAsia="宋体" w:hAnsi="宋体" w:hint="eastAsia"/>
                <w:szCs w:val="21"/>
                <w:lang w:eastAsia="zh-CN"/>
              </w:rPr>
            </w:pPr>
            <w:r>
              <w:rPr>
                <w:rFonts w:hint="eastAsia"/>
                <w:szCs w:val="21"/>
              </w:rPr>
              <w:t>成交候选人数量</w:t>
            </w:r>
            <w:r>
              <w:rPr>
                <w:szCs w:val="21"/>
              </w:rPr>
              <w:t>各标包</w:t>
            </w:r>
            <w:r>
              <w:rPr>
                <w:rFonts w:hint="eastAsia"/>
                <w:szCs w:val="21"/>
              </w:rPr>
              <w:t>：推荐3名成交候选供应商</w:t>
            </w:r>
            <w:r>
              <w:rPr>
                <w:rFonts w:hint="eastAsia"/>
                <w:szCs w:val="21"/>
                <w:lang w:eastAsia="zh-CN"/>
              </w:rPr>
              <w:t>。</w:t>
            </w:r>
          </w:p>
        </w:tc>
      </w:tr>
      <w:tr>
        <w:trPr>
          <w:trHeight w:val="455"/>
        </w:trPr>
        <w:tc>
          <w:tcPr>
            <w:tcW w:w="1134" w:type="dxa"/>
            <w:tcMar>
              <w:left w:w="108" w:type="dxa"/>
              <w:right w:w="108" w:type="dxa"/>
            </w:tcMar>
            <w:vAlign w:val="center"/>
          </w:tcPr>
          <w:p>
            <w:pPr>
              <w:jc w:val="center"/>
              <w:rPr>
                <w:rFonts w:hAnsi="宋体"/>
                <w:b/>
              </w:rPr>
            </w:pPr>
            <w:r>
              <w:rPr>
                <w:rFonts w:hAnsi="宋体"/>
                <w:b/>
              </w:rPr>
              <w:t>16</w:t>
            </w:r>
          </w:p>
        </w:tc>
        <w:tc>
          <w:tcPr>
            <w:tcW w:w="7513" w:type="dxa"/>
            <w:gridSpan w:val="2"/>
            <w:tcBorders>
              <w:left w:val="single" w:sz="6" w:space="0" w:color="auto"/>
            </w:tcBorders>
            <w:tcMar>
              <w:left w:w="108" w:type="dxa"/>
              <w:right w:w="108" w:type="dxa"/>
            </w:tcMar>
            <w:vAlign w:val="center"/>
          </w:tcPr>
          <w:p>
            <w:pPr>
              <w:spacing w:line="360" w:lineRule="auto"/>
              <w:jc w:val="left"/>
              <w:rPr>
                <w:rFonts w:ascii="宋体" w:eastAsia="宋体" w:hAnsi="宋体" w:hint="eastAsia"/>
                <w:szCs w:val="21"/>
                <w:lang w:eastAsia="zh-CN"/>
              </w:rPr>
            </w:pPr>
            <w:r>
              <w:rPr>
                <w:rFonts w:ascii="宋体" w:hAnsi="宋体" w:hint="eastAsia"/>
                <w:szCs w:val="21"/>
              </w:rPr>
              <w:t>是否退还响应文件：不退还</w:t>
            </w:r>
            <w:r>
              <w:rPr>
                <w:rFonts w:ascii="宋体" w:hAnsi="宋体" w:hint="eastAsia"/>
                <w:szCs w:val="21"/>
                <w:lang w:eastAsia="zh-CN"/>
              </w:rPr>
              <w:t>。</w:t>
            </w:r>
          </w:p>
        </w:tc>
      </w:tr>
      <w:tr>
        <w:trPr>
          <w:trHeight w:val="676"/>
        </w:trPr>
        <w:tc>
          <w:tcPr>
            <w:tcW w:w="1134" w:type="dxa"/>
            <w:tcMar>
              <w:left w:w="108" w:type="dxa"/>
              <w:right w:w="108" w:type="dxa"/>
            </w:tcMar>
            <w:vAlign w:val="center"/>
          </w:tcPr>
          <w:p>
            <w:pPr>
              <w:jc w:val="center"/>
              <w:rPr>
                <w:rFonts w:hAnsi="宋体"/>
                <w:b/>
              </w:rPr>
            </w:pPr>
            <w:r>
              <w:rPr>
                <w:rFonts w:hAnsi="宋体"/>
                <w:b/>
              </w:rPr>
              <w:t>17</w:t>
            </w:r>
          </w:p>
        </w:tc>
        <w:tc>
          <w:tcPr>
            <w:tcW w:w="7513" w:type="dxa"/>
            <w:gridSpan w:val="2"/>
            <w:tcBorders>
              <w:left w:val="single" w:sz="6" w:space="0" w:color="auto"/>
            </w:tcBorders>
            <w:tcMar>
              <w:left w:w="108" w:type="dxa"/>
              <w:right w:w="108" w:type="dxa"/>
            </w:tcMar>
            <w:vAlign w:val="center"/>
          </w:tcPr>
          <w:p>
            <w:pPr>
              <w:keepNext w:val="0"/>
              <w:keepLines w:val="0"/>
              <w:pageBreakBefore w:val="0"/>
              <w:widowControl w:val="0"/>
              <w:shd w:val="clear" w:color="auto" w:fill="auto"/>
              <w:kinsoku/>
              <w:wordWrap/>
              <w:overflowPunct/>
              <w:autoSpaceDE/>
              <w:autoSpaceDN/>
              <w:snapToGrid w:val="0"/>
              <w:spacing w:beforeAutospacing="0" w:afterAutospacing="0" w:line="360" w:lineRule="auto"/>
              <w:ind w:left="0" w:firstLine="0"/>
              <w:rPr>
                <w:rFonts w:ascii="宋体" w:hAnsi="宋体" w:hint="eastAsia"/>
                <w:szCs w:val="21"/>
                <w:highlight w:val="none"/>
              </w:rPr>
            </w:pPr>
            <w:r>
              <w:rPr>
                <w:rFonts w:ascii="宋体" w:hAnsi="宋体" w:hint="eastAsia"/>
                <w:szCs w:val="21"/>
                <w:highlight w:val="none"/>
              </w:rPr>
              <w:t>代理服务费：本项目代理</w:t>
            </w:r>
            <w:r>
              <w:rPr>
                <w:rFonts w:ascii="宋体" w:hAnsi="宋体" w:hint="eastAsia"/>
                <w:szCs w:val="21"/>
                <w:lang w:val="en-US" w:eastAsia="zh-CN"/>
                <w:highlight w:val="none"/>
              </w:rPr>
              <w:t>服务费</w:t>
            </w:r>
            <w:r>
              <w:rPr>
                <w:rFonts w:ascii="宋体" w:hAnsi="宋体" w:hint="eastAsia"/>
                <w:szCs w:val="21"/>
                <w:highlight w:val="none"/>
              </w:rPr>
              <w:t>由</w:t>
            </w:r>
            <w:r>
              <w:rPr>
                <w:rFonts w:ascii="宋体" w:hAnsi="宋体" w:hint="eastAsia"/>
                <w:szCs w:val="21"/>
                <w:lang w:eastAsia="zh-CN"/>
                <w:highlight w:val="none"/>
              </w:rPr>
              <w:t>成交人</w:t>
            </w:r>
            <w:r>
              <w:rPr>
                <w:rFonts w:ascii="宋体" w:hAnsi="宋体" w:hint="eastAsia"/>
                <w:szCs w:val="21"/>
                <w:highlight w:val="none"/>
              </w:rPr>
              <w:t>支付，计算标准</w:t>
            </w:r>
            <w:r>
              <w:rPr>
                <w:rFonts w:ascii="宋体" w:hAnsi="宋体" w:hint="eastAsia"/>
                <w:szCs w:val="21"/>
                <w:lang w:val="en-US" w:eastAsia="zh-CN"/>
                <w:highlight w:val="none"/>
              </w:rPr>
              <w:t>参照《海南省物价局关于降低部分招标代理服务收费标准》（琼价费管（2011）225号）</w:t>
            </w:r>
            <w:r>
              <w:rPr>
                <w:rFonts w:ascii="宋体" w:hAnsi="宋体" w:hint="eastAsia"/>
                <w:szCs w:val="21"/>
                <w:highlight w:val="none"/>
              </w:rPr>
              <w:t>规定的标准和分类，以</w:t>
            </w:r>
            <w:r>
              <w:rPr>
                <w:rFonts w:ascii="宋体" w:hAnsi="宋体" w:hint="eastAsia"/>
                <w:szCs w:val="21"/>
                <w:lang w:eastAsia="zh-CN"/>
                <w:highlight w:val="none"/>
              </w:rPr>
              <w:t>成交通知书</w:t>
            </w:r>
            <w:r>
              <w:rPr>
                <w:rFonts w:ascii="宋体" w:hAnsi="宋体" w:hint="eastAsia"/>
                <w:szCs w:val="21"/>
                <w:highlight w:val="none"/>
              </w:rPr>
              <w:t>中确定的</w:t>
            </w:r>
            <w:r>
              <w:rPr>
                <w:rFonts w:ascii="宋体" w:hAnsi="宋体" w:hint="eastAsia"/>
                <w:szCs w:val="21"/>
                <w:lang w:val="en-US" w:eastAsia="zh-CN"/>
                <w:highlight w:val="none"/>
              </w:rPr>
              <w:t>成交</w:t>
            </w:r>
            <w:r>
              <w:rPr>
                <w:rFonts w:ascii="宋体" w:hAnsi="宋体" w:hint="eastAsia"/>
                <w:szCs w:val="21"/>
                <w:highlight w:val="none"/>
              </w:rPr>
              <w:t>金额为收费计算基数</w:t>
            </w:r>
            <w:r>
              <w:rPr>
                <w:rFonts w:ascii="宋体" w:hAnsi="宋体" w:hint="eastAsia"/>
                <w:szCs w:val="21"/>
                <w:lang w:eastAsia="zh-CN"/>
                <w:highlight w:val="none"/>
              </w:rPr>
              <w:t>，</w:t>
            </w:r>
            <w:r>
              <w:rPr>
                <w:rFonts w:ascii="宋体" w:hAnsi="宋体" w:hint="eastAsia"/>
                <w:szCs w:val="21"/>
                <w:lang w:val="en-US" w:eastAsia="zh-CN"/>
                <w:highlight w:val="none"/>
              </w:rPr>
              <w:t>按折扣</w:t>
            </w:r>
            <w:r>
              <w:rPr>
                <w:rFonts w:ascii="宋体" w:hAnsi="宋体"/>
                <w:szCs w:val="21"/>
                <w:u w:val="single"/>
                <w:lang w:val="en-US" w:eastAsia="zh-CN"/>
                <w:highlight w:val="lightGray"/>
              </w:rPr>
              <w:t>80</w:t>
            </w:r>
            <w:r>
              <w:rPr>
                <w:rFonts w:ascii="宋体" w:hAnsi="宋体" w:hint="eastAsia"/>
                <w:szCs w:val="21"/>
                <w:u w:val="single"/>
                <w:lang w:val="en-US" w:eastAsia="zh-CN"/>
                <w:highlight w:val="lightGray"/>
              </w:rPr>
              <w:t>%</w:t>
            </w:r>
            <w:r>
              <w:rPr>
                <w:rFonts w:ascii="宋体" w:hAnsi="宋体" w:hint="eastAsia"/>
                <w:szCs w:val="21"/>
                <w:lang w:val="en-US" w:eastAsia="zh-CN"/>
                <w:highlight w:val="none"/>
              </w:rPr>
              <w:t>计算</w:t>
            </w:r>
            <w:r>
              <w:rPr>
                <w:rFonts w:ascii="宋体" w:hAnsi="宋体" w:hint="eastAsia"/>
                <w:szCs w:val="21"/>
                <w:highlight w:val="none"/>
              </w:rPr>
              <w:t>。</w:t>
            </w:r>
          </w:p>
          <w:p>
            <w:pPr>
              <w:shd w:val="clear" w:color="auto" w:fill="auto"/>
              <w:spacing w:beforeAutospacing="0" w:afterAutospacing="0" w:line="360" w:lineRule="auto"/>
              <w:jc w:val="left"/>
              <w:rPr>
                <w:rFonts w:ascii="宋体" w:hAnsi="宋体"/>
                <w:szCs w:val="21"/>
              </w:rPr>
            </w:pPr>
            <w:r>
              <w:rPr>
                <w:rFonts w:ascii="宋体" w:hAnsi="宋体" w:hint="eastAsia"/>
                <w:szCs w:val="21"/>
                <w:lang w:val="en-US" w:eastAsia="zh-CN"/>
                <w:highlight w:val="none"/>
              </w:rPr>
              <w:t>代理服务费收款节点为：采购人与成交人签订项目合同前，由成交人一次性付清代理服务费。</w:t>
            </w:r>
          </w:p>
        </w:tc>
      </w:tr>
      <w:tr>
        <w:trPr>
          <w:trHeight w:val="676"/>
        </w:trPr>
        <w:tc>
          <w:tcPr>
            <w:tcW w:w="1134" w:type="dxa"/>
            <w:tcMar>
              <w:left w:w="108" w:type="dxa"/>
              <w:right w:w="108" w:type="dxa"/>
            </w:tcMar>
            <w:vAlign w:val="center"/>
          </w:tcPr>
          <w:p>
            <w:pPr>
              <w:jc w:val="center"/>
              <w:rPr>
                <w:rFonts w:hAnsi="宋体"/>
                <w:b/>
              </w:rPr>
            </w:pPr>
            <w:r>
              <w:rPr>
                <w:rFonts w:hAnsi="宋体"/>
                <w:b/>
              </w:rPr>
              <w:t>18</w:t>
            </w:r>
          </w:p>
        </w:tc>
        <w:tc>
          <w:tcPr>
            <w:tcW w:w="7513" w:type="dxa"/>
            <w:gridSpan w:val="2"/>
            <w:tcBorders>
              <w:left w:val="single" w:sz="6" w:space="0" w:color="auto"/>
            </w:tcBorders>
            <w:tcMar>
              <w:left w:w="108" w:type="dxa"/>
              <w:right w:w="108" w:type="dxa"/>
            </w:tcMar>
            <w:vAlign w:val="center"/>
          </w:tcPr>
          <w:p>
            <w:pPr>
              <w:spacing w:line="360" w:lineRule="auto"/>
              <w:jc w:val="left"/>
              <w:rPr>
                <w:rFonts w:ascii="宋体" w:hAnsi="宋体"/>
                <w:szCs w:val="21"/>
              </w:rPr>
            </w:pPr>
            <w:r>
              <w:rPr>
                <w:rFonts w:ascii="宋体" w:hAnsi="宋体" w:hint="eastAsia"/>
                <w:szCs w:val="21"/>
              </w:rPr>
              <w:t>中标人: 综合评分排</w:t>
            </w:r>
            <w:r>
              <w:rPr>
                <w:rFonts w:ascii="宋体" w:hAnsi="宋体" w:hint="eastAsia"/>
                <w:szCs w:val="21"/>
                <w:highlight w:val="none"/>
              </w:rPr>
              <w:t>名第一的</w:t>
            </w:r>
            <w:r>
              <w:rPr>
                <w:rFonts w:ascii="宋体" w:hAnsi="宋体" w:hint="eastAsia"/>
                <w:szCs w:val="21"/>
              </w:rPr>
              <w:t>为中标人</w:t>
            </w:r>
            <w:r>
              <w:rPr>
                <w:rFonts w:ascii="宋体" w:hAnsi="宋体" w:hint="eastAsia"/>
                <w:szCs w:val="21"/>
                <w:lang w:eastAsia="zh-CN"/>
              </w:rPr>
              <w:t>。</w:t>
            </w:r>
          </w:p>
        </w:tc>
      </w:tr>
      <w:tr>
        <w:trPr>
          <w:trHeight w:val="754"/>
        </w:trPr>
        <w:tc>
          <w:tcPr>
            <w:tcW w:w="1134" w:type="dxa"/>
            <w:tcMar>
              <w:left w:w="108" w:type="dxa"/>
              <w:right w:w="108" w:type="dxa"/>
            </w:tcMar>
            <w:vAlign w:val="center"/>
          </w:tcPr>
          <w:p>
            <w:pPr>
              <w:jc w:val="center"/>
              <w:rPr>
                <w:rFonts w:hAnsi="宋体"/>
                <w:b/>
              </w:rPr>
            </w:pPr>
            <w:r>
              <w:rPr>
                <w:rFonts w:hAnsi="宋体"/>
                <w:b/>
              </w:rPr>
              <w:t>19</w:t>
            </w:r>
          </w:p>
        </w:tc>
        <w:tc>
          <w:tcPr>
            <w:tcW w:w="7513" w:type="dxa"/>
            <w:gridSpan w:val="2"/>
            <w:tcBorders>
              <w:left w:val="single" w:sz="6" w:space="0" w:color="auto"/>
            </w:tcBorders>
            <w:tcMar>
              <w:left w:w="108" w:type="dxa"/>
              <w:right w:w="108" w:type="dxa"/>
            </w:tcMar>
            <w:vAlign w:val="center"/>
          </w:tcPr>
          <w:p>
            <w:pPr>
              <w:widowControl/>
              <w:spacing w:line="276" w:lineRule="auto"/>
              <w:jc w:val="left"/>
              <w:rPr>
                <w:szCs w:val="21"/>
              </w:rPr>
            </w:pPr>
            <w:r>
              <w:rPr>
                <w:rFonts w:hint="eastAsia"/>
                <w:szCs w:val="21"/>
              </w:rPr>
              <w:t>政府采购政策（中小企业、监狱企业及残疾人福利性单位）：</w:t>
            </w:r>
          </w:p>
          <w:p>
            <w:pPr>
              <w:widowControl/>
              <w:spacing w:line="276" w:lineRule="auto"/>
              <w:jc w:val="left"/>
              <w:rPr>
                <w:rFonts w:cs="仿宋_GB2312"/>
                <w:bCs/>
                <w:szCs w:val="21"/>
              </w:rPr>
            </w:pPr>
            <w:r>
              <w:rPr>
                <w:szCs w:val="21"/>
              </w:rPr>
              <w:t>1</w:t>
            </w:r>
            <w:r>
              <w:rPr>
                <w:rFonts w:hint="eastAsia"/>
                <w:szCs w:val="21"/>
              </w:rPr>
              <w:t>、是否为预留份额专门面向中小企业采购的项目：</w:t>
            </w:r>
            <w:r>
              <w:rPr>
                <w:szCs w:val="21"/>
              </w:rPr>
              <w:t></w:t>
            </w:r>
            <w:r>
              <w:rPr>
                <w:rFonts w:hint="eastAsia"/>
                <w:szCs w:val="21"/>
              </w:rPr>
              <w:t>是</w:t>
            </w:r>
            <w:r>
              <w:rPr>
                <w:szCs w:val="21"/>
              </w:rPr>
              <w:sym w:font="Wingdings 2" w:char="F0A3"/>
            </w:r>
            <w:r>
              <w:rPr>
                <w:szCs w:val="21"/>
              </w:rPr>
              <w:t></w:t>
            </w:r>
            <w:r>
              <w:rPr>
                <w:rFonts w:hint="eastAsia"/>
                <w:szCs w:val="21"/>
              </w:rPr>
              <w:t>否</w:t>
            </w:r>
            <w:r>
              <w:rPr>
                <w:rFonts w:cs="仿宋_GB2312" w:hint="eastAsia"/>
                <w:bCs/>
                <w:sz w:val="21"/>
                <w:szCs w:val="21"/>
              </w:rPr>
              <w:fldChar w:fldCharType="begin"/>
            </w:r>
            <w:r>
              <w:rPr>
                <w:rFonts w:cs="仿宋_GB2312" w:hint="eastAsia"/>
                <w:bCs/>
                <w:sz w:val="21"/>
                <w:szCs w:val="21"/>
              </w:rPr>
              <w:instrText>eq \o\ac(</w:instrText>
            </w:r>
            <w:r>
              <w:rPr>
                <w:rFonts w:cs="仿宋_GB2312" w:hint="eastAsia"/>
                <w:bCs/>
                <w:position w:val="0"/>
                <w:sz w:val="21"/>
                <w:szCs w:val="21"/>
              </w:rPr>
              <w:instrText>□</w:instrText>
            </w:r>
            <w:r>
              <w:rPr>
                <w:rFonts w:cs="仿宋_GB2312" w:hint="eastAsia"/>
                <w:bCs/>
                <w:sz w:val="21"/>
                <w:szCs w:val="21"/>
              </w:rPr>
              <w:instrText>,√)</w:instrText>
            </w:r>
            <w:r>
              <w:rPr>
                <w:rFonts w:cs="仿宋_GB2312" w:hint="eastAsia"/>
                <w:bCs/>
                <w:sz w:val="21"/>
                <w:szCs w:val="21"/>
              </w:rPr>
              <w:fldChar w:fldCharType="end"/>
            </w:r>
          </w:p>
          <w:p>
            <w:pPr>
              <w:widowControl/>
              <w:spacing w:line="276" w:lineRule="auto"/>
              <w:jc w:val="left"/>
              <w:rPr>
                <w:szCs w:val="21"/>
              </w:rPr>
            </w:pPr>
            <w:r>
              <w:rPr>
                <w:rFonts w:cs="仿宋_GB2312" w:hint="eastAsia"/>
                <w:bCs/>
                <w:szCs w:val="21"/>
              </w:rPr>
              <w:t>2、</w:t>
            </w:r>
            <w:r>
              <w:rPr>
                <w:rFonts w:cs="仿宋_GB2312"/>
                <w:bCs/>
                <w:szCs w:val="21"/>
              </w:rPr>
              <w:t>行业为其他服务</w:t>
            </w:r>
          </w:p>
        </w:tc>
      </w:tr>
      <w:tr>
        <w:trPr>
          <w:trHeight w:val="754"/>
        </w:trPr>
        <w:tc>
          <w:tcPr>
            <w:tcW w:w="1134" w:type="dxa"/>
            <w:tcMar>
              <w:left w:w="108" w:type="dxa"/>
              <w:right w:w="108" w:type="dxa"/>
            </w:tcMar>
            <w:vAlign w:val="center"/>
          </w:tcPr>
          <w:p>
            <w:pPr>
              <w:jc w:val="center"/>
              <w:rPr>
                <w:rFonts w:hAnsi="宋体"/>
                <w:b/>
                <w:highlight w:val="none"/>
              </w:rPr>
            </w:pPr>
            <w:r>
              <w:rPr>
                <w:rFonts w:hAnsi="宋体"/>
                <w:b/>
                <w:highlight w:val="none"/>
              </w:rPr>
              <w:t>20</w:t>
            </w:r>
          </w:p>
        </w:tc>
        <w:tc>
          <w:tcPr>
            <w:tcW w:w="7513" w:type="dxa"/>
            <w:gridSpan w:val="2"/>
            <w:tcBorders>
              <w:left w:val="single" w:sz="6" w:space="0" w:color="auto"/>
            </w:tcBorders>
            <w:tcMar>
              <w:left w:w="108" w:type="dxa"/>
              <w:right w:w="108" w:type="dxa"/>
            </w:tcMar>
            <w:vAlign w:val="center"/>
          </w:tcPr>
          <w:p>
            <w:pPr>
              <w:widowControl/>
              <w:spacing w:line="276" w:lineRule="auto"/>
              <w:jc w:val="left"/>
              <w:rPr>
                <w:rFonts w:hAnsi="仿宋" w:hint="eastAsia"/>
                <w:bCs/>
                <w:szCs w:val="21"/>
                <w:highlight w:val="none"/>
              </w:rPr>
            </w:pPr>
            <w:r>
              <w:rPr>
                <w:rFonts w:hAnsi="仿宋" w:hint="eastAsia"/>
                <w:szCs w:val="21"/>
                <w:lang w:eastAsia="zh-CN"/>
                <w:highlight w:val="none"/>
              </w:rPr>
              <w:t>企业及残疾人福利性单位</w:t>
            </w:r>
            <w:r>
              <w:rPr>
                <w:rFonts w:hAnsi="仿宋" w:hint="eastAsia"/>
                <w:szCs w:val="21"/>
                <w:highlight w:val="none"/>
              </w:rPr>
              <w:t>：根据《政府采购促进中小企业发展管理办法》（财库〔2020〕46 号）及“关于进一步加大政府采购支持中小企业力度的通知(财库〔2022〕19 号)”相关规定，发挥政府采购的政策功能，促进中小企业健康发展。本项目为非专门面向中小企业采购的采购项目。对符合规定的企业(如果项目为货物采购</w:t>
            </w:r>
            <w:r>
              <w:rPr>
                <w:rFonts w:hAnsi="仿宋" w:hint="eastAsia"/>
                <w:szCs w:val="21"/>
                <w:lang w:eastAsia="zh-CN"/>
                <w:highlight w:val="none"/>
              </w:rPr>
              <w:t>，</w:t>
            </w:r>
            <w:r>
              <w:rPr>
                <w:rFonts w:hAnsi="仿宋" w:hint="eastAsia"/>
                <w:szCs w:val="21"/>
                <w:highlight w:val="none"/>
              </w:rPr>
              <w:t>则货物全部由小微企业生产并使用小微企业商号或注册商标；如果项目为服务采购</w:t>
            </w:r>
            <w:r>
              <w:rPr>
                <w:rFonts w:hAnsi="仿宋" w:hint="eastAsia"/>
                <w:szCs w:val="21"/>
                <w:lang w:eastAsia="zh-CN"/>
                <w:highlight w:val="none"/>
              </w:rPr>
              <w:t>，</w:t>
            </w:r>
            <w:r>
              <w:rPr>
                <w:rFonts w:hAnsi="仿宋" w:hint="eastAsia"/>
                <w:szCs w:val="21"/>
                <w:highlight w:val="none"/>
              </w:rPr>
              <w:t>则服务全部由小微企业承接；如果项目为工程采购则工程全部由小微企业承接。)</w:t>
            </w:r>
            <w:r>
              <w:rPr>
                <w:rFonts w:hAnsi="仿宋" w:hint="eastAsia"/>
                <w:szCs w:val="21"/>
                <w:lang w:eastAsia="zh-CN"/>
                <w:highlight w:val="none"/>
              </w:rPr>
              <w:t>响应</w:t>
            </w:r>
            <w:r>
              <w:rPr>
                <w:rFonts w:hAnsi="仿宋" w:hint="eastAsia"/>
                <w:szCs w:val="21"/>
                <w:highlight w:val="none"/>
              </w:rPr>
              <w:t>报价给予价格扣除（项目属性为货物或服务的，按10%给予扣除；项目属性为工程的，按3%给予扣除），用扣除后的价格参加评审。符合上述规定的</w:t>
            </w:r>
            <w:r>
              <w:rPr>
                <w:rFonts w:hAnsi="仿宋" w:hint="eastAsia"/>
                <w:szCs w:val="21"/>
                <w:lang w:eastAsia="zh-CN"/>
                <w:highlight w:val="none"/>
              </w:rPr>
              <w:t>供应商</w:t>
            </w:r>
            <w:r>
              <w:rPr>
                <w:rFonts w:hAnsi="仿宋" w:hint="eastAsia"/>
                <w:szCs w:val="21"/>
                <w:highlight w:val="none"/>
              </w:rPr>
              <w:t>或企业参加本次政府采购活动，出具符合“《政府采购促进中小企业发展管理办法》（财库〔2020〕46 号）”规定的《中小企业声明函》，否则不得享受相关中小企业扶持政策。根据《统计上大中小微型企业划分办法(2017)》，本项目采购标的所属行业为：</w:t>
            </w:r>
            <w:r>
              <w:rPr>
                <w:rFonts w:cs="仿宋_GB2312"/>
                <w:bCs/>
                <w:szCs w:val="21"/>
                <w:highlight w:val="none"/>
              </w:rPr>
              <w:t>其他服务</w:t>
            </w:r>
            <w:r>
              <w:rPr>
                <w:rFonts w:hAnsi="仿宋" w:hint="eastAsia"/>
                <w:bCs/>
                <w:szCs w:val="21"/>
                <w:highlight w:val="none"/>
              </w:rPr>
              <w:t>。</w:t>
            </w:r>
          </w:p>
          <w:p>
            <w:pPr>
              <w:widowControl/>
              <w:spacing w:line="276" w:lineRule="auto"/>
              <w:jc w:val="left"/>
              <w:rPr>
                <w:rFonts w:hAnsi="仿宋" w:hint="eastAsia"/>
                <w:bCs/>
                <w:szCs w:val="21"/>
                <w:highlight w:val="none"/>
              </w:rPr>
            </w:pPr>
            <w:r>
              <w:rPr>
                <w:rFonts w:hAnsi="仿宋" w:hint="eastAsia"/>
                <w:bCs/>
                <w:szCs w:val="21"/>
                <w:lang w:val="en-US" w:eastAsia="zh-CN"/>
                <w:highlight w:val="none"/>
              </w:rPr>
              <w:t>供应商提供《中小企业声明函》内容不实的，属于“隐瞒真实情况，提供虚假资料的”情形，依照有关规定追究相应责任。</w:t>
            </w:r>
          </w:p>
          <w:p>
            <w:pPr>
              <w:widowControl/>
              <w:spacing w:line="276" w:lineRule="auto"/>
              <w:jc w:val="left"/>
              <w:rPr>
                <w:rFonts w:hAnsi="仿宋" w:hint="eastAsia"/>
                <w:szCs w:val="21"/>
                <w:highlight w:val="none"/>
              </w:rPr>
            </w:pPr>
            <w:r>
              <w:rPr>
                <w:rFonts w:hAnsi="仿宋" w:hint="eastAsia"/>
                <w:szCs w:val="21"/>
                <w:highlight w:val="none"/>
              </w:rPr>
              <w:t>2、监狱企业：根据《财政部司法部关于政府采购支持监狱企业发展有关问题的通知》（财库[2014]68 号）文件规定，监狱企业参加政府采购活动时，应当提供由省级以上监狱管理局、戒毒管理局（含新疆生产建设兵团）出具的属于监狱企业的证明文件。 监狱企业视同小型、微型企业，享受预留份额、评审中价格扣除等政府采购促进中小企业发展的政府采购政策。</w:t>
            </w:r>
          </w:p>
          <w:p>
            <w:pPr>
              <w:widowControl/>
              <w:spacing w:line="276" w:lineRule="auto"/>
              <w:jc w:val="left"/>
              <w:rPr>
                <w:rFonts w:hAnsi="仿宋" w:hint="eastAsia"/>
                <w:szCs w:val="21"/>
                <w:highlight w:val="none"/>
              </w:rPr>
            </w:pPr>
            <w:r>
              <w:rPr>
                <w:rFonts w:hAnsi="仿宋" w:hint="eastAsia"/>
                <w:szCs w:val="21"/>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widowControl/>
              <w:spacing w:line="276" w:lineRule="auto"/>
              <w:jc w:val="left"/>
              <w:rPr>
                <w:rFonts w:hAnsi="仿宋" w:hint="eastAsia"/>
                <w:szCs w:val="21"/>
                <w:highlight w:val="none"/>
              </w:rPr>
            </w:pPr>
            <w:r>
              <w:rPr>
                <w:rFonts w:hAnsi="仿宋" w:hint="eastAsia"/>
                <w:szCs w:val="21"/>
                <w:highlight w:val="none"/>
              </w:rPr>
              <w:t>3、残疾人福利性单位：根据《财政部民政部中国残疾人联合会关于促进残疾人就业政府采购政策的通知》（财库〔2017〕 141 号）的规定，符合条件的残疾人福利性单位在参加政府采购活动时，须提供《残疾人福利性单位声明函》。</w:t>
            </w:r>
          </w:p>
          <w:p>
            <w:pPr>
              <w:widowControl/>
              <w:spacing w:line="276" w:lineRule="auto"/>
              <w:jc w:val="left"/>
              <w:rPr>
                <w:rFonts w:ascii="仿宋" w:eastAsia="仿宋" w:hAnsi="仿宋" w:hint="eastAsia"/>
                <w:color w:val="auto"/>
                <w:sz w:val="24"/>
                <w:szCs w:val="24"/>
                <w:lang w:eastAsia="zh-CN"/>
                <w:highlight w:val="none"/>
              </w:rPr>
            </w:pPr>
            <w:r>
              <w:rPr>
                <w:rFonts w:hAnsi="仿宋" w:hint="eastAsia"/>
                <w:szCs w:val="21"/>
                <w:highlight w:val="none"/>
              </w:rPr>
              <w:t>4、价格扣除幅度：项目属性为货物或服务的，按 10%给予扣除 ；项目属性为工程的，按 3%给予扣除。</w:t>
            </w:r>
            <w:r>
              <w:rPr>
                <w:rFonts w:hAnsi="仿宋" w:hint="eastAsia"/>
                <w:szCs w:val="21"/>
                <w:lang w:eastAsia="zh-CN"/>
                <w:highlight w:val="none"/>
              </w:rPr>
              <w:t>供应商</w:t>
            </w:r>
            <w:r>
              <w:rPr>
                <w:rFonts w:hAnsi="仿宋" w:hint="eastAsia"/>
                <w:szCs w:val="21"/>
                <w:highlight w:val="none"/>
              </w:rPr>
              <w:t>同时为符合上述规定的企业、监狱企业或残疾人福利性单位的，评审中只享受一次价格扣除，不重复进行价格扣除。</w:t>
            </w:r>
            <w:r>
              <w:rPr>
                <w:rFonts w:hAnsi="仿宋" w:hint="eastAsia"/>
                <w:bCs/>
                <w:szCs w:val="21"/>
                <w:lang w:val="en-US" w:eastAsia="zh-CN"/>
                <w:highlight w:val="none"/>
              </w:rPr>
              <w:t>本项目属</w:t>
            </w:r>
            <w:r>
              <w:rPr>
                <w:rFonts w:hAnsi="仿宋" w:hint="eastAsia"/>
                <w:bCs/>
                <w:szCs w:val="21"/>
                <w:highlight w:val="none"/>
              </w:rPr>
              <w:t>性为其他服务。</w:t>
            </w:r>
          </w:p>
        </w:tc>
      </w:tr>
      <w:tr>
        <w:trPr>
          <w:trHeight w:val="455"/>
        </w:trPr>
        <w:tc>
          <w:tcPr>
            <w:tcW w:w="8647" w:type="dxa"/>
            <w:gridSpan w:val="3"/>
            <w:tcMar>
              <w:left w:w="108" w:type="dxa"/>
              <w:right w:w="108" w:type="dxa"/>
            </w:tcMar>
            <w:vAlign w:val="center"/>
          </w:tcPr>
          <w:p>
            <w:pPr>
              <w:spacing w:line="360" w:lineRule="auto"/>
              <w:jc w:val="left"/>
              <w:rPr>
                <w:rFonts w:ascii="宋体" w:hAnsi="宋体"/>
                <w:szCs w:val="21"/>
                <w:highlight w:val="none"/>
              </w:rPr>
            </w:pPr>
            <w:r>
              <w:rPr>
                <w:rFonts w:ascii="宋体" w:hAnsi="宋体" w:hint="eastAsia"/>
                <w:szCs w:val="21"/>
                <w:highlight w:val="none"/>
              </w:rPr>
              <w:t>需要补充的其他内容：</w:t>
            </w:r>
          </w:p>
          <w:p>
            <w:pPr>
              <w:pStyle w:val="87"/>
              <w:numPr>
                <w:ilvl w:val="0"/>
                <w:numId w:val="1"/>
              </w:numPr>
              <w:rPr>
                <w:rFonts w:ascii="宋体" w:eastAsia="宋体" w:cs="宋体" w:hAnsi="宋体"/>
                <w:sz w:val="22"/>
                <w:szCs w:val="22"/>
                <w:highlight w:val="none"/>
              </w:rPr>
            </w:pPr>
            <w:r>
              <w:rPr>
                <w:rFonts w:ascii="宋体" w:eastAsia="宋体" w:cs="宋体" w:hAnsi="宋体" w:hint="eastAsia"/>
                <w:b/>
                <w:bCs/>
                <w:color w:val="auto"/>
                <w:sz w:val="22"/>
                <w:szCs w:val="22"/>
                <w:highlight w:val="none"/>
              </w:rPr>
              <w:t>★本项目投标限价为：</w:t>
            </w:r>
            <w:r>
              <w:rPr>
                <w:rFonts w:ascii="宋体" w:eastAsia="宋体" w:cs="宋体" w:hAnsi="宋体" w:hint="eastAsia"/>
                <w:b/>
                <w:bCs/>
                <w:color w:val="auto"/>
                <w:sz w:val="22"/>
                <w:szCs w:val="22"/>
                <w:u w:val="single"/>
                <w:highlight w:val="none"/>
              </w:rPr>
              <w:t>1892426.00元</w:t>
            </w:r>
            <w:r>
              <w:rPr>
                <w:rFonts w:ascii="宋体" w:eastAsia="宋体" w:cs="宋体" w:hAnsi="宋体" w:hint="eastAsia"/>
                <w:b/>
                <w:bCs/>
                <w:color w:val="auto"/>
                <w:sz w:val="22"/>
                <w:szCs w:val="22"/>
                <w:highlight w:val="none"/>
              </w:rPr>
              <w:t>,超过限价金额的响应，按无效响应处理。</w:t>
            </w:r>
          </w:p>
          <w:p>
            <w:pPr>
              <w:spacing w:line="360" w:lineRule="auto"/>
              <w:jc w:val="left"/>
              <w:rPr>
                <w:rFonts w:ascii="宋体" w:hAnsi="宋体"/>
                <w:szCs w:val="21"/>
                <w:highlight w:val="none"/>
              </w:rPr>
            </w:pPr>
            <w:r>
              <w:rPr>
                <w:rFonts w:ascii="宋体" w:hAnsi="宋体" w:hint="eastAsia"/>
                <w:szCs w:val="21"/>
                <w:highlight w:val="none"/>
              </w:rPr>
              <w:t>2、供应商不得恶意竞价，超出预算价或低于成本价的响应报价为无效报价，按否决处理。评审委员会认为供应商的报价明显低于其他通过初步评审的供应商的报价，有可能影响服务质量或者不能诚信履约的，应当要求其在评审现场合理的时间内提供书面说明，必要时提交相关证明材料；供应商不能证明其报价合理性的，评审委员会应当将其作为无效响应处理。</w:t>
            </w:r>
          </w:p>
          <w:p>
            <w:pPr>
              <w:spacing w:line="360" w:lineRule="auto"/>
              <w:jc w:val="left"/>
              <w:rPr>
                <w:rFonts w:ascii="宋体" w:hAnsi="宋体"/>
                <w:szCs w:val="21"/>
                <w:highlight w:val="none"/>
              </w:rPr>
            </w:pPr>
            <w:r>
              <w:rPr>
                <w:rFonts w:ascii="宋体" w:hAnsi="宋体" w:hint="eastAsia"/>
                <w:szCs w:val="21"/>
                <w:highlight w:val="none"/>
              </w:rPr>
              <w:t>3、供应商递交的响应文件所附的相关资质、证明等材料必须为真实有效的，加盖的公章必须是供应商在公安部门备案的合法有效公章，若提供虚假材料，将取消成交资格，没收保</w:t>
            </w:r>
          </w:p>
          <w:p>
            <w:pPr>
              <w:spacing w:line="360" w:lineRule="auto"/>
              <w:jc w:val="left"/>
              <w:rPr>
                <w:rFonts w:ascii="宋体" w:hAnsi="宋体"/>
                <w:szCs w:val="21"/>
                <w:highlight w:val="none"/>
              </w:rPr>
            </w:pPr>
            <w:r>
              <w:rPr>
                <w:rFonts w:ascii="宋体" w:hAnsi="宋体" w:hint="eastAsia"/>
                <w:szCs w:val="21"/>
                <w:highlight w:val="none"/>
              </w:rPr>
              <w:t>证金，并上报行政主管部门进行相关处罚。</w:t>
            </w:r>
          </w:p>
        </w:tc>
      </w:tr>
    </w:tbl>
    <w:p>
      <w:pPr>
        <w:pStyle w:val="2"/>
      </w:pPr>
      <w:bookmarkStart w:id="44" w:name="_Toc317237599"/>
      <w:bookmarkStart w:id="45" w:name="_Toc317237774"/>
      <w:bookmarkStart w:id="46" w:name="_Toc9388"/>
      <w:bookmarkStart w:id="47" w:name="_Toc67843801"/>
      <w:r>
        <w:rPr>
          <w:rFonts w:hint="eastAsia"/>
        </w:rPr>
        <w:t>A说明和释义</w:t>
      </w:r>
      <w:bookmarkEnd w:id="44"/>
      <w:bookmarkEnd w:id="45"/>
      <w:bookmarkEnd w:id="46"/>
      <w:bookmarkEnd w:id="47"/>
    </w:p>
    <w:p>
      <w:pPr>
        <w:spacing w:line="360" w:lineRule="auto"/>
        <w:ind w:leftChars="197" w:left="414" w:firstLineChars="49" w:firstLine="103"/>
        <w:jc w:val="left"/>
        <w:rPr>
          <w:rFonts w:ascii="宋体" w:hAnsi="宋体"/>
          <w:b/>
          <w:szCs w:val="21"/>
        </w:rPr>
      </w:pPr>
      <w:r>
        <w:rPr>
          <w:rFonts w:ascii="宋体" w:hAnsi="宋体" w:hint="eastAsia"/>
          <w:b/>
          <w:szCs w:val="21"/>
        </w:rPr>
        <w:t>1适用范围</w:t>
      </w:r>
    </w:p>
    <w:p>
      <w:pPr>
        <w:spacing w:line="360" w:lineRule="auto"/>
        <w:ind w:leftChars="197" w:left="414" w:firstLineChars="49" w:firstLine="103"/>
        <w:jc w:val="left"/>
        <w:rPr>
          <w:rFonts w:ascii="宋体" w:hAnsi="宋体"/>
          <w:szCs w:val="21"/>
        </w:rPr>
      </w:pPr>
      <w:r>
        <w:rPr>
          <w:rFonts w:ascii="宋体" w:hAnsi="宋体" w:hint="eastAsia"/>
          <w:szCs w:val="21"/>
        </w:rPr>
        <w:t>本采购文件仅适用于本次采购活动。</w:t>
      </w:r>
    </w:p>
    <w:p>
      <w:pPr>
        <w:spacing w:line="360" w:lineRule="auto"/>
        <w:ind w:leftChars="197" w:left="414" w:firstLineChars="49" w:firstLine="103"/>
        <w:jc w:val="left"/>
        <w:rPr>
          <w:rFonts w:ascii="宋体" w:hAnsi="宋体"/>
          <w:szCs w:val="21"/>
        </w:rPr>
      </w:pPr>
      <w:r>
        <w:rPr>
          <w:rFonts w:ascii="宋体" w:hAnsi="宋体" w:hint="eastAsia"/>
          <w:szCs w:val="21"/>
        </w:rPr>
        <w:t>本采购活动及采购结果受中国法律的制约和保护。</w:t>
      </w:r>
    </w:p>
    <w:p>
      <w:pPr>
        <w:spacing w:line="360" w:lineRule="auto"/>
        <w:ind w:leftChars="197" w:left="414" w:firstLineChars="49" w:firstLine="103"/>
        <w:jc w:val="left"/>
        <w:rPr>
          <w:rFonts w:ascii="宋体" w:hAnsi="宋体"/>
          <w:b/>
          <w:szCs w:val="21"/>
        </w:rPr>
      </w:pPr>
      <w:r>
        <w:rPr>
          <w:rFonts w:ascii="宋体" w:hAnsi="宋体" w:hint="eastAsia"/>
          <w:b/>
          <w:szCs w:val="21"/>
        </w:rPr>
        <w:t>2采购说明</w:t>
      </w:r>
    </w:p>
    <w:p>
      <w:pPr>
        <w:spacing w:line="360" w:lineRule="auto"/>
        <w:ind w:leftChars="197" w:left="414" w:firstLineChars="49" w:firstLine="103"/>
        <w:jc w:val="left"/>
        <w:rPr>
          <w:rFonts w:ascii="宋体" w:hAnsi="宋体"/>
          <w:szCs w:val="21"/>
        </w:rPr>
      </w:pPr>
      <w:r>
        <w:rPr>
          <w:rFonts w:ascii="宋体" w:hAnsi="宋体" w:hint="eastAsia"/>
          <w:szCs w:val="21"/>
        </w:rPr>
        <w:t>2.1 项目名称：见供应商须知前附表。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2.2 项目编号：见供应商须知前附表。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2.3 采购人：见供应商须知前附表。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2.4 采购代理机构：见供应商须知前附表。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2.5采购预算：见供应商须知前附表。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2.6 资金来源：见供应商须知前附表。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2.7供应商资格要求：见供应商须知前附表。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2.8 规划期限：见供应商须知前附表。</w:t>
      </w:r>
    </w:p>
    <w:p>
      <w:pPr>
        <w:spacing w:line="360" w:lineRule="auto"/>
        <w:ind w:leftChars="197" w:left="414" w:firstLineChars="49" w:firstLine="103"/>
        <w:jc w:val="left"/>
        <w:rPr>
          <w:rFonts w:ascii="宋体" w:hAnsi="宋体"/>
          <w:b/>
          <w:szCs w:val="21"/>
        </w:rPr>
      </w:pPr>
      <w:r>
        <w:rPr>
          <w:rFonts w:ascii="宋体" w:hAnsi="宋体" w:hint="eastAsia"/>
          <w:b/>
          <w:szCs w:val="21"/>
        </w:rPr>
        <w:t>3词语释义</w:t>
      </w:r>
    </w:p>
    <w:p>
      <w:pPr>
        <w:spacing w:line="360" w:lineRule="auto"/>
        <w:ind w:leftChars="197" w:left="414" w:firstLineChars="49" w:firstLine="103"/>
        <w:jc w:val="left"/>
        <w:rPr>
          <w:rFonts w:ascii="宋体" w:hAnsi="宋体"/>
          <w:szCs w:val="21"/>
        </w:rPr>
      </w:pPr>
      <w:r>
        <w:rPr>
          <w:rFonts w:ascii="宋体" w:hAnsi="宋体" w:hint="eastAsia"/>
          <w:szCs w:val="21"/>
        </w:rPr>
        <w:t>3.1 响应：供应商根据竞争性磋商文件的要求，编制响应文件并按规定投标的行为。</w:t>
      </w:r>
    </w:p>
    <w:p>
      <w:pPr>
        <w:spacing w:line="360" w:lineRule="auto"/>
        <w:ind w:leftChars="197" w:left="414" w:firstLineChars="49" w:firstLine="103"/>
        <w:jc w:val="left"/>
        <w:rPr>
          <w:rFonts w:ascii="宋体" w:hAnsi="宋体"/>
          <w:szCs w:val="21"/>
        </w:rPr>
      </w:pPr>
      <w:r>
        <w:rPr>
          <w:rFonts w:ascii="宋体" w:hAnsi="宋体" w:hint="eastAsia"/>
          <w:szCs w:val="21"/>
        </w:rPr>
        <w:t>3.2合同：采供双方根据采购文件、成交供应商的响应文件及成交通知书规定的内容签署的、以书面形式所达成的协议，包括所有的附件、附录和构成协议的所有文件。</w:t>
      </w:r>
    </w:p>
    <w:p>
      <w:pPr>
        <w:spacing w:line="360" w:lineRule="auto"/>
        <w:ind w:leftChars="197" w:left="414" w:firstLineChars="49" w:firstLine="103"/>
        <w:jc w:val="left"/>
        <w:rPr>
          <w:rFonts w:ascii="宋体" w:hAnsi="宋体"/>
          <w:szCs w:val="21"/>
        </w:rPr>
      </w:pPr>
      <w:r>
        <w:rPr>
          <w:rFonts w:ascii="宋体" w:hAnsi="宋体" w:hint="eastAsia"/>
          <w:szCs w:val="21"/>
        </w:rPr>
        <w:t>3.3甲方（采购人）：合同中明确规定的实际购买货物和服务的法人、其他组织和自然人。</w:t>
      </w:r>
    </w:p>
    <w:p>
      <w:pPr>
        <w:spacing w:line="360" w:lineRule="auto"/>
        <w:ind w:leftChars="197" w:left="414" w:firstLineChars="49" w:firstLine="103"/>
        <w:jc w:val="left"/>
        <w:rPr>
          <w:rFonts w:ascii="宋体" w:hAnsi="宋体"/>
          <w:szCs w:val="21"/>
        </w:rPr>
      </w:pPr>
      <w:r>
        <w:rPr>
          <w:rFonts w:ascii="宋体" w:hAnsi="宋体" w:hint="eastAsia"/>
          <w:szCs w:val="21"/>
        </w:rPr>
        <w:t>3.4乙方（供应商）：合同中规定的向采购方提供货物和服务的法人、其他组织和自然人。</w:t>
      </w:r>
    </w:p>
    <w:p>
      <w:pPr>
        <w:spacing w:line="360" w:lineRule="auto"/>
        <w:ind w:leftChars="197" w:left="414" w:firstLineChars="49" w:firstLine="103"/>
        <w:jc w:val="left"/>
        <w:rPr>
          <w:rFonts w:ascii="宋体" w:hAnsi="宋体"/>
          <w:szCs w:val="21"/>
        </w:rPr>
      </w:pPr>
      <w:r>
        <w:rPr>
          <w:rFonts w:ascii="宋体" w:hAnsi="宋体" w:hint="eastAsia"/>
          <w:szCs w:val="21"/>
        </w:rPr>
        <w:t>3.5伴随服务：合同规定乙方应承担的与提供服务有关的辅助服务。</w:t>
      </w:r>
    </w:p>
    <w:p>
      <w:pPr>
        <w:spacing w:line="360" w:lineRule="auto"/>
        <w:ind w:leftChars="197" w:left="414" w:firstLineChars="49" w:firstLine="103"/>
        <w:jc w:val="left"/>
        <w:rPr>
          <w:rFonts w:ascii="宋体" w:hAnsi="宋体"/>
          <w:szCs w:val="21"/>
        </w:rPr>
      </w:pPr>
      <w:r>
        <w:rPr>
          <w:rFonts w:ascii="宋体" w:hAnsi="宋体" w:hint="eastAsia"/>
          <w:szCs w:val="21"/>
        </w:rPr>
        <w:t>3.6天：日历日。</w:t>
      </w:r>
    </w:p>
    <w:p>
      <w:pPr>
        <w:spacing w:line="360" w:lineRule="auto"/>
        <w:ind w:leftChars="197" w:left="414" w:firstLineChars="49" w:firstLine="103"/>
        <w:jc w:val="left"/>
        <w:rPr>
          <w:rFonts w:ascii="宋体" w:hAnsi="宋体"/>
          <w:szCs w:val="21"/>
        </w:rPr>
      </w:pPr>
      <w:r>
        <w:rPr>
          <w:rFonts w:ascii="宋体" w:hAnsi="宋体" w:hint="eastAsia"/>
          <w:szCs w:val="21"/>
        </w:rPr>
        <w:t>3.7交付地点：由合同约定的乙方提交的货物和服务的最终到达地点。</w:t>
      </w:r>
    </w:p>
    <w:p>
      <w:pPr>
        <w:spacing w:line="360" w:lineRule="auto"/>
        <w:ind w:leftChars="197" w:left="414" w:firstLineChars="49" w:firstLine="103"/>
        <w:jc w:val="left"/>
        <w:rPr>
          <w:rFonts w:ascii="宋体" w:hAnsi="宋体"/>
          <w:szCs w:val="21"/>
        </w:rPr>
      </w:pPr>
      <w:r>
        <w:rPr>
          <w:rFonts w:ascii="宋体" w:hAnsi="宋体" w:hint="eastAsia"/>
          <w:szCs w:val="21"/>
        </w:rPr>
        <w:t>3.8合同价款：由合同约定的、在乙方完全履行合同义务后甲方应支付乙方的价款。</w:t>
      </w:r>
    </w:p>
    <w:p>
      <w:pPr>
        <w:spacing w:line="360" w:lineRule="auto"/>
        <w:ind w:leftChars="197" w:left="414" w:firstLineChars="49" w:firstLine="103"/>
        <w:jc w:val="left"/>
        <w:rPr>
          <w:rFonts w:ascii="宋体" w:hAnsi="宋体"/>
          <w:szCs w:val="21"/>
        </w:rPr>
      </w:pPr>
      <w:r>
        <w:rPr>
          <w:rFonts w:ascii="宋体" w:hAnsi="宋体" w:hint="eastAsia"/>
          <w:szCs w:val="21"/>
        </w:rPr>
        <w:t>3.9不可抗力：不能预见、不能避免并且不能克服的客观情况。</w:t>
      </w:r>
    </w:p>
    <w:p>
      <w:pPr>
        <w:spacing w:line="360" w:lineRule="auto"/>
        <w:ind w:leftChars="197" w:left="414" w:firstLineChars="49" w:firstLine="103"/>
        <w:jc w:val="left"/>
        <w:rPr>
          <w:rFonts w:ascii="宋体" w:hAnsi="宋体"/>
          <w:b/>
          <w:szCs w:val="21"/>
        </w:rPr>
      </w:pPr>
      <w:r>
        <w:rPr>
          <w:rFonts w:ascii="宋体" w:hAnsi="宋体" w:hint="eastAsia"/>
          <w:b/>
          <w:szCs w:val="21"/>
        </w:rPr>
        <w:t>4响应委托</w:t>
      </w:r>
    </w:p>
    <w:p>
      <w:pPr>
        <w:spacing w:line="360" w:lineRule="auto"/>
        <w:ind w:leftChars="197" w:left="414" w:firstLineChars="49" w:firstLine="103"/>
        <w:jc w:val="left"/>
        <w:rPr>
          <w:rFonts w:ascii="宋体" w:hAnsi="宋体"/>
          <w:szCs w:val="21"/>
        </w:rPr>
      </w:pPr>
      <w:r>
        <w:rPr>
          <w:rFonts w:ascii="宋体" w:hAnsi="宋体" w:hint="eastAsia"/>
          <w:szCs w:val="21"/>
        </w:rPr>
        <w:t>4.1供应商的法定代表人可以委托代表人处理响应事务。</w:t>
      </w:r>
    </w:p>
    <w:p>
      <w:pPr>
        <w:spacing w:line="360" w:lineRule="auto"/>
        <w:ind w:leftChars="197" w:left="414" w:firstLineChars="49" w:firstLine="103"/>
        <w:jc w:val="left"/>
        <w:rPr>
          <w:rFonts w:ascii="宋体" w:hAnsi="宋体"/>
          <w:szCs w:val="21"/>
        </w:rPr>
      </w:pPr>
      <w:r>
        <w:rPr>
          <w:rFonts w:ascii="宋体" w:hAnsi="宋体" w:hint="eastAsia"/>
          <w:szCs w:val="21"/>
        </w:rPr>
        <w:t>4.2委托代表人的资格条件：见供应商须知前附表。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4.3委托代表人的代理权限：见供应商须知前附表。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4.4委托代表人须持有法定代表人出具的符合格式要求的《授权委托书》（格式见附件）。</w:t>
      </w:r>
    </w:p>
    <w:p>
      <w:pPr>
        <w:spacing w:line="360" w:lineRule="auto"/>
        <w:ind w:leftChars="197" w:left="414" w:firstLineChars="49" w:firstLine="103"/>
        <w:jc w:val="left"/>
        <w:rPr>
          <w:rFonts w:ascii="宋体" w:hAnsi="宋体"/>
          <w:b/>
          <w:szCs w:val="21"/>
        </w:rPr>
      </w:pPr>
      <w:r>
        <w:rPr>
          <w:rFonts w:ascii="宋体" w:hAnsi="宋体" w:hint="eastAsia"/>
          <w:b/>
          <w:szCs w:val="21"/>
        </w:rPr>
        <w:t>5响应费用</w:t>
      </w:r>
    </w:p>
    <w:p>
      <w:pPr>
        <w:spacing w:line="360" w:lineRule="auto"/>
        <w:ind w:leftChars="197" w:left="414" w:firstLineChars="49" w:firstLine="103"/>
        <w:jc w:val="left"/>
        <w:rPr>
          <w:rFonts w:ascii="宋体" w:hAnsi="宋体"/>
          <w:szCs w:val="21"/>
        </w:rPr>
      </w:pPr>
      <w:r>
        <w:rPr>
          <w:rFonts w:ascii="宋体" w:hAnsi="宋体" w:hint="eastAsia"/>
          <w:szCs w:val="21"/>
        </w:rPr>
        <w:t>5.1供应商自行承担参加响应的全部费用。</w:t>
      </w:r>
    </w:p>
    <w:p>
      <w:pPr>
        <w:pStyle w:val="2"/>
      </w:pPr>
      <w:bookmarkStart w:id="48" w:name="_Toc32100"/>
      <w:bookmarkStart w:id="49" w:name="_Toc317237775"/>
      <w:bookmarkStart w:id="50" w:name="_Toc317237600"/>
      <w:bookmarkStart w:id="51" w:name="_Toc67843802"/>
      <w:r>
        <w:rPr>
          <w:rFonts w:hint="eastAsia"/>
        </w:rPr>
        <w:t>B竞争性磋商文件</w:t>
      </w:r>
      <w:bookmarkEnd w:id="48"/>
      <w:bookmarkEnd w:id="49"/>
      <w:bookmarkEnd w:id="50"/>
      <w:bookmarkEnd w:id="51"/>
    </w:p>
    <w:p>
      <w:pPr>
        <w:spacing w:line="360" w:lineRule="auto"/>
        <w:ind w:leftChars="197" w:left="414" w:firstLineChars="49" w:firstLine="103"/>
        <w:jc w:val="left"/>
        <w:rPr>
          <w:rFonts w:ascii="宋体" w:hAnsi="宋体"/>
          <w:b/>
          <w:szCs w:val="21"/>
        </w:rPr>
      </w:pPr>
      <w:r>
        <w:rPr>
          <w:rFonts w:ascii="宋体" w:hAnsi="宋体" w:hint="eastAsia"/>
          <w:b/>
          <w:szCs w:val="21"/>
        </w:rPr>
        <w:t>6竞争性磋商文件的构成</w:t>
      </w:r>
    </w:p>
    <w:p>
      <w:pPr>
        <w:spacing w:line="360" w:lineRule="auto"/>
        <w:ind w:leftChars="197" w:left="414" w:firstLineChars="49" w:firstLine="103"/>
        <w:jc w:val="left"/>
        <w:rPr>
          <w:rFonts w:ascii="宋体" w:hAnsi="宋体"/>
          <w:szCs w:val="21"/>
        </w:rPr>
      </w:pPr>
      <w:r>
        <w:rPr>
          <w:rFonts w:ascii="宋体" w:hAnsi="宋体" w:hint="eastAsia"/>
          <w:szCs w:val="21"/>
        </w:rPr>
        <w:t>6.1竞争性磋商文件规定本次采购活动的规则，提供编制响应文件和参加响应的依据。竞争性磋商文件包括以下内容：</w:t>
      </w:r>
    </w:p>
    <w:p>
      <w:pPr>
        <w:spacing w:line="360" w:lineRule="auto"/>
        <w:ind w:leftChars="197" w:left="414" w:firstLineChars="49" w:firstLine="103"/>
        <w:jc w:val="left"/>
        <w:rPr>
          <w:rFonts w:ascii="宋体" w:hAnsi="宋体"/>
          <w:szCs w:val="21"/>
        </w:rPr>
      </w:pPr>
      <w:r>
        <w:rPr>
          <w:rFonts w:ascii="宋体" w:hAnsi="宋体" w:hint="eastAsia"/>
          <w:szCs w:val="21"/>
        </w:rPr>
        <w:t>第一章 竞争性磋商采购公告；</w:t>
      </w:r>
    </w:p>
    <w:p>
      <w:pPr>
        <w:spacing w:line="360" w:lineRule="auto"/>
        <w:ind w:leftChars="197" w:left="414" w:firstLineChars="49" w:firstLine="103"/>
        <w:jc w:val="left"/>
        <w:rPr>
          <w:rFonts w:ascii="宋体" w:hAnsi="宋体"/>
          <w:szCs w:val="21"/>
        </w:rPr>
      </w:pPr>
      <w:r>
        <w:rPr>
          <w:rFonts w:ascii="宋体" w:hAnsi="宋体" w:hint="eastAsia"/>
          <w:szCs w:val="21"/>
        </w:rPr>
        <w:t>第二章 供应商须知；</w:t>
      </w:r>
    </w:p>
    <w:p>
      <w:pPr>
        <w:spacing w:line="360" w:lineRule="auto"/>
        <w:ind w:leftChars="197" w:left="414" w:firstLineChars="49" w:firstLine="103"/>
        <w:jc w:val="left"/>
        <w:rPr>
          <w:rFonts w:ascii="宋体" w:hAnsi="宋体"/>
          <w:szCs w:val="21"/>
        </w:rPr>
      </w:pPr>
      <w:r>
        <w:rPr>
          <w:rFonts w:ascii="宋体" w:hAnsi="宋体" w:hint="eastAsia"/>
          <w:szCs w:val="21"/>
        </w:rPr>
        <w:t>第三章 采购需求要求；</w:t>
      </w:r>
    </w:p>
    <w:p>
      <w:pPr>
        <w:spacing w:line="360" w:lineRule="auto"/>
        <w:ind w:leftChars="197" w:left="414" w:firstLineChars="49" w:firstLine="103"/>
        <w:jc w:val="left"/>
        <w:rPr>
          <w:rFonts w:ascii="宋体" w:hAnsi="宋体"/>
          <w:szCs w:val="21"/>
        </w:rPr>
      </w:pPr>
      <w:r>
        <w:rPr>
          <w:rFonts w:ascii="宋体" w:hAnsi="宋体" w:hint="eastAsia"/>
          <w:szCs w:val="21"/>
        </w:rPr>
        <w:t>第四章 合同条款及格式；</w:t>
      </w:r>
    </w:p>
    <w:p>
      <w:pPr>
        <w:spacing w:line="360" w:lineRule="auto"/>
        <w:ind w:leftChars="197" w:left="414" w:firstLineChars="49" w:firstLine="103"/>
        <w:jc w:val="left"/>
        <w:rPr>
          <w:rFonts w:ascii="宋体" w:hAnsi="宋体"/>
          <w:szCs w:val="21"/>
        </w:rPr>
      </w:pPr>
      <w:r>
        <w:rPr>
          <w:rFonts w:ascii="宋体" w:hAnsi="宋体" w:hint="eastAsia"/>
          <w:szCs w:val="21"/>
        </w:rPr>
        <w:t>第五章 评审方法和标准；</w:t>
      </w:r>
    </w:p>
    <w:p>
      <w:pPr>
        <w:spacing w:line="360" w:lineRule="auto"/>
        <w:ind w:leftChars="197" w:left="414" w:firstLineChars="49" w:firstLine="103"/>
        <w:jc w:val="left"/>
        <w:rPr>
          <w:rFonts w:ascii="宋体" w:hAnsi="宋体"/>
          <w:szCs w:val="21"/>
        </w:rPr>
      </w:pPr>
      <w:r>
        <w:rPr>
          <w:rFonts w:ascii="宋体" w:hAnsi="宋体" w:hint="eastAsia"/>
          <w:szCs w:val="21"/>
        </w:rPr>
        <w:t>第六章 响应文件格式。</w:t>
      </w:r>
    </w:p>
    <w:p>
      <w:pPr>
        <w:spacing w:line="360" w:lineRule="auto"/>
        <w:ind w:leftChars="197" w:left="414" w:firstLineChars="49" w:firstLine="103"/>
        <w:jc w:val="left"/>
        <w:rPr>
          <w:rFonts w:ascii="宋体" w:hAnsi="宋体"/>
          <w:szCs w:val="21"/>
        </w:rPr>
      </w:pPr>
      <w:r>
        <w:rPr>
          <w:rFonts w:ascii="宋体" w:hAnsi="宋体" w:hint="eastAsia"/>
          <w:szCs w:val="21"/>
        </w:rPr>
        <w:t>6.2供应商应当仔细阅读、充分关注和正确理解采购文件中陈述的所有事项，遵循格式文件的规定和签署要求。不能对采购文件做出实质性响应的将被拒绝。</w:t>
      </w:r>
    </w:p>
    <w:p>
      <w:pPr>
        <w:spacing w:line="360" w:lineRule="auto"/>
        <w:ind w:leftChars="197" w:left="414" w:firstLineChars="49" w:firstLine="103"/>
        <w:jc w:val="left"/>
        <w:rPr>
          <w:rFonts w:ascii="宋体" w:hAnsi="宋体"/>
          <w:b/>
          <w:szCs w:val="21"/>
        </w:rPr>
      </w:pPr>
      <w:r>
        <w:rPr>
          <w:rFonts w:ascii="宋体" w:hAnsi="宋体" w:hint="eastAsia"/>
          <w:b/>
          <w:szCs w:val="21"/>
        </w:rPr>
        <w:t>7竞争性磋商文件的澄清和修改</w:t>
      </w:r>
    </w:p>
    <w:p>
      <w:pPr>
        <w:spacing w:line="360" w:lineRule="auto"/>
        <w:ind w:leftChars="197" w:left="414" w:firstLineChars="49" w:firstLine="103"/>
        <w:jc w:val="left"/>
        <w:rPr>
          <w:rFonts w:ascii="宋体" w:hAnsi="宋体"/>
          <w:szCs w:val="21"/>
        </w:rPr>
      </w:pPr>
      <w:r>
        <w:rPr>
          <w:rFonts w:ascii="宋体" w:hAnsi="宋体" w:hint="eastAsia"/>
          <w:szCs w:val="21"/>
        </w:rPr>
        <w:t>7.1采购人有权在响应截止时间前对竞争性磋商文件进行澄清或者修改。</w:t>
      </w:r>
    </w:p>
    <w:p>
      <w:pPr>
        <w:spacing w:line="360" w:lineRule="auto"/>
        <w:ind w:leftChars="197" w:left="414" w:firstLineChars="49" w:firstLine="103"/>
        <w:jc w:val="left"/>
        <w:rPr>
          <w:rFonts w:ascii="宋体" w:hAnsi="宋体"/>
          <w:szCs w:val="21"/>
        </w:rPr>
      </w:pPr>
      <w:r>
        <w:rPr>
          <w:rFonts w:ascii="宋体" w:hAnsi="宋体" w:hint="eastAsia"/>
          <w:szCs w:val="21"/>
        </w:rPr>
        <w:t>7.2澄清或者修改是采购文件的组成部分。澄清或者修改以发布公告的方式通知所有供应商。</w:t>
      </w:r>
    </w:p>
    <w:p>
      <w:pPr>
        <w:spacing w:line="360" w:lineRule="auto"/>
        <w:ind w:leftChars="197" w:left="414" w:firstLineChars="49" w:firstLine="103"/>
        <w:jc w:val="left"/>
        <w:rPr>
          <w:rFonts w:ascii="宋体" w:hAnsi="宋体"/>
          <w:szCs w:val="21"/>
        </w:rPr>
      </w:pPr>
      <w:r>
        <w:rPr>
          <w:rFonts w:ascii="宋体" w:hAnsi="宋体" w:hint="eastAsia"/>
          <w:szCs w:val="21"/>
        </w:rPr>
        <w:t>7.3供应商要求对采购文件进行澄清的，应在响应截止日5天前，以书面形式向采购代理机构提出。</w:t>
      </w:r>
    </w:p>
    <w:p>
      <w:pPr>
        <w:spacing w:line="360" w:lineRule="auto"/>
        <w:ind w:leftChars="197" w:left="414" w:firstLineChars="49" w:firstLine="103"/>
        <w:jc w:val="left"/>
        <w:rPr>
          <w:rFonts w:ascii="宋体" w:hAnsi="宋体"/>
          <w:szCs w:val="21"/>
        </w:rPr>
      </w:pPr>
      <w:r>
        <w:rPr>
          <w:rFonts w:ascii="宋体" w:hAnsi="宋体" w:hint="eastAsia"/>
          <w:szCs w:val="21"/>
        </w:rPr>
        <w:t xml:space="preserve">7.4在响应截止时间前，采购单位可以视采购具体情况，延长响应截止时间和唱价时间。 </w:t>
      </w:r>
    </w:p>
    <w:p>
      <w:pPr>
        <w:spacing w:line="360" w:lineRule="auto"/>
        <w:ind w:leftChars="197" w:left="414" w:firstLineChars="49" w:firstLine="103"/>
        <w:jc w:val="left"/>
        <w:rPr>
          <w:rFonts w:ascii="宋体" w:hAnsi="宋体"/>
          <w:szCs w:val="21"/>
        </w:rPr>
      </w:pPr>
      <w:r>
        <w:rPr>
          <w:rFonts w:ascii="宋体" w:hAnsi="宋体" w:hint="eastAsia"/>
          <w:szCs w:val="21"/>
        </w:rPr>
        <w:t>变更的响应截止时间和唱价时间，将在原来规定的响应截止时间1日前，以发布变更公告的方式通知所有供应商。</w:t>
      </w:r>
    </w:p>
    <w:p>
      <w:pPr>
        <w:spacing w:line="360" w:lineRule="auto"/>
        <w:ind w:leftChars="197" w:left="414" w:firstLineChars="49" w:firstLine="103"/>
        <w:jc w:val="left"/>
        <w:rPr>
          <w:rFonts w:ascii="宋体" w:hAnsi="宋体"/>
          <w:b/>
          <w:szCs w:val="21"/>
        </w:rPr>
      </w:pPr>
      <w:r>
        <w:rPr>
          <w:rFonts w:ascii="宋体" w:hAnsi="宋体" w:hint="eastAsia"/>
          <w:b/>
          <w:szCs w:val="21"/>
        </w:rPr>
        <w:t>8答疑会和现场考察</w:t>
      </w:r>
    </w:p>
    <w:p>
      <w:pPr>
        <w:spacing w:line="360" w:lineRule="auto"/>
        <w:ind w:leftChars="197" w:left="414" w:firstLineChars="49" w:firstLine="103"/>
        <w:jc w:val="left"/>
        <w:rPr>
          <w:rFonts w:ascii="宋体" w:hAnsi="宋体"/>
          <w:szCs w:val="21"/>
        </w:rPr>
      </w:pPr>
      <w:r>
        <w:rPr>
          <w:rFonts w:ascii="宋体" w:hAnsi="宋体" w:hint="eastAsia"/>
          <w:szCs w:val="21"/>
        </w:rPr>
        <w:t>8.1答疑会和现场考察：见供应商须知前附表。</w:t>
      </w:r>
    </w:p>
    <w:p>
      <w:pPr>
        <w:pStyle w:val="2"/>
      </w:pPr>
      <w:bookmarkStart w:id="52" w:name="_Toc317237601"/>
      <w:bookmarkStart w:id="53" w:name="_Toc317237776"/>
      <w:bookmarkStart w:id="54" w:name="_Toc4423"/>
      <w:bookmarkStart w:id="55" w:name="_Toc67843803"/>
      <w:r>
        <w:rPr>
          <w:rFonts w:hint="eastAsia"/>
        </w:rPr>
        <w:t>C响应文件</w:t>
      </w:r>
      <w:bookmarkEnd w:id="52"/>
      <w:bookmarkEnd w:id="53"/>
      <w:bookmarkEnd w:id="54"/>
      <w:bookmarkEnd w:id="55"/>
    </w:p>
    <w:p>
      <w:pPr>
        <w:spacing w:line="360" w:lineRule="auto"/>
        <w:ind w:leftChars="197" w:left="414" w:firstLineChars="49" w:firstLine="103"/>
        <w:jc w:val="left"/>
        <w:rPr>
          <w:rFonts w:ascii="宋体" w:hAnsi="宋体"/>
          <w:b/>
          <w:szCs w:val="21"/>
        </w:rPr>
      </w:pPr>
      <w:r>
        <w:rPr>
          <w:rFonts w:ascii="宋体" w:hAnsi="宋体" w:hint="eastAsia"/>
          <w:b/>
          <w:szCs w:val="21"/>
        </w:rPr>
        <w:t>9响应文件计量单位和使用文字</w:t>
      </w:r>
    </w:p>
    <w:p>
      <w:pPr>
        <w:spacing w:line="360" w:lineRule="auto"/>
        <w:ind w:leftChars="197" w:left="414" w:firstLineChars="49" w:firstLine="103"/>
        <w:jc w:val="left"/>
        <w:rPr>
          <w:rFonts w:ascii="宋体" w:hAnsi="宋体"/>
          <w:szCs w:val="21"/>
        </w:rPr>
      </w:pPr>
      <w:r>
        <w:rPr>
          <w:rFonts w:ascii="宋体" w:hAnsi="宋体" w:hint="eastAsia"/>
          <w:szCs w:val="21"/>
        </w:rPr>
        <w:t>9.1所有计量均采用中华人民共和国法定计量单位。</w:t>
      </w:r>
    </w:p>
    <w:p>
      <w:pPr>
        <w:spacing w:line="360" w:lineRule="auto"/>
        <w:ind w:leftChars="197" w:left="414" w:firstLineChars="49" w:firstLine="103"/>
        <w:jc w:val="left"/>
        <w:rPr>
          <w:rFonts w:ascii="宋体" w:hAnsi="宋体"/>
          <w:szCs w:val="21"/>
        </w:rPr>
      </w:pPr>
      <w:r>
        <w:rPr>
          <w:rFonts w:ascii="宋体" w:hAnsi="宋体" w:hint="eastAsia"/>
          <w:szCs w:val="21"/>
        </w:rPr>
        <w:t>9.2响应文件使用中文编制。响应文件部分内容必须使用其他文字的，应当附有该文字的中文译本。供应商承担未附中文译本或中文译本不准确而引起不利后果。</w:t>
      </w:r>
    </w:p>
    <w:p>
      <w:pPr>
        <w:spacing w:line="360" w:lineRule="auto"/>
        <w:ind w:leftChars="197" w:left="414" w:firstLineChars="49" w:firstLine="103"/>
        <w:jc w:val="left"/>
        <w:rPr>
          <w:rFonts w:ascii="宋体" w:hAnsi="宋体"/>
          <w:b/>
          <w:szCs w:val="21"/>
        </w:rPr>
      </w:pPr>
      <w:r>
        <w:rPr>
          <w:rFonts w:ascii="宋体" w:hAnsi="宋体" w:hint="eastAsia"/>
          <w:b/>
          <w:szCs w:val="21"/>
        </w:rPr>
        <w:t>10联合体响应</w:t>
      </w:r>
    </w:p>
    <w:p>
      <w:pPr>
        <w:spacing w:line="360" w:lineRule="auto"/>
        <w:ind w:leftChars="197" w:left="414" w:firstLineChars="49" w:firstLine="103"/>
        <w:jc w:val="left"/>
        <w:rPr>
          <w:rFonts w:ascii="宋体" w:hAnsi="宋体"/>
          <w:szCs w:val="21"/>
        </w:rPr>
      </w:pPr>
      <w:r>
        <w:rPr>
          <w:rFonts w:ascii="宋体" w:hAnsi="宋体" w:hint="eastAsia"/>
          <w:szCs w:val="21"/>
        </w:rPr>
        <w:t>10.1本次采购</w:t>
      </w:r>
      <w:r>
        <w:rPr>
          <w:rFonts w:ascii="宋体" w:hAnsi="宋体"/>
          <w:szCs w:val="21"/>
        </w:rPr>
        <w:t>不</w:t>
      </w:r>
      <w:r>
        <w:rPr>
          <w:rFonts w:ascii="宋体" w:hAnsi="宋体" w:hint="eastAsia"/>
          <w:szCs w:val="21"/>
        </w:rPr>
        <w:t>接受联合体响应。</w:t>
      </w:r>
    </w:p>
    <w:p>
      <w:pPr>
        <w:spacing w:line="360" w:lineRule="auto"/>
        <w:ind w:leftChars="197" w:left="414" w:firstLineChars="49" w:firstLine="103"/>
        <w:jc w:val="left"/>
        <w:rPr>
          <w:rFonts w:ascii="宋体" w:hAnsi="宋体"/>
          <w:b/>
          <w:szCs w:val="21"/>
        </w:rPr>
      </w:pPr>
      <w:r>
        <w:rPr>
          <w:rFonts w:ascii="宋体" w:hAnsi="宋体" w:hint="eastAsia"/>
          <w:b/>
          <w:szCs w:val="21"/>
        </w:rPr>
        <w:t>11响应文件的组成</w:t>
      </w:r>
    </w:p>
    <w:p>
      <w:pPr>
        <w:pStyle w:val="79"/>
        <w:spacing w:before="240"/>
        <w:ind w:firstLineChars="0" w:firstLine="420"/>
        <w:jc w:val="left"/>
        <w:rPr>
          <w:rFonts w:ascii="宋体" w:hAnsi="宋体"/>
          <w:szCs w:val="21"/>
        </w:rPr>
      </w:pPr>
      <w:r>
        <w:rPr>
          <w:rFonts w:ascii="宋体" w:hAnsi="宋体" w:hint="eastAsia"/>
          <w:szCs w:val="21"/>
        </w:rPr>
        <w:t>1、磋商函</w:t>
      </w:r>
    </w:p>
    <w:p>
      <w:pPr>
        <w:pStyle w:val="79"/>
        <w:spacing w:before="240"/>
        <w:ind w:firstLineChars="0" w:firstLine="420"/>
        <w:jc w:val="left"/>
        <w:rPr>
          <w:rFonts w:ascii="宋体" w:hAnsi="宋体"/>
          <w:szCs w:val="21"/>
        </w:rPr>
      </w:pPr>
      <w:r>
        <w:rPr>
          <w:rFonts w:ascii="宋体" w:hAnsi="宋体"/>
          <w:szCs w:val="21"/>
        </w:rPr>
        <w:t>2</w:t>
      </w:r>
      <w:r>
        <w:rPr>
          <w:rFonts w:ascii="宋体" w:hAnsi="宋体" w:hint="eastAsia"/>
          <w:szCs w:val="21"/>
        </w:rPr>
        <w:t>、法定代表人身份证明</w:t>
      </w:r>
    </w:p>
    <w:p>
      <w:pPr>
        <w:pStyle w:val="79"/>
        <w:spacing w:before="240"/>
        <w:ind w:firstLineChars="0" w:firstLine="420"/>
        <w:jc w:val="left"/>
        <w:rPr>
          <w:rFonts w:ascii="宋体" w:hAnsi="宋体"/>
          <w:szCs w:val="21"/>
        </w:rPr>
      </w:pPr>
      <w:r>
        <w:rPr>
          <w:rFonts w:ascii="宋体" w:hAnsi="宋体"/>
          <w:szCs w:val="21"/>
        </w:rPr>
        <w:t>3</w:t>
      </w:r>
      <w:r>
        <w:rPr>
          <w:rFonts w:ascii="宋体" w:hAnsi="宋体" w:hint="eastAsia"/>
          <w:szCs w:val="21"/>
        </w:rPr>
        <w:t>、授权委托书</w:t>
      </w:r>
    </w:p>
    <w:p>
      <w:pPr>
        <w:pStyle w:val="79"/>
        <w:spacing w:before="240"/>
        <w:ind w:firstLineChars="0" w:firstLine="420"/>
        <w:jc w:val="left"/>
        <w:rPr>
          <w:rFonts w:ascii="宋体" w:hAnsi="宋体"/>
          <w:szCs w:val="21"/>
        </w:rPr>
      </w:pPr>
      <w:r>
        <w:rPr>
          <w:rFonts w:ascii="宋体" w:hAnsi="宋体"/>
          <w:szCs w:val="21"/>
        </w:rPr>
        <w:t>4</w:t>
      </w:r>
      <w:r>
        <w:rPr>
          <w:rFonts w:ascii="宋体" w:hAnsi="宋体" w:hint="eastAsia"/>
          <w:szCs w:val="21"/>
        </w:rPr>
        <w:t>、响应人基本情况表</w:t>
      </w:r>
    </w:p>
    <w:p>
      <w:pPr>
        <w:pStyle w:val="79"/>
        <w:spacing w:before="240"/>
        <w:ind w:firstLineChars="0" w:firstLine="420"/>
        <w:jc w:val="left"/>
        <w:rPr>
          <w:rFonts w:ascii="宋体" w:hAnsi="宋体"/>
          <w:szCs w:val="21"/>
        </w:rPr>
      </w:pPr>
      <w:r>
        <w:rPr>
          <w:rFonts w:ascii="宋体" w:hAnsi="宋体"/>
          <w:szCs w:val="21"/>
        </w:rPr>
        <w:t>5</w:t>
      </w:r>
      <w:r>
        <w:rPr>
          <w:rFonts w:ascii="宋体" w:hAnsi="宋体" w:hint="eastAsia"/>
          <w:szCs w:val="21"/>
        </w:rPr>
        <w:t>、</w:t>
      </w:r>
      <w:r>
        <w:rPr>
          <w:rFonts w:ascii="宋体" w:hAnsi="宋体"/>
          <w:szCs w:val="21"/>
        </w:rPr>
        <w:t>信用查询</w:t>
      </w:r>
    </w:p>
    <w:p>
      <w:pPr>
        <w:pStyle w:val="79"/>
        <w:spacing w:before="240"/>
        <w:ind w:firstLineChars="0" w:firstLine="420"/>
        <w:jc w:val="left"/>
        <w:rPr>
          <w:rFonts w:ascii="宋体" w:hAnsi="宋体"/>
          <w:szCs w:val="21"/>
        </w:rPr>
      </w:pPr>
      <w:r>
        <w:rPr>
          <w:rFonts w:ascii="宋体" w:hAnsi="宋体"/>
          <w:szCs w:val="21"/>
        </w:rPr>
        <w:t>6</w:t>
      </w:r>
      <w:r>
        <w:rPr>
          <w:rFonts w:ascii="宋体" w:hAnsi="宋体" w:hint="eastAsia"/>
          <w:szCs w:val="21"/>
        </w:rPr>
        <w:t>、无重大违法记录的书面声明</w:t>
      </w:r>
    </w:p>
    <w:p>
      <w:pPr>
        <w:pStyle w:val="79"/>
        <w:spacing w:before="240"/>
        <w:ind w:firstLineChars="0" w:firstLine="420"/>
        <w:jc w:val="left"/>
        <w:rPr>
          <w:rFonts w:ascii="宋体" w:hAnsi="宋体"/>
          <w:szCs w:val="21"/>
        </w:rPr>
      </w:pPr>
      <w:r>
        <w:rPr>
          <w:rFonts w:ascii="宋体" w:hAnsi="宋体"/>
          <w:szCs w:val="21"/>
        </w:rPr>
        <w:t>7、无环保类行政处罚记录</w:t>
      </w:r>
    </w:p>
    <w:p>
      <w:pPr>
        <w:pStyle w:val="79"/>
        <w:spacing w:before="240"/>
        <w:ind w:firstLineChars="0" w:firstLine="420"/>
        <w:jc w:val="left"/>
        <w:rPr>
          <w:rFonts w:ascii="宋体" w:hAnsi="宋体"/>
          <w:szCs w:val="21"/>
        </w:rPr>
      </w:pPr>
      <w:r>
        <w:rPr>
          <w:rFonts w:ascii="宋体" w:hAnsi="宋体"/>
          <w:szCs w:val="21"/>
        </w:rPr>
        <w:t>8</w:t>
      </w:r>
      <w:r>
        <w:rPr>
          <w:rFonts w:ascii="宋体" w:hAnsi="宋体" w:hint="eastAsia"/>
          <w:szCs w:val="21"/>
        </w:rPr>
        <w:t>、</w:t>
      </w:r>
      <w:r>
        <w:rPr>
          <w:rFonts w:ascii="宋体" w:hAnsi="宋体"/>
          <w:szCs w:val="21"/>
        </w:rPr>
        <w:t>资格承诺函</w:t>
      </w:r>
    </w:p>
    <w:p>
      <w:pPr>
        <w:pStyle w:val="79"/>
        <w:spacing w:before="240"/>
        <w:ind w:firstLineChars="0" w:firstLine="420"/>
        <w:jc w:val="left"/>
        <w:rPr>
          <w:rFonts w:ascii="宋体" w:hAnsi="宋体"/>
          <w:szCs w:val="21"/>
        </w:rPr>
      </w:pPr>
      <w:r>
        <w:rPr>
          <w:rFonts w:ascii="宋体" w:hAnsi="宋体"/>
          <w:szCs w:val="21"/>
        </w:rPr>
        <w:t>9</w:t>
      </w:r>
      <w:r>
        <w:rPr>
          <w:rFonts w:ascii="宋体" w:hAnsi="宋体" w:hint="eastAsia"/>
          <w:szCs w:val="21"/>
        </w:rPr>
        <w:t>、反商业贿赂承诺书</w:t>
      </w:r>
    </w:p>
    <w:p>
      <w:pPr>
        <w:pStyle w:val="79"/>
        <w:spacing w:before="240"/>
        <w:ind w:firstLineChars="0" w:firstLine="420"/>
        <w:jc w:val="left"/>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、信投标、诚信履约承诺书</w:t>
      </w:r>
    </w:p>
    <w:p>
      <w:pPr>
        <w:pStyle w:val="79"/>
        <w:spacing w:before="240"/>
        <w:ind w:firstLineChars="0" w:firstLine="420"/>
        <w:jc w:val="left"/>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w:t>
      </w:r>
      <w:r>
        <w:rPr>
          <w:rFonts w:ascii="宋体" w:hAnsi="宋体"/>
          <w:szCs w:val="21"/>
        </w:rPr>
        <w:t>非联合体声明</w:t>
      </w:r>
    </w:p>
    <w:p>
      <w:pPr>
        <w:pStyle w:val="79"/>
        <w:spacing w:before="240"/>
        <w:ind w:firstLineChars="0" w:firstLine="420"/>
        <w:jc w:val="left"/>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w:t>
      </w:r>
      <w:r>
        <w:rPr>
          <w:rFonts w:ascii="宋体" w:hAnsi="宋体"/>
          <w:szCs w:val="21"/>
        </w:rPr>
        <w:t>具体法律、行政规定的承诺</w:t>
      </w:r>
    </w:p>
    <w:p>
      <w:pPr>
        <w:pStyle w:val="79"/>
        <w:spacing w:before="240"/>
        <w:ind w:firstLineChars="0" w:firstLine="420"/>
        <w:jc w:val="left"/>
        <w:rPr>
          <w:rFonts w:ascii="宋体" w:hAnsi="宋体"/>
          <w:szCs w:val="21"/>
        </w:rPr>
      </w:pPr>
      <w:r>
        <w:rPr>
          <w:rFonts w:ascii="宋体" w:hAnsi="宋体"/>
          <w:szCs w:val="21"/>
        </w:rPr>
        <w:t>13、其他资格证明材料</w:t>
      </w:r>
    </w:p>
    <w:p>
      <w:pPr>
        <w:pStyle w:val="79"/>
        <w:spacing w:before="240"/>
        <w:ind w:firstLineChars="0" w:firstLine="420"/>
        <w:jc w:val="left"/>
        <w:rPr>
          <w:rFonts w:ascii="宋体" w:hAnsi="宋体"/>
          <w:szCs w:val="21"/>
        </w:rPr>
      </w:pPr>
      <w:r>
        <w:rPr>
          <w:rFonts w:ascii="宋体" w:hAnsi="宋体" w:hint="eastAsia"/>
          <w:szCs w:val="21"/>
        </w:rPr>
        <w:t>14、中小企业</w:t>
      </w:r>
      <w:r>
        <w:rPr>
          <w:rFonts w:ascii="宋体" w:hAnsi="宋体"/>
          <w:szCs w:val="21"/>
        </w:rPr>
        <w:t>声明函</w:t>
      </w:r>
    </w:p>
    <w:p>
      <w:pPr>
        <w:pStyle w:val="79"/>
        <w:spacing w:before="240"/>
        <w:ind w:firstLineChars="0" w:firstLine="420"/>
        <w:jc w:val="left"/>
        <w:rPr>
          <w:rFonts w:ascii="宋体" w:hAnsi="宋体"/>
          <w:szCs w:val="21"/>
        </w:rPr>
      </w:pPr>
      <w:r>
        <w:rPr>
          <w:rFonts w:ascii="宋体" w:hAnsi="宋体" w:hint="eastAsia"/>
          <w:szCs w:val="21"/>
        </w:rPr>
        <w:t>15、残疾人</w:t>
      </w:r>
      <w:r>
        <w:rPr>
          <w:rFonts w:ascii="宋体" w:hAnsi="宋体"/>
          <w:szCs w:val="21"/>
        </w:rPr>
        <w:t>声明函</w:t>
      </w:r>
    </w:p>
    <w:p>
      <w:pPr>
        <w:pStyle w:val="79"/>
        <w:spacing w:before="240"/>
        <w:ind w:firstLineChars="0" w:firstLine="420"/>
        <w:jc w:val="left"/>
        <w:rPr>
          <w:rFonts w:ascii="宋体" w:hAnsi="宋体"/>
          <w:szCs w:val="21"/>
        </w:rPr>
      </w:pPr>
      <w:r>
        <w:rPr>
          <w:rFonts w:ascii="宋体" w:hAnsi="宋体" w:hint="eastAsia"/>
          <w:szCs w:val="21"/>
        </w:rPr>
        <w:t>16、监狱企业</w:t>
      </w:r>
      <w:r>
        <w:rPr>
          <w:rFonts w:ascii="宋体" w:hAnsi="宋体"/>
          <w:szCs w:val="21"/>
        </w:rPr>
        <w:t>证明文件</w:t>
      </w:r>
    </w:p>
    <w:p>
      <w:pPr>
        <w:pStyle w:val="79"/>
        <w:spacing w:before="240"/>
        <w:ind w:firstLineChars="0" w:firstLine="420"/>
        <w:jc w:val="left"/>
        <w:rPr>
          <w:rFonts w:ascii="宋体" w:hAnsi="宋体"/>
          <w:szCs w:val="21"/>
        </w:rPr>
      </w:pPr>
      <w:r>
        <w:rPr>
          <w:rFonts w:ascii="宋体" w:hAnsi="宋体" w:hint="eastAsia"/>
          <w:szCs w:val="21"/>
        </w:rPr>
        <w:t>17、</w:t>
      </w:r>
      <w:r>
        <w:rPr>
          <w:rFonts w:ascii="宋体" w:hAnsi="宋体"/>
          <w:szCs w:val="21"/>
        </w:rPr>
        <w:t>报价一览表</w:t>
      </w:r>
    </w:p>
    <w:p>
      <w:pPr>
        <w:pStyle w:val="79"/>
        <w:spacing w:before="240"/>
        <w:ind w:firstLineChars="0" w:firstLine="420"/>
        <w:jc w:val="left"/>
        <w:rPr>
          <w:rFonts w:ascii="宋体" w:hAnsi="宋体"/>
          <w:szCs w:val="21"/>
        </w:rPr>
      </w:pPr>
      <w:r>
        <w:rPr>
          <w:rFonts w:ascii="宋体" w:hAnsi="宋体"/>
          <w:szCs w:val="21"/>
        </w:rPr>
        <w:t>18、采购需求响应表</w:t>
      </w:r>
    </w:p>
    <w:p>
      <w:pPr>
        <w:pStyle w:val="79"/>
        <w:spacing w:before="240"/>
        <w:ind w:firstLineChars="0" w:firstLine="420"/>
        <w:jc w:val="left"/>
        <w:rPr>
          <w:rFonts w:ascii="宋体" w:hAnsi="宋体"/>
          <w:szCs w:val="21"/>
        </w:rPr>
      </w:pPr>
      <w:r>
        <w:rPr>
          <w:rFonts w:ascii="宋体" w:hAnsi="宋体" w:hint="eastAsia"/>
          <w:szCs w:val="21"/>
        </w:rPr>
        <w:t>1</w:t>
      </w:r>
      <w:r>
        <w:rPr>
          <w:rFonts w:ascii="宋体" w:hAnsi="宋体"/>
          <w:szCs w:val="21"/>
        </w:rPr>
        <w:t>9</w:t>
      </w:r>
      <w:r>
        <w:rPr>
          <w:rFonts w:ascii="宋体" w:hAnsi="宋体" w:hint="eastAsia"/>
          <w:szCs w:val="21"/>
        </w:rPr>
        <w:t>、</w:t>
      </w:r>
      <w:r>
        <w:rPr>
          <w:rFonts w:ascii="宋体" w:hAnsi="宋体"/>
          <w:szCs w:val="21"/>
        </w:rPr>
        <w:t>实施方案</w:t>
      </w:r>
    </w:p>
    <w:p>
      <w:pPr>
        <w:pStyle w:val="79"/>
        <w:spacing w:before="240"/>
        <w:ind w:firstLineChars="0" w:firstLine="420"/>
        <w:jc w:val="left"/>
        <w:rPr>
          <w:rFonts w:ascii="宋体" w:hAnsi="宋体"/>
          <w:szCs w:val="21"/>
        </w:rPr>
      </w:pPr>
      <w:r>
        <w:rPr>
          <w:rFonts w:ascii="宋体" w:hAnsi="宋体"/>
          <w:szCs w:val="21"/>
        </w:rPr>
        <w:t>20、售后方案</w:t>
      </w:r>
    </w:p>
    <w:p>
      <w:pPr>
        <w:pStyle w:val="79"/>
        <w:spacing w:before="240"/>
        <w:ind w:firstLineChars="0" w:firstLine="420"/>
        <w:jc w:val="left"/>
        <w:rPr>
          <w:rFonts w:ascii="宋体" w:hAnsi="宋体"/>
          <w:szCs w:val="21"/>
        </w:rPr>
      </w:pPr>
      <w:r>
        <w:rPr>
          <w:rFonts w:ascii="宋体" w:hAnsi="宋体"/>
          <w:szCs w:val="21"/>
        </w:rPr>
        <w:t>21、项目业绩</w:t>
      </w:r>
    </w:p>
    <w:p>
      <w:pPr>
        <w:pStyle w:val="79"/>
        <w:spacing w:before="240"/>
        <w:ind w:firstLineChars="0" w:firstLine="420"/>
        <w:jc w:val="left"/>
        <w:rPr>
          <w:rFonts w:ascii="宋体" w:hAnsi="宋体"/>
          <w:szCs w:val="21"/>
        </w:rPr>
      </w:pPr>
      <w:r>
        <w:rPr>
          <w:rFonts w:ascii="宋体" w:hAnsi="宋体"/>
          <w:szCs w:val="21"/>
        </w:rPr>
        <w:t>22、其他说明材料</w:t>
      </w:r>
    </w:p>
    <w:p>
      <w:pPr>
        <w:spacing w:line="360" w:lineRule="auto"/>
        <w:ind w:leftChars="197" w:left="414" w:firstLineChars="49" w:firstLine="103"/>
        <w:jc w:val="left"/>
        <w:rPr>
          <w:rFonts w:ascii="宋体" w:hAnsi="宋体"/>
          <w:b/>
          <w:szCs w:val="21"/>
        </w:rPr>
      </w:pPr>
      <w:r>
        <w:rPr>
          <w:rFonts w:ascii="宋体" w:hAnsi="宋体" w:hint="eastAsia"/>
          <w:b/>
          <w:szCs w:val="21"/>
        </w:rPr>
        <w:t>12响应文件编制说明</w:t>
      </w:r>
    </w:p>
    <w:p>
      <w:pPr>
        <w:spacing w:line="360" w:lineRule="auto"/>
        <w:ind w:leftChars="197" w:left="414" w:firstLineChars="49" w:firstLine="103"/>
        <w:jc w:val="left"/>
        <w:rPr>
          <w:rFonts w:ascii="宋体" w:hAnsi="宋体"/>
          <w:szCs w:val="21"/>
        </w:rPr>
      </w:pPr>
      <w:r>
        <w:rPr>
          <w:rFonts w:ascii="宋体" w:hAnsi="宋体" w:hint="eastAsia"/>
          <w:szCs w:val="21"/>
        </w:rPr>
        <w:t>12.1响应文件必须按照竞争性磋商文件要求的统一格式顺序编写。要求响应文件全部内容制作详细的目录（包括页码的编制），为评审时查询作索引。</w:t>
      </w:r>
    </w:p>
    <w:p>
      <w:pPr>
        <w:spacing w:line="360" w:lineRule="auto"/>
        <w:ind w:leftChars="197" w:left="414" w:firstLineChars="49" w:firstLine="103"/>
        <w:jc w:val="left"/>
        <w:rPr>
          <w:rFonts w:ascii="宋体" w:hAnsi="宋体"/>
          <w:b/>
          <w:szCs w:val="21"/>
        </w:rPr>
      </w:pPr>
      <w:r>
        <w:rPr>
          <w:rFonts w:ascii="宋体" w:hAnsi="宋体" w:hint="eastAsia"/>
          <w:b/>
          <w:szCs w:val="21"/>
        </w:rPr>
        <w:t>13响应报价</w:t>
      </w:r>
    </w:p>
    <w:p>
      <w:pPr>
        <w:spacing w:line="360" w:lineRule="auto"/>
        <w:ind w:leftChars="197" w:left="414" w:firstLineChars="49" w:firstLine="103"/>
        <w:jc w:val="left"/>
        <w:rPr>
          <w:rFonts w:ascii="宋体" w:hAnsi="宋体"/>
          <w:szCs w:val="21"/>
        </w:rPr>
      </w:pPr>
      <w:r>
        <w:rPr>
          <w:rFonts w:ascii="宋体" w:hAnsi="宋体" w:hint="eastAsia"/>
          <w:szCs w:val="21"/>
        </w:rPr>
        <w:t>13.1</w:t>
      </w:r>
      <w:r>
        <w:rPr>
          <w:rFonts w:ascii="宋体" w:eastAsia="宋体" w:cs="宋体" w:hAnsi="宋体" w:hint="eastAsia"/>
          <w:b/>
          <w:color w:val="auto"/>
          <w:szCs w:val="21"/>
        </w:rPr>
        <w:t>本项目预算金</w:t>
      </w:r>
      <w:r>
        <w:rPr>
          <w:rFonts w:ascii="宋体" w:cs="宋体" w:hAnsi="宋体" w:hint="eastAsia"/>
          <w:b/>
          <w:szCs w:val="21"/>
        </w:rPr>
        <w:t>额为</w:t>
      </w:r>
      <w:r>
        <w:rPr>
          <w:rFonts w:ascii="宋体" w:cs="宋体" w:hAnsi="宋体" w:hint="eastAsia"/>
          <w:b/>
          <w:bCs/>
          <w:szCs w:val="21"/>
          <w:u w:val="single"/>
          <w:highlight w:val="none"/>
        </w:rPr>
        <w:t>1892426.00元</w:t>
      </w:r>
      <w:r>
        <w:rPr>
          <w:rFonts w:ascii="宋体" w:cs="宋体" w:hAnsi="宋体" w:hint="eastAsia"/>
          <w:b/>
          <w:szCs w:val="21"/>
          <w:highlight w:val="none"/>
        </w:rPr>
        <w:t>,</w:t>
      </w:r>
      <w:r>
        <w:rPr>
          <w:rFonts w:ascii="宋体" w:cs="宋体" w:hAnsi="宋体" w:hint="eastAsia"/>
          <w:b/>
          <w:bCs/>
          <w:szCs w:val="21"/>
          <w:highlight w:val="none"/>
        </w:rPr>
        <w:t>投</w:t>
      </w:r>
      <w:r>
        <w:rPr>
          <w:rFonts w:ascii="宋体" w:cs="宋体" w:hAnsi="宋体" w:hint="eastAsia"/>
          <w:b/>
          <w:bCs/>
          <w:szCs w:val="21"/>
        </w:rPr>
        <w:t>标限价详见报价一览表,超过限价金额的响应，按无效响应处理。</w:t>
      </w:r>
    </w:p>
    <w:p>
      <w:pPr>
        <w:spacing w:line="360" w:lineRule="auto"/>
        <w:ind w:leftChars="197" w:left="414" w:firstLineChars="49" w:firstLine="103"/>
        <w:jc w:val="left"/>
        <w:rPr>
          <w:rFonts w:ascii="宋体" w:hAnsi="宋体"/>
          <w:szCs w:val="21"/>
        </w:rPr>
      </w:pPr>
      <w:r>
        <w:rPr>
          <w:rFonts w:ascii="宋体" w:hAnsi="宋体" w:hint="eastAsia"/>
          <w:szCs w:val="21"/>
        </w:rPr>
        <w:t>13.2响应报价不得高于该采购预算价，磋商实行两次报价，第一次报价响应人必须按照磋商文件的报价格式填报磋商报价，第二次报价为磋商文件通过评审合格后由磋商委员会分别组织供应商进行的最后一次报价，即为最终报价，磋商结果以供应商的最终报价为准，如成交后由成交方将最终的</w:t>
      </w:r>
      <w:r>
        <w:rPr>
          <w:rFonts w:ascii="宋体" w:hAnsi="宋体" w:hint="eastAsia"/>
          <w:bCs/>
          <w:szCs w:val="21"/>
        </w:rPr>
        <w:t>分项报价明细表</w:t>
      </w:r>
      <w:r>
        <w:rPr>
          <w:rFonts w:ascii="宋体" w:hAnsi="宋体"/>
          <w:bCs/>
          <w:szCs w:val="21"/>
        </w:rPr>
        <w:t>（如有）</w:t>
      </w:r>
      <w:r>
        <w:rPr>
          <w:rFonts w:ascii="宋体" w:hAnsi="宋体" w:hint="eastAsia"/>
          <w:szCs w:val="21"/>
        </w:rPr>
        <w:t>提交于采购人。</w:t>
      </w:r>
    </w:p>
    <w:p>
      <w:pPr>
        <w:spacing w:line="360" w:lineRule="auto"/>
        <w:ind w:leftChars="197" w:left="414" w:firstLineChars="49" w:firstLine="103"/>
        <w:jc w:val="left"/>
        <w:rPr>
          <w:rFonts w:ascii="宋体" w:hAnsi="宋体"/>
          <w:szCs w:val="21"/>
        </w:rPr>
      </w:pPr>
      <w:r>
        <w:rPr>
          <w:rFonts w:ascii="宋体" w:hAnsi="宋体" w:hint="eastAsia"/>
          <w:szCs w:val="21"/>
        </w:rPr>
        <w:t xml:space="preserve">13.3第一次报价，由响应人依据采购预算价、磋商文件的有关要求、现场的实际情况并结合供应商自身技术和管理水平、经营状况、设施及相关规定进行报价，由响应人自主确定报价，报价不可超出采购预算价，否则按无效响应处理。 </w:t>
      </w:r>
    </w:p>
    <w:p>
      <w:pPr>
        <w:spacing w:line="360" w:lineRule="auto"/>
        <w:ind w:leftChars="197" w:left="414" w:firstLineChars="49" w:firstLine="103"/>
        <w:jc w:val="left"/>
        <w:rPr>
          <w:rFonts w:ascii="宋体" w:hAnsi="宋体"/>
          <w:szCs w:val="21"/>
        </w:rPr>
      </w:pPr>
      <w:r>
        <w:rPr>
          <w:rFonts w:ascii="宋体" w:hAnsi="宋体" w:hint="eastAsia"/>
          <w:szCs w:val="21"/>
        </w:rPr>
        <w:t>13.4第二次报价，由响应人以经评审合格的第一次报价为基准进行报价，第二次报价可以和第一次报价相同但不能高于第一次报价。</w:t>
      </w:r>
    </w:p>
    <w:p>
      <w:pPr>
        <w:spacing w:line="360" w:lineRule="auto"/>
        <w:ind w:leftChars="197" w:left="414" w:firstLineChars="49" w:firstLine="103"/>
        <w:jc w:val="left"/>
        <w:rPr>
          <w:rFonts w:ascii="宋体" w:hAnsi="宋体"/>
          <w:b/>
          <w:szCs w:val="21"/>
        </w:rPr>
      </w:pPr>
      <w:r>
        <w:rPr>
          <w:rFonts w:ascii="宋体" w:hAnsi="宋体" w:hint="eastAsia"/>
          <w:b/>
          <w:szCs w:val="21"/>
        </w:rPr>
        <w:t>14响应保证金</w:t>
      </w:r>
    </w:p>
    <w:p>
      <w:pPr>
        <w:spacing w:line="360" w:lineRule="auto"/>
        <w:ind w:leftChars="197" w:left="414" w:firstLineChars="49" w:firstLine="103"/>
        <w:jc w:val="left"/>
        <w:rPr>
          <w:rFonts w:ascii="宋体" w:hAnsi="宋体"/>
          <w:szCs w:val="21"/>
        </w:rPr>
      </w:pPr>
      <w:r>
        <w:rPr>
          <w:rFonts w:ascii="宋体" w:hAnsi="宋体" w:hint="eastAsia"/>
          <w:szCs w:val="21"/>
        </w:rPr>
        <w:t>14.1响应保证金金额及缴纳形式：见供应商须知前附表。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14.2响应保证金缴纳时间：见供应商须知前附表。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14.3保证金账号：见供应商须知前附表。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 xml:space="preserve">14.4响应保证金用于保护本次采购活动，防范供应商恶意利用制度缺陷扰乱唱价评审秩序，避免供应商参与响应后随意撤回响应文件或随意变更应承担的相应义务，给采购项目和采购单位造成损失。 </w:t>
      </w:r>
    </w:p>
    <w:p>
      <w:pPr>
        <w:spacing w:line="360" w:lineRule="auto"/>
        <w:ind w:leftChars="197" w:left="414" w:firstLineChars="49" w:firstLine="103"/>
        <w:jc w:val="left"/>
        <w:rPr>
          <w:rFonts w:ascii="宋体" w:hAnsi="宋体"/>
          <w:szCs w:val="21"/>
        </w:rPr>
      </w:pPr>
      <w:r>
        <w:rPr>
          <w:rFonts w:ascii="宋体" w:hAnsi="宋体" w:hint="eastAsia"/>
          <w:szCs w:val="21"/>
        </w:rPr>
        <w:t>14.5供应商未按竞争性磋商文件要提交响应保证金的，响应无效。</w:t>
      </w:r>
    </w:p>
    <w:p>
      <w:pPr>
        <w:spacing w:line="360" w:lineRule="auto"/>
        <w:ind w:leftChars="197" w:left="414" w:firstLineChars="49" w:firstLine="103"/>
        <w:jc w:val="left"/>
        <w:rPr>
          <w:rFonts w:ascii="宋体" w:hAnsi="宋体"/>
          <w:szCs w:val="21"/>
        </w:rPr>
      </w:pPr>
      <w:r>
        <w:rPr>
          <w:rFonts w:ascii="宋体" w:hAnsi="宋体" w:hint="eastAsia"/>
          <w:szCs w:val="21"/>
        </w:rPr>
        <w:t>14.6未成交供应商的响应保证金，采购代理机构将在成交通知书发出后5个工作日内退还。成交供应商的响应保证金将在采购合同签署后5个工作日内退还。</w:t>
      </w:r>
    </w:p>
    <w:p>
      <w:pPr>
        <w:spacing w:line="360" w:lineRule="auto"/>
        <w:ind w:leftChars="197" w:left="414" w:firstLineChars="49" w:firstLine="103"/>
        <w:jc w:val="left"/>
        <w:rPr>
          <w:rFonts w:ascii="宋体" w:hAnsi="宋体"/>
          <w:szCs w:val="21"/>
        </w:rPr>
      </w:pPr>
      <w:r>
        <w:rPr>
          <w:rFonts w:ascii="宋体" w:hAnsi="宋体" w:hint="eastAsia"/>
          <w:szCs w:val="21"/>
        </w:rPr>
        <w:t>14.7发生下列情况之一，响应保证金不予退还：</w:t>
      </w:r>
    </w:p>
    <w:p>
      <w:pPr>
        <w:spacing w:line="360" w:lineRule="auto"/>
        <w:ind w:leftChars="197" w:left="414" w:firstLineChars="49" w:firstLine="103"/>
        <w:jc w:val="left"/>
        <w:rPr>
          <w:rFonts w:ascii="宋体" w:hAnsi="宋体"/>
          <w:szCs w:val="21"/>
        </w:rPr>
      </w:pPr>
      <w:r>
        <w:rPr>
          <w:rFonts w:ascii="宋体" w:hAnsi="宋体" w:hint="eastAsia"/>
          <w:szCs w:val="21"/>
        </w:rPr>
        <w:t>14.7.1唱价以后、响应有效期内，供应商撤回其响应文件的；</w:t>
      </w:r>
    </w:p>
    <w:p>
      <w:pPr>
        <w:spacing w:line="360" w:lineRule="auto"/>
        <w:ind w:leftChars="197" w:left="414" w:firstLineChars="49" w:firstLine="103"/>
        <w:jc w:val="left"/>
        <w:rPr>
          <w:rFonts w:ascii="宋体" w:hAnsi="宋体"/>
          <w:szCs w:val="21"/>
        </w:rPr>
      </w:pPr>
      <w:r>
        <w:rPr>
          <w:rFonts w:ascii="宋体" w:hAnsi="宋体" w:hint="eastAsia"/>
          <w:szCs w:val="21"/>
        </w:rPr>
        <w:t>14.7.2供应商提交响应保证金后，至响应截止时间未参加响应，且未在响应截止时间前书面通知采购代理机构声明放弃响应的；</w:t>
      </w:r>
    </w:p>
    <w:p>
      <w:pPr>
        <w:spacing w:line="360" w:lineRule="auto"/>
        <w:ind w:leftChars="197" w:left="414" w:firstLineChars="49" w:firstLine="103"/>
        <w:jc w:val="left"/>
        <w:rPr>
          <w:rFonts w:ascii="宋体" w:hAnsi="宋体"/>
          <w:szCs w:val="21"/>
        </w:rPr>
      </w:pPr>
      <w:r>
        <w:rPr>
          <w:rFonts w:ascii="宋体" w:hAnsi="宋体" w:hint="eastAsia"/>
          <w:szCs w:val="21"/>
        </w:rPr>
        <w:t>14.7.3成交供应商不在规定期限内与采购人签订合同的；</w:t>
      </w:r>
    </w:p>
    <w:p>
      <w:pPr>
        <w:spacing w:line="360" w:lineRule="auto"/>
        <w:ind w:leftChars="197" w:left="414" w:firstLineChars="49" w:firstLine="103"/>
        <w:jc w:val="left"/>
        <w:rPr>
          <w:rFonts w:ascii="宋体" w:hAnsi="宋体"/>
          <w:szCs w:val="21"/>
        </w:rPr>
      </w:pPr>
      <w:r>
        <w:rPr>
          <w:rFonts w:ascii="宋体" w:hAnsi="宋体" w:hint="eastAsia"/>
          <w:szCs w:val="21"/>
        </w:rPr>
        <w:t>14.7.4由于成交供应商的原因未能按照竞争性磋商文件的规定交纳履约保证金；供应商在本次响应过程中出现违反法律法规的行为、扰乱唱价评审秩序的行为或恶意利用规则谋求不法利益的行为。</w:t>
      </w:r>
    </w:p>
    <w:p>
      <w:pPr>
        <w:spacing w:line="360" w:lineRule="auto"/>
        <w:ind w:leftChars="197" w:left="414" w:firstLineChars="49" w:firstLine="103"/>
        <w:jc w:val="left"/>
        <w:rPr>
          <w:rFonts w:ascii="宋体" w:hAnsi="宋体"/>
          <w:b/>
          <w:szCs w:val="21"/>
        </w:rPr>
      </w:pPr>
      <w:r>
        <w:rPr>
          <w:rFonts w:ascii="宋体" w:hAnsi="宋体" w:hint="eastAsia"/>
          <w:b/>
          <w:szCs w:val="21"/>
        </w:rPr>
        <w:t>15响应文件的有效期</w:t>
      </w:r>
    </w:p>
    <w:p>
      <w:pPr>
        <w:spacing w:line="360" w:lineRule="auto"/>
        <w:ind w:leftChars="197" w:left="414" w:firstLineChars="49" w:firstLine="103"/>
        <w:jc w:val="left"/>
        <w:rPr>
          <w:rFonts w:ascii="宋体" w:hAnsi="宋体"/>
          <w:szCs w:val="21"/>
        </w:rPr>
      </w:pPr>
      <w:r>
        <w:rPr>
          <w:rFonts w:ascii="宋体" w:hAnsi="宋体" w:hint="eastAsia"/>
          <w:szCs w:val="21"/>
        </w:rPr>
        <w:t>15.1自唱价日起</w:t>
      </w:r>
      <w:r>
        <w:rPr>
          <w:rFonts w:ascii="宋体" w:hAnsi="宋体"/>
          <w:szCs w:val="21"/>
        </w:rPr>
        <w:t>60</w:t>
      </w:r>
      <w:r>
        <w:rPr>
          <w:rFonts w:ascii="宋体" w:hAnsi="宋体" w:hint="eastAsia"/>
          <w:szCs w:val="21"/>
        </w:rPr>
        <w:t>天内，响应文件应保持有效。有效期短于这个规定期限的响应，将被拒绝。</w:t>
      </w:r>
    </w:p>
    <w:p>
      <w:pPr>
        <w:spacing w:line="360" w:lineRule="auto"/>
        <w:ind w:leftChars="197" w:left="414" w:firstLineChars="49" w:firstLine="103"/>
        <w:jc w:val="left"/>
        <w:rPr>
          <w:rFonts w:ascii="宋体" w:hAnsi="宋体"/>
          <w:szCs w:val="21"/>
        </w:rPr>
      </w:pPr>
      <w:r>
        <w:rPr>
          <w:rFonts w:ascii="宋体" w:hAnsi="宋体" w:hint="eastAsia"/>
          <w:szCs w:val="21"/>
        </w:rPr>
        <w:t>15.2在特殊情况下，采购代理机构可与供应商协商延长响应文件的有效期。协商应当以信函、 传真或电子邮件的形式进行。同意延长有效期的供应商，其响应保证金的有效期也相应延长，但不能修改响应文件。拒绝接受延长有效期要求的供应商，其响应将被拒绝，响应保证金将被退还。</w:t>
      </w:r>
    </w:p>
    <w:p>
      <w:pPr>
        <w:spacing w:line="360" w:lineRule="auto"/>
        <w:ind w:leftChars="197" w:left="414" w:firstLineChars="49" w:firstLine="103"/>
        <w:jc w:val="left"/>
        <w:rPr>
          <w:rFonts w:ascii="宋体" w:hAnsi="宋体"/>
          <w:b/>
          <w:szCs w:val="21"/>
        </w:rPr>
      </w:pPr>
      <w:r>
        <w:rPr>
          <w:rFonts w:ascii="宋体" w:hAnsi="宋体" w:hint="eastAsia"/>
          <w:b/>
          <w:szCs w:val="21"/>
        </w:rPr>
        <w:t>16响应文件的份数和签署</w:t>
      </w:r>
    </w:p>
    <w:p>
      <w:pPr>
        <w:spacing w:line="360" w:lineRule="auto"/>
        <w:ind w:leftChars="197" w:left="414" w:firstLineChars="49" w:firstLine="103"/>
        <w:jc w:val="left"/>
        <w:rPr>
          <w:rFonts w:ascii="宋体" w:hAnsi="宋体"/>
          <w:szCs w:val="21"/>
        </w:rPr>
      </w:pPr>
      <w:r>
        <w:rPr>
          <w:rFonts w:ascii="宋体" w:hAnsi="宋体" w:hint="eastAsia"/>
          <w:szCs w:val="21"/>
        </w:rPr>
        <w:t>16.1响应文件份数：见供应商须知前附表。</w:t>
      </w:r>
    </w:p>
    <w:p>
      <w:pPr>
        <w:spacing w:line="360" w:lineRule="auto"/>
        <w:ind w:leftChars="197" w:left="414" w:firstLineChars="49" w:firstLine="103"/>
        <w:jc w:val="left"/>
        <w:rPr>
          <w:rFonts w:ascii="宋体" w:hAnsi="宋体"/>
          <w:szCs w:val="21"/>
        </w:rPr>
      </w:pPr>
      <w:r>
        <w:rPr>
          <w:rFonts w:ascii="宋体" w:hAnsi="宋体" w:hint="eastAsia"/>
          <w:szCs w:val="21"/>
        </w:rPr>
        <w:t>16.2响应文件正本均须用不褪色墨水书写、打印或印刷，响应文件副本的所有资料，都可以用响应文件的正本复制。响应文件封面的右上角应当清楚地注明“正本”或“副本”。响应文件的正本和副本内容有不一致的，以正本为准。</w:t>
      </w:r>
    </w:p>
    <w:p>
      <w:pPr>
        <w:spacing w:line="360" w:lineRule="auto"/>
        <w:ind w:leftChars="197" w:left="414" w:firstLineChars="49" w:firstLine="103"/>
        <w:jc w:val="left"/>
        <w:rPr>
          <w:rFonts w:ascii="宋体" w:hAnsi="宋体"/>
          <w:szCs w:val="21"/>
        </w:rPr>
      </w:pPr>
      <w:r>
        <w:rPr>
          <w:rFonts w:ascii="宋体" w:hAnsi="宋体" w:hint="eastAsia"/>
          <w:szCs w:val="21"/>
        </w:rPr>
        <w:t>16.3响应文件正本（竞争性磋商文件格式中要求法人代表或授权委托人签字的内容和加盖响应单位公章）应由供应商的法定代表人或其授权的委托人签字（或盖章）并加盖供应商公章。</w:t>
      </w:r>
    </w:p>
    <w:p>
      <w:pPr>
        <w:spacing w:line="360" w:lineRule="auto"/>
        <w:ind w:leftChars="197" w:left="414" w:firstLineChars="49" w:firstLine="103"/>
        <w:jc w:val="left"/>
        <w:rPr>
          <w:rFonts w:ascii="宋体" w:hAnsi="宋体"/>
          <w:szCs w:val="21"/>
        </w:rPr>
      </w:pPr>
      <w:r>
        <w:rPr>
          <w:rFonts w:ascii="宋体" w:hAnsi="宋体" w:hint="eastAsia"/>
          <w:szCs w:val="21"/>
        </w:rPr>
        <w:t>16.4全套响应文件应无涂改、无行间插字。除非这些删改是根据采购代理机构的要求实施的，或者是供应商造成的错误且必须修改的。修改处应由响应文件签字人签字证明。（注明：本项目要求供应商提交电子版响应文件；电子版响应文件与对应的响应文件正本必须一致。其载体必须是可以被读取的U盘。电子版响应文件提交后不退还）。</w:t>
      </w:r>
    </w:p>
    <w:p>
      <w:pPr>
        <w:spacing w:line="360" w:lineRule="auto"/>
        <w:ind w:leftChars="197" w:left="414" w:firstLineChars="49" w:firstLine="103"/>
        <w:jc w:val="left"/>
        <w:rPr>
          <w:rFonts w:ascii="宋体" w:hAnsi="宋体"/>
          <w:szCs w:val="21"/>
        </w:rPr>
      </w:pPr>
      <w:r>
        <w:rPr>
          <w:rFonts w:ascii="宋体" w:hAnsi="宋体" w:hint="eastAsia"/>
          <w:szCs w:val="21"/>
        </w:rPr>
        <w:t>16.5供应商应按上述份数和签署要求提供和编制。未按要求的将不能通过资格审查。</w:t>
      </w:r>
    </w:p>
    <w:p>
      <w:pPr>
        <w:pStyle w:val="2"/>
      </w:pPr>
      <w:bookmarkStart w:id="56" w:name="_Toc67843804"/>
      <w:r>
        <w:rPr>
          <w:rFonts w:hint="eastAsia"/>
        </w:rPr>
        <w:t>D响应文件的递交</w:t>
      </w:r>
      <w:bookmarkEnd w:id="56"/>
    </w:p>
    <w:p>
      <w:pPr>
        <w:spacing w:line="360" w:lineRule="auto"/>
        <w:ind w:leftChars="197" w:left="414" w:firstLineChars="49" w:firstLine="103"/>
        <w:jc w:val="left"/>
        <w:rPr>
          <w:rFonts w:ascii="宋体" w:hAnsi="宋体"/>
          <w:b/>
          <w:szCs w:val="21"/>
        </w:rPr>
      </w:pPr>
      <w:r>
        <w:rPr>
          <w:rFonts w:ascii="宋体" w:hAnsi="宋体" w:hint="eastAsia"/>
          <w:b/>
          <w:szCs w:val="21"/>
        </w:rPr>
        <w:t>17响应文件的装订、密封及标记</w:t>
      </w:r>
    </w:p>
    <w:p>
      <w:pPr>
        <w:spacing w:line="360" w:lineRule="auto"/>
        <w:ind w:leftChars="197" w:left="414" w:firstLineChars="49" w:firstLine="103"/>
        <w:jc w:val="left"/>
        <w:rPr>
          <w:bCs/>
        </w:rPr>
      </w:pPr>
      <w:r>
        <w:rPr>
          <w:rFonts w:hint="eastAsia"/>
          <w:bCs/>
        </w:rPr>
        <w:t>响应文件的密封及标记：见供应商须知前附表。</w:t>
      </w:r>
    </w:p>
    <w:p>
      <w:pPr>
        <w:spacing w:line="360" w:lineRule="auto"/>
        <w:ind w:leftChars="197" w:left="414" w:firstLineChars="49" w:firstLine="103"/>
        <w:jc w:val="left"/>
        <w:rPr>
          <w:rFonts w:ascii="宋体" w:hAnsi="宋体"/>
          <w:b/>
          <w:szCs w:val="21"/>
        </w:rPr>
      </w:pPr>
      <w:r>
        <w:rPr>
          <w:rFonts w:ascii="宋体" w:hAnsi="宋体" w:hint="eastAsia"/>
          <w:b/>
          <w:szCs w:val="21"/>
        </w:rPr>
        <w:t>18响应截止</w:t>
      </w:r>
    </w:p>
    <w:p>
      <w:pPr>
        <w:pStyle w:val="4"/>
        <w:tabs>
          <w:tab w:val="left" w:pos="425"/>
          <w:tab w:val="left" w:pos="992"/>
          <w:tab w:val="left" w:pos="1050"/>
        </w:tabs>
        <w:ind w:firstLineChars="200" w:firstLine="420"/>
        <w:rPr>
          <w:rFonts w:ascii="Times New Roman" w:hAnsi="Times New Roman" w:hint="eastAsia"/>
          <w:b w:val="0"/>
          <w:sz w:val="21"/>
          <w:szCs w:val="24"/>
        </w:rPr>
      </w:pPr>
      <w:r>
        <w:rPr>
          <w:rFonts w:ascii="Times New Roman" w:hAnsi="Times New Roman" w:hint="eastAsia"/>
          <w:b w:val="0"/>
          <w:sz w:val="21"/>
          <w:szCs w:val="24"/>
        </w:rPr>
        <w:t>响应文件必须在提交响应文件截止时间前送达响应投标地点。</w:t>
      </w:r>
    </w:p>
    <w:p>
      <w:pPr>
        <w:pStyle w:val="4"/>
        <w:tabs>
          <w:tab w:val="left" w:pos="425"/>
          <w:tab w:val="left" w:pos="992"/>
          <w:tab w:val="left" w:pos="1050"/>
        </w:tabs>
        <w:ind w:firstLineChars="200" w:firstLine="420"/>
        <w:rPr>
          <w:rFonts w:ascii="Times New Roman" w:hAnsi="Times New Roman" w:hint="eastAsia"/>
          <w:b w:val="0"/>
          <w:sz w:val="21"/>
          <w:szCs w:val="24"/>
        </w:rPr>
      </w:pPr>
      <w:r>
        <w:rPr>
          <w:rFonts w:ascii="Times New Roman" w:hAnsi="Times New Roman" w:hint="eastAsia"/>
          <w:b w:val="0"/>
          <w:sz w:val="21"/>
          <w:szCs w:val="24"/>
        </w:rPr>
        <w:t>采购代理机构推迟响应文件截止时间，将在不晚于原定响应文件截止时间前3天发布公告。</w:t>
      </w:r>
    </w:p>
    <w:p>
      <w:pPr>
        <w:pStyle w:val="4"/>
        <w:tabs>
          <w:tab w:val="left" w:pos="425"/>
          <w:tab w:val="left" w:pos="992"/>
          <w:tab w:val="left" w:pos="1050"/>
        </w:tabs>
        <w:ind w:firstLineChars="200" w:firstLine="420"/>
        <w:rPr>
          <w:rFonts w:ascii="Times New Roman" w:hAnsi="Times New Roman" w:hint="eastAsia"/>
          <w:b w:val="0"/>
          <w:sz w:val="21"/>
          <w:szCs w:val="24"/>
        </w:rPr>
      </w:pPr>
      <w:r>
        <w:rPr>
          <w:rFonts w:ascii="Times New Roman" w:hAnsi="Times New Roman" w:hint="eastAsia"/>
          <w:b w:val="0"/>
          <w:sz w:val="21"/>
          <w:szCs w:val="24"/>
        </w:rPr>
        <w:t>响应截止时间后，将拒绝接收响应文件。</w:t>
      </w:r>
    </w:p>
    <w:p>
      <w:pPr>
        <w:pStyle w:val="4"/>
        <w:tabs>
          <w:tab w:val="left" w:pos="425"/>
          <w:tab w:val="left" w:pos="992"/>
          <w:tab w:val="left" w:pos="1050"/>
        </w:tabs>
        <w:ind w:firstLineChars="200" w:firstLine="420"/>
        <w:rPr>
          <w:rFonts w:ascii="Times New Roman" w:hAnsi="Times New Roman" w:hint="eastAsia"/>
          <w:b w:val="0"/>
          <w:sz w:val="21"/>
          <w:szCs w:val="24"/>
        </w:rPr>
      </w:pPr>
      <w:r>
        <w:rPr>
          <w:rFonts w:ascii="Times New Roman" w:hAnsi="Times New Roman" w:hint="eastAsia"/>
          <w:b w:val="0"/>
          <w:sz w:val="21"/>
          <w:szCs w:val="24"/>
        </w:rPr>
        <w:t>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pPr>
        <w:ind w:firstLineChars="200" w:firstLine="420"/>
        <w:rPr>
          <w:rFonts w:hint="eastAsia"/>
          <w:bCs/>
        </w:rPr>
      </w:pPr>
      <w:r>
        <w:rPr>
          <w:rFonts w:hint="eastAsia"/>
          <w:bCs/>
        </w:rPr>
        <w:t>投标人开标结束后等待磋商小组发起二次报价。</w:t>
      </w:r>
    </w:p>
    <w:p>
      <w:pPr>
        <w:spacing w:line="360" w:lineRule="auto"/>
        <w:ind w:leftChars="197" w:left="414" w:firstLineChars="49" w:firstLine="103"/>
        <w:jc w:val="left"/>
        <w:rPr>
          <w:rFonts w:ascii="宋体" w:hAnsi="宋体"/>
          <w:b/>
          <w:szCs w:val="21"/>
        </w:rPr>
      </w:pPr>
      <w:r>
        <w:rPr>
          <w:rFonts w:ascii="宋体" w:hAnsi="宋体" w:hint="eastAsia"/>
          <w:b/>
          <w:szCs w:val="21"/>
        </w:rPr>
        <w:t>19响应文件的修改和撤回</w:t>
      </w:r>
    </w:p>
    <w:p>
      <w:pPr>
        <w:spacing w:line="360" w:lineRule="auto"/>
        <w:ind w:leftChars="197" w:left="414" w:firstLineChars="49" w:firstLine="103"/>
        <w:jc w:val="left"/>
        <w:rPr>
          <w:rFonts w:ascii="宋体" w:hAnsi="宋体"/>
          <w:szCs w:val="21"/>
        </w:rPr>
      </w:pPr>
      <w:r>
        <w:rPr>
          <w:rFonts w:ascii="宋体" w:hAnsi="宋体" w:hint="eastAsia"/>
          <w:szCs w:val="21"/>
        </w:rPr>
        <w:t>19.1响应以后，供应商不得修改和撤回响应文件。</w:t>
      </w:r>
    </w:p>
    <w:p>
      <w:pPr>
        <w:spacing w:line="360" w:lineRule="auto"/>
        <w:ind w:leftChars="197" w:left="414" w:firstLineChars="49" w:firstLine="103"/>
        <w:jc w:val="left"/>
        <w:rPr>
          <w:rFonts w:ascii="宋体" w:hAnsi="宋体"/>
          <w:szCs w:val="21"/>
        </w:rPr>
      </w:pPr>
      <w:r>
        <w:rPr>
          <w:rFonts w:ascii="宋体" w:hAnsi="宋体" w:hint="eastAsia"/>
          <w:szCs w:val="21"/>
        </w:rPr>
        <w:t>19.2唱价后，供应商不得在响应有效期内撤回响应，否则响应保证金不予退还。</w:t>
      </w:r>
    </w:p>
    <w:p>
      <w:pPr>
        <w:spacing w:line="360" w:lineRule="auto"/>
        <w:ind w:leftChars="197" w:left="414" w:firstLineChars="49" w:firstLine="103"/>
        <w:jc w:val="left"/>
        <w:rPr>
          <w:rFonts w:ascii="宋体" w:hAnsi="宋体"/>
          <w:szCs w:val="21"/>
        </w:rPr>
      </w:pPr>
      <w:r>
        <w:rPr>
          <w:rFonts w:ascii="宋体" w:hAnsi="宋体" w:hint="eastAsia"/>
          <w:szCs w:val="21"/>
        </w:rPr>
        <w:t>19.3所有响应文件均不予退还。</w:t>
      </w:r>
    </w:p>
    <w:p>
      <w:pPr>
        <w:pStyle w:val="2"/>
      </w:pPr>
      <w:bookmarkStart w:id="57" w:name="_Toc317237603"/>
      <w:bookmarkStart w:id="58" w:name="_Toc317237778"/>
      <w:bookmarkStart w:id="59" w:name="_Toc19888"/>
      <w:bookmarkStart w:id="60" w:name="_Toc67843805"/>
      <w:r>
        <w:rPr>
          <w:rFonts w:hint="eastAsia"/>
        </w:rPr>
        <w:t>E唱价、评</w:t>
      </w:r>
      <w:bookmarkEnd w:id="57"/>
      <w:bookmarkEnd w:id="58"/>
      <w:r>
        <w:rPr>
          <w:rFonts w:hint="eastAsia"/>
        </w:rPr>
        <w:t>审和定标</w:t>
      </w:r>
      <w:bookmarkEnd w:id="59"/>
      <w:bookmarkEnd w:id="60"/>
    </w:p>
    <w:p>
      <w:pPr>
        <w:spacing w:line="360" w:lineRule="auto"/>
        <w:ind w:leftChars="197" w:left="414" w:firstLineChars="49" w:firstLine="103"/>
        <w:jc w:val="left"/>
        <w:rPr>
          <w:rFonts w:ascii="宋体" w:hAnsi="宋体"/>
          <w:b/>
          <w:szCs w:val="21"/>
        </w:rPr>
      </w:pPr>
      <w:r>
        <w:rPr>
          <w:rFonts w:ascii="宋体" w:hAnsi="宋体" w:hint="eastAsia"/>
          <w:b/>
          <w:szCs w:val="21"/>
        </w:rPr>
        <w:t>20唱价</w:t>
      </w:r>
    </w:p>
    <w:p>
      <w:pPr>
        <w:spacing w:line="360" w:lineRule="auto"/>
        <w:ind w:leftChars="197" w:left="414" w:firstLineChars="49" w:firstLine="103"/>
        <w:jc w:val="left"/>
        <w:rPr>
          <w:rFonts w:ascii="宋体" w:hAnsi="宋体"/>
          <w:szCs w:val="21"/>
        </w:rPr>
      </w:pPr>
      <w:r>
        <w:rPr>
          <w:rFonts w:ascii="宋体" w:hAnsi="宋体" w:hint="eastAsia"/>
          <w:szCs w:val="21"/>
        </w:rPr>
        <w:t>20.1采购代理机构按磋商文件规定的时间、地点公开举行唱价仪式。唱价仪式由采购代理机构主持，邀请采购人代表、供应商代表及有关工作人员参加。</w:t>
      </w:r>
    </w:p>
    <w:p>
      <w:pPr>
        <w:spacing w:line="360" w:lineRule="auto"/>
        <w:ind w:leftChars="197" w:left="414" w:firstLineChars="49" w:firstLine="103"/>
        <w:jc w:val="left"/>
        <w:rPr>
          <w:rFonts w:ascii="宋体" w:hAnsi="宋体"/>
          <w:b/>
          <w:szCs w:val="21"/>
        </w:rPr>
      </w:pPr>
      <w:r>
        <w:rPr>
          <w:rFonts w:ascii="宋体" w:hAnsi="宋体" w:hint="eastAsia"/>
          <w:b/>
          <w:szCs w:val="21"/>
        </w:rPr>
        <w:t>21评审委员会</w:t>
      </w:r>
    </w:p>
    <w:p>
      <w:pPr>
        <w:spacing w:line="360" w:lineRule="auto"/>
        <w:ind w:leftChars="197" w:left="414" w:firstLineChars="49" w:firstLine="103"/>
        <w:jc w:val="left"/>
        <w:rPr>
          <w:rFonts w:ascii="宋体" w:hAnsi="宋体"/>
          <w:szCs w:val="21"/>
        </w:rPr>
      </w:pPr>
      <w:r>
        <w:rPr>
          <w:rFonts w:ascii="宋体" w:hAnsi="宋体" w:hint="eastAsia"/>
          <w:szCs w:val="21"/>
        </w:rPr>
        <w:t>21.1评审委员会组成：见供应商须知前附表。</w:t>
      </w:r>
    </w:p>
    <w:p>
      <w:pPr>
        <w:spacing w:line="360" w:lineRule="auto"/>
        <w:ind w:leftChars="197" w:left="414" w:firstLineChars="49" w:firstLine="103"/>
        <w:jc w:val="left"/>
        <w:rPr>
          <w:rFonts w:ascii="宋体" w:hAnsi="宋体"/>
          <w:b/>
          <w:szCs w:val="21"/>
        </w:rPr>
      </w:pPr>
      <w:r>
        <w:rPr>
          <w:rFonts w:ascii="宋体" w:hAnsi="宋体" w:hint="eastAsia"/>
          <w:b/>
          <w:szCs w:val="21"/>
        </w:rPr>
        <w:t>22评审内容的保密</w:t>
      </w:r>
    </w:p>
    <w:p>
      <w:pPr>
        <w:spacing w:line="360" w:lineRule="auto"/>
        <w:ind w:leftChars="197" w:left="414" w:firstLineChars="49" w:firstLine="103"/>
        <w:jc w:val="left"/>
        <w:rPr>
          <w:rFonts w:ascii="宋体" w:hAnsi="宋体"/>
          <w:szCs w:val="21"/>
        </w:rPr>
      </w:pPr>
      <w:r>
        <w:rPr>
          <w:rFonts w:ascii="宋体" w:hAnsi="宋体" w:hint="eastAsia"/>
          <w:szCs w:val="21"/>
        </w:rPr>
        <w:t>22.1唱价后，至正式授予成交供应商合同止，凡属于审查、澄清、评价和比较响应的所有资料、有资料有关授予合同的信息等，都不能向供应商或与评审无关的其他人泄露。</w:t>
      </w:r>
    </w:p>
    <w:p>
      <w:pPr>
        <w:spacing w:line="360" w:lineRule="auto"/>
        <w:ind w:leftChars="197" w:left="414" w:firstLineChars="49" w:firstLine="103"/>
        <w:jc w:val="left"/>
        <w:rPr>
          <w:rFonts w:ascii="宋体" w:hAnsi="宋体"/>
          <w:szCs w:val="21"/>
        </w:rPr>
      </w:pPr>
      <w:r>
        <w:rPr>
          <w:rFonts w:ascii="宋体" w:hAnsi="宋体" w:hint="eastAsia"/>
          <w:szCs w:val="21"/>
        </w:rPr>
        <w:t>22.2在响应文件的审查、澄清、评价和比较以及授予合同的过程中，供应商对采购人、采购代理机构和评审委员会成员施加影响的任何行为，都将导致其响应资格被取消。</w:t>
      </w:r>
    </w:p>
    <w:p>
      <w:pPr>
        <w:spacing w:line="360" w:lineRule="auto"/>
        <w:ind w:leftChars="197" w:left="414" w:firstLineChars="49" w:firstLine="103"/>
        <w:jc w:val="left"/>
        <w:rPr>
          <w:rFonts w:ascii="宋体" w:hAnsi="宋体"/>
          <w:szCs w:val="21"/>
        </w:rPr>
      </w:pPr>
      <w:r>
        <w:rPr>
          <w:rFonts w:ascii="宋体" w:hAnsi="宋体" w:hint="eastAsia"/>
          <w:szCs w:val="21"/>
        </w:rPr>
        <w:t>22.3在评审期间，评审委员会将通过指定联络人与供应商进行联系。</w:t>
      </w:r>
    </w:p>
    <w:p>
      <w:pPr>
        <w:spacing w:line="360" w:lineRule="auto"/>
        <w:ind w:leftChars="197" w:left="414" w:firstLineChars="49" w:firstLine="103"/>
        <w:jc w:val="left"/>
        <w:rPr>
          <w:rFonts w:ascii="宋体" w:hAnsi="宋体"/>
          <w:b/>
          <w:szCs w:val="21"/>
        </w:rPr>
      </w:pPr>
      <w:r>
        <w:rPr>
          <w:rFonts w:ascii="宋体" w:hAnsi="宋体" w:hint="eastAsia"/>
          <w:b/>
          <w:szCs w:val="21"/>
        </w:rPr>
        <w:t>23对响应文件的初步审查</w:t>
      </w:r>
    </w:p>
    <w:p>
      <w:pPr>
        <w:spacing w:line="360" w:lineRule="auto"/>
        <w:ind w:leftChars="197" w:left="414" w:firstLineChars="49" w:firstLine="103"/>
        <w:jc w:val="left"/>
        <w:rPr>
          <w:rFonts w:ascii="宋体" w:hAnsi="宋体"/>
          <w:szCs w:val="21"/>
        </w:rPr>
      </w:pPr>
      <w:r>
        <w:rPr>
          <w:rFonts w:ascii="宋体" w:hAnsi="宋体" w:hint="eastAsia"/>
          <w:szCs w:val="21"/>
        </w:rPr>
        <w:t>23.1初步审查内容为响应文件是否实质性响应竞争性磋商文件的要求、内容是否完整、价格构成有无计算错误、文件签署是否齐全。</w:t>
      </w:r>
    </w:p>
    <w:p>
      <w:pPr>
        <w:spacing w:line="360" w:lineRule="auto"/>
        <w:ind w:leftChars="197" w:left="414" w:firstLineChars="49" w:firstLine="103"/>
        <w:jc w:val="left"/>
        <w:rPr>
          <w:rFonts w:ascii="宋体" w:hAnsi="宋体"/>
          <w:szCs w:val="21"/>
        </w:rPr>
      </w:pPr>
      <w:r>
        <w:rPr>
          <w:rFonts w:ascii="宋体" w:hAnsi="宋体" w:hint="eastAsia"/>
          <w:szCs w:val="21"/>
        </w:rPr>
        <w:t>23.2初步审查中，对价格的计算错误按下述原则修正：</w:t>
      </w:r>
    </w:p>
    <w:p>
      <w:pPr>
        <w:spacing w:line="360" w:lineRule="auto"/>
        <w:ind w:leftChars="197" w:left="414" w:firstLineChars="49" w:firstLine="103"/>
        <w:jc w:val="left"/>
        <w:rPr>
          <w:rFonts w:ascii="宋体" w:hAnsi="宋体"/>
          <w:szCs w:val="21"/>
        </w:rPr>
      </w:pPr>
      <w:r>
        <w:rPr>
          <w:rFonts w:ascii="宋体" w:hAnsi="宋体" w:hint="eastAsia"/>
          <w:szCs w:val="21"/>
        </w:rPr>
        <w:t>23.2.1响应文件中的大写金额和小写金额不一致的，以大写金额为准；</w:t>
      </w:r>
    </w:p>
    <w:p>
      <w:pPr>
        <w:spacing w:line="360" w:lineRule="auto"/>
        <w:ind w:leftChars="197" w:left="414" w:firstLineChars="49" w:firstLine="103"/>
        <w:jc w:val="left"/>
        <w:rPr>
          <w:rFonts w:ascii="宋体" w:hAnsi="宋体"/>
          <w:szCs w:val="21"/>
        </w:rPr>
      </w:pPr>
      <w:r>
        <w:rPr>
          <w:rFonts w:ascii="宋体" w:hAnsi="宋体" w:hint="eastAsia"/>
          <w:szCs w:val="21"/>
        </w:rPr>
        <w:t>23.2.2总价金额与按单价汇总金额不一致的，以单价金额计算结果为准；单价金额小数点有明显错位的，应以总价为准，并修改单价；</w:t>
      </w:r>
    </w:p>
    <w:p>
      <w:pPr>
        <w:spacing w:line="360" w:lineRule="auto"/>
        <w:ind w:leftChars="197" w:left="414" w:firstLineChars="49" w:firstLine="103"/>
        <w:jc w:val="left"/>
        <w:rPr>
          <w:rFonts w:ascii="宋体" w:hAnsi="宋体"/>
          <w:szCs w:val="21"/>
        </w:rPr>
      </w:pPr>
      <w:r>
        <w:rPr>
          <w:rFonts w:ascii="宋体" w:hAnsi="宋体" w:hint="eastAsia"/>
          <w:szCs w:val="21"/>
        </w:rPr>
        <w:t>23.2.3对不同文字文本响应文件的解释发生异议的，以中文文本为准。</w:t>
      </w:r>
    </w:p>
    <w:p>
      <w:pPr>
        <w:spacing w:line="360" w:lineRule="auto"/>
        <w:ind w:leftChars="197" w:left="414" w:firstLineChars="49" w:firstLine="103"/>
        <w:jc w:val="left"/>
        <w:rPr>
          <w:rFonts w:ascii="宋体" w:hAnsi="宋体"/>
          <w:szCs w:val="21"/>
        </w:rPr>
      </w:pPr>
      <w:r>
        <w:rPr>
          <w:rFonts w:ascii="宋体" w:hAnsi="宋体" w:hint="eastAsia"/>
          <w:szCs w:val="21"/>
        </w:rPr>
        <w:t>23.2.4供应商不同意以上修正，其响应将被拒绝。</w:t>
      </w:r>
    </w:p>
    <w:p>
      <w:pPr>
        <w:spacing w:line="360" w:lineRule="auto"/>
        <w:ind w:leftChars="197" w:left="414" w:firstLineChars="49" w:firstLine="103"/>
        <w:jc w:val="left"/>
        <w:rPr>
          <w:rFonts w:ascii="宋体" w:hAnsi="宋体"/>
          <w:szCs w:val="21"/>
        </w:rPr>
      </w:pPr>
      <w:r>
        <w:rPr>
          <w:rFonts w:ascii="宋体" w:hAnsi="宋体" w:hint="eastAsia"/>
          <w:szCs w:val="21"/>
        </w:rPr>
        <w:t>23.3与竞争性磋商文件有重大偏离的响应文件将被拒绝。重大偏离系指服务的质量不能满足竞争性磋商文件的要求。这些偏离不允许在唱价后修正。但评审委员会将允许修改响应中不构成重大偏离的微小的、非正规的不一致或不正规的地方。</w:t>
      </w:r>
    </w:p>
    <w:p>
      <w:pPr>
        <w:spacing w:line="360" w:lineRule="auto"/>
        <w:ind w:leftChars="197" w:left="414" w:firstLineChars="49" w:firstLine="103"/>
        <w:jc w:val="left"/>
        <w:rPr>
          <w:rFonts w:ascii="宋体" w:hAnsi="宋体"/>
          <w:szCs w:val="21"/>
        </w:rPr>
      </w:pPr>
      <w:r>
        <w:rPr>
          <w:rFonts w:ascii="宋体" w:hAnsi="宋体" w:hint="eastAsia"/>
          <w:szCs w:val="21"/>
        </w:rPr>
        <w:t>23.4评审委员会对响应文件的判定，只依据响应文件的内容，不依靠唱价后的任何外来证明。</w:t>
      </w:r>
    </w:p>
    <w:p>
      <w:pPr>
        <w:spacing w:line="360" w:lineRule="auto"/>
        <w:ind w:leftChars="197" w:left="414" w:firstLineChars="49" w:firstLine="103"/>
        <w:jc w:val="left"/>
        <w:rPr>
          <w:rFonts w:ascii="宋体" w:hAnsi="宋体"/>
          <w:szCs w:val="21"/>
        </w:rPr>
      </w:pPr>
      <w:r>
        <w:rPr>
          <w:rFonts w:ascii="宋体" w:hAnsi="宋体" w:hint="eastAsia"/>
          <w:szCs w:val="21"/>
        </w:rPr>
        <w:t>23.5单位负责人为同一人或者存在直接控股、管理关系的不同供应商，不得参加同一合同项下的采购活动。</w:t>
      </w:r>
    </w:p>
    <w:p>
      <w:pPr>
        <w:spacing w:line="360" w:lineRule="auto"/>
        <w:ind w:leftChars="197" w:left="414" w:firstLineChars="49" w:firstLine="103"/>
        <w:jc w:val="left"/>
        <w:rPr>
          <w:rFonts w:ascii="宋体" w:hAnsi="宋体"/>
          <w:szCs w:val="21"/>
        </w:rPr>
      </w:pPr>
      <w:r>
        <w:rPr>
          <w:rFonts w:ascii="宋体" w:hAnsi="宋体" w:hint="eastAsia"/>
          <w:szCs w:val="21"/>
        </w:rPr>
        <w:t>23.6下列响应文件将被拒绝：</w:t>
      </w:r>
    </w:p>
    <w:p>
      <w:pPr>
        <w:spacing w:line="360" w:lineRule="auto"/>
        <w:ind w:leftChars="197" w:left="414" w:firstLineChars="49" w:firstLine="103"/>
        <w:jc w:val="left"/>
        <w:rPr>
          <w:rFonts w:ascii="宋体" w:hAnsi="宋体"/>
          <w:szCs w:val="21"/>
        </w:rPr>
      </w:pPr>
      <w:r>
        <w:rPr>
          <w:rFonts w:ascii="宋体" w:hAnsi="宋体" w:hint="eastAsia"/>
          <w:szCs w:val="21"/>
        </w:rPr>
        <w:t>23.6.1响应文件未按照本须知第16条规定签署和盖章；</w:t>
      </w:r>
    </w:p>
    <w:p>
      <w:pPr>
        <w:spacing w:line="360" w:lineRule="auto"/>
        <w:ind w:leftChars="197" w:left="414" w:firstLineChars="49" w:firstLine="103"/>
        <w:jc w:val="left"/>
        <w:rPr>
          <w:rFonts w:ascii="宋体" w:hAnsi="宋体"/>
          <w:szCs w:val="21"/>
        </w:rPr>
      </w:pPr>
      <w:r>
        <w:rPr>
          <w:rFonts w:ascii="宋体" w:hAnsi="宋体" w:hint="eastAsia"/>
          <w:szCs w:val="21"/>
        </w:rPr>
        <w:t>23.6.2未按规定提交资格文件；</w:t>
      </w:r>
    </w:p>
    <w:p>
      <w:pPr>
        <w:spacing w:line="360" w:lineRule="auto"/>
        <w:ind w:leftChars="197" w:left="414" w:firstLineChars="49" w:firstLine="103"/>
        <w:jc w:val="left"/>
        <w:rPr>
          <w:rFonts w:ascii="宋体" w:hAnsi="宋体"/>
          <w:szCs w:val="21"/>
        </w:rPr>
      </w:pPr>
      <w:r>
        <w:rPr>
          <w:rFonts w:ascii="宋体" w:hAnsi="宋体" w:hint="eastAsia"/>
          <w:szCs w:val="21"/>
        </w:rPr>
        <w:t>23.6.3与竞争性磋商文件有重大偏离；</w:t>
      </w:r>
    </w:p>
    <w:p>
      <w:pPr>
        <w:spacing w:line="360" w:lineRule="auto"/>
        <w:ind w:leftChars="197" w:left="414" w:firstLineChars="49" w:firstLine="103"/>
        <w:jc w:val="left"/>
        <w:rPr>
          <w:rFonts w:ascii="宋体" w:hAnsi="宋体"/>
          <w:szCs w:val="21"/>
        </w:rPr>
      </w:pPr>
      <w:r>
        <w:rPr>
          <w:rFonts w:ascii="宋体" w:hAnsi="宋体" w:hint="eastAsia"/>
          <w:szCs w:val="21"/>
        </w:rPr>
        <w:t>23.6.4供应商拒绝修正错误；</w:t>
      </w:r>
    </w:p>
    <w:p>
      <w:pPr>
        <w:spacing w:line="360" w:lineRule="auto"/>
        <w:ind w:leftChars="197" w:left="414" w:firstLineChars="49" w:firstLine="103"/>
        <w:jc w:val="left"/>
        <w:rPr>
          <w:rFonts w:ascii="宋体" w:hAnsi="宋体"/>
          <w:szCs w:val="21"/>
        </w:rPr>
      </w:pPr>
      <w:r>
        <w:rPr>
          <w:rFonts w:ascii="宋体" w:hAnsi="宋体" w:hint="eastAsia"/>
          <w:szCs w:val="21"/>
        </w:rPr>
        <w:t>23.6.5供应商的报价是选择性的；</w:t>
      </w:r>
    </w:p>
    <w:p>
      <w:pPr>
        <w:spacing w:line="360" w:lineRule="auto"/>
        <w:ind w:leftChars="197" w:left="414" w:firstLineChars="49" w:firstLine="103"/>
        <w:jc w:val="left"/>
        <w:rPr>
          <w:rFonts w:ascii="宋体" w:hAnsi="宋体"/>
          <w:szCs w:val="21"/>
        </w:rPr>
      </w:pPr>
      <w:r>
        <w:rPr>
          <w:rFonts w:ascii="宋体" w:hAnsi="宋体" w:hint="eastAsia"/>
          <w:szCs w:val="21"/>
        </w:rPr>
        <w:t>23.6.6拆包报价的。</w:t>
      </w:r>
    </w:p>
    <w:p>
      <w:pPr>
        <w:spacing w:line="360" w:lineRule="auto"/>
        <w:ind w:leftChars="197" w:left="414" w:firstLineChars="49" w:firstLine="103"/>
        <w:jc w:val="left"/>
        <w:rPr>
          <w:rFonts w:ascii="宋体" w:hAnsi="宋体"/>
          <w:b/>
          <w:szCs w:val="21"/>
        </w:rPr>
      </w:pPr>
      <w:r>
        <w:rPr>
          <w:rFonts w:ascii="宋体" w:hAnsi="宋体" w:hint="eastAsia"/>
          <w:b/>
          <w:szCs w:val="21"/>
        </w:rPr>
        <w:t>24响应的澄清</w:t>
      </w:r>
    </w:p>
    <w:p>
      <w:pPr>
        <w:spacing w:line="360" w:lineRule="auto"/>
        <w:ind w:leftChars="197" w:left="414" w:firstLineChars="49" w:firstLine="103"/>
        <w:jc w:val="left"/>
        <w:rPr>
          <w:rFonts w:ascii="宋体" w:hAnsi="宋体"/>
          <w:szCs w:val="21"/>
        </w:rPr>
      </w:pPr>
      <w:r>
        <w:rPr>
          <w:rFonts w:ascii="宋体" w:hAnsi="宋体" w:hint="eastAsia"/>
          <w:szCs w:val="21"/>
        </w:rPr>
        <w:t>24.1评审委员会可以书面方式要求供应商对响应文件中含义不明确、对同类问题表述不一致或者有明显文字和计算错误的内容作必要的澄清、说明或者补正。澄清、说明或者补正应以书面方式进行并不得超出响应文件的范围或者改变响应文件的实质性内容。供应商必须按照评审委员会通知时间、地点派技术和商务人员进行澄清。</w:t>
      </w:r>
    </w:p>
    <w:p>
      <w:pPr>
        <w:spacing w:line="360" w:lineRule="auto"/>
        <w:ind w:leftChars="197" w:left="414" w:firstLineChars="49" w:firstLine="103"/>
        <w:jc w:val="left"/>
        <w:rPr>
          <w:rFonts w:ascii="宋体" w:hAnsi="宋体"/>
          <w:szCs w:val="21"/>
        </w:rPr>
      </w:pPr>
      <w:r>
        <w:rPr>
          <w:rFonts w:ascii="宋体" w:hAnsi="宋体" w:hint="eastAsia"/>
          <w:szCs w:val="21"/>
        </w:rPr>
        <w:t>24.2供应商对响应文件的澄清、说明或者补正应有供应商代表的签署，并作为响应文件的组成部分。</w:t>
      </w:r>
    </w:p>
    <w:p>
      <w:pPr>
        <w:spacing w:line="360" w:lineRule="auto"/>
        <w:ind w:leftChars="197" w:left="414" w:firstLineChars="49" w:firstLine="103"/>
        <w:jc w:val="left"/>
        <w:rPr>
          <w:rFonts w:ascii="宋体" w:hAnsi="宋体"/>
          <w:b/>
          <w:szCs w:val="21"/>
        </w:rPr>
      </w:pPr>
      <w:r>
        <w:rPr>
          <w:rFonts w:ascii="宋体" w:hAnsi="宋体" w:hint="eastAsia"/>
          <w:b/>
          <w:szCs w:val="21"/>
        </w:rPr>
        <w:t>25定标</w:t>
      </w:r>
    </w:p>
    <w:p>
      <w:pPr>
        <w:spacing w:line="360" w:lineRule="auto"/>
        <w:ind w:leftChars="197" w:left="414" w:firstLineChars="49" w:firstLine="103"/>
        <w:jc w:val="left"/>
        <w:rPr>
          <w:rFonts w:ascii="宋体" w:hAnsi="宋体"/>
          <w:szCs w:val="21"/>
        </w:rPr>
      </w:pPr>
      <w:r>
        <w:rPr>
          <w:rFonts w:ascii="宋体" w:hAnsi="宋体" w:hint="eastAsia"/>
          <w:szCs w:val="21"/>
        </w:rPr>
        <w:t>25.1采购人按照评审委员会推荐的成交候选人顺序确定成交供应商，评审委员会推荐成交候选人的人数见供应商须知前附表。</w:t>
      </w:r>
    </w:p>
    <w:p>
      <w:pPr>
        <w:spacing w:line="360" w:lineRule="auto"/>
        <w:ind w:leftChars="197" w:left="414" w:firstLineChars="49" w:firstLine="103"/>
        <w:jc w:val="left"/>
        <w:rPr>
          <w:rFonts w:ascii="宋体" w:hAnsi="宋体"/>
          <w:b/>
          <w:szCs w:val="21"/>
        </w:rPr>
      </w:pPr>
      <w:r>
        <w:rPr>
          <w:rFonts w:ascii="宋体" w:hAnsi="宋体" w:hint="eastAsia"/>
          <w:b/>
          <w:szCs w:val="21"/>
        </w:rPr>
        <w:t>26响应文件的评价和比较</w:t>
      </w:r>
    </w:p>
    <w:p>
      <w:pPr>
        <w:spacing w:line="360" w:lineRule="auto"/>
        <w:ind w:leftChars="197" w:left="414" w:firstLineChars="49" w:firstLine="103"/>
        <w:jc w:val="left"/>
        <w:rPr>
          <w:rFonts w:ascii="宋体" w:hAnsi="宋体"/>
          <w:szCs w:val="21"/>
        </w:rPr>
      </w:pPr>
      <w:r>
        <w:rPr>
          <w:rFonts w:ascii="宋体" w:hAnsi="宋体" w:hint="eastAsia"/>
          <w:szCs w:val="21"/>
        </w:rPr>
        <w:t>26.1评审委员会将仅对按照本须知第23条确定为实质上响应竞争性磋商文件要求的响应文件进行评价和比较。</w:t>
      </w:r>
    </w:p>
    <w:p>
      <w:pPr>
        <w:spacing w:line="360" w:lineRule="auto"/>
        <w:ind w:leftChars="197" w:left="414" w:firstLineChars="49" w:firstLine="103"/>
        <w:jc w:val="left"/>
        <w:rPr>
          <w:rFonts w:ascii="宋体" w:hAnsi="宋体"/>
          <w:szCs w:val="21"/>
        </w:rPr>
      </w:pPr>
      <w:r>
        <w:rPr>
          <w:rFonts w:ascii="宋体" w:hAnsi="宋体" w:hint="eastAsia"/>
          <w:szCs w:val="21"/>
        </w:rPr>
        <w:t>26.2评审方法：见供应商须知前附表。</w:t>
      </w:r>
    </w:p>
    <w:p>
      <w:pPr>
        <w:pStyle w:val="2"/>
      </w:pPr>
      <w:bookmarkStart w:id="61" w:name="_Toc29355"/>
      <w:bookmarkStart w:id="62" w:name="_Toc317237779"/>
      <w:bookmarkStart w:id="63" w:name="_Toc317237604"/>
      <w:bookmarkStart w:id="64" w:name="_Toc67843806"/>
      <w:r>
        <w:rPr>
          <w:rFonts w:hint="eastAsia"/>
        </w:rPr>
        <w:t>F授予合同</w:t>
      </w:r>
      <w:bookmarkEnd w:id="61"/>
      <w:bookmarkEnd w:id="62"/>
      <w:bookmarkEnd w:id="63"/>
      <w:bookmarkEnd w:id="64"/>
    </w:p>
    <w:p>
      <w:pPr>
        <w:spacing w:line="360" w:lineRule="auto"/>
        <w:ind w:leftChars="197" w:left="414" w:firstLineChars="49" w:firstLine="103"/>
        <w:jc w:val="left"/>
        <w:rPr>
          <w:rFonts w:ascii="宋体" w:hAnsi="宋体"/>
          <w:b/>
          <w:szCs w:val="21"/>
        </w:rPr>
      </w:pPr>
      <w:r>
        <w:rPr>
          <w:rFonts w:ascii="宋体" w:hAnsi="宋体" w:hint="eastAsia"/>
          <w:b/>
          <w:szCs w:val="21"/>
        </w:rPr>
        <w:t>27 成交供应商的确认</w:t>
      </w:r>
    </w:p>
    <w:p>
      <w:pPr>
        <w:spacing w:line="360" w:lineRule="auto"/>
        <w:ind w:leftChars="197" w:left="414" w:firstLineChars="49" w:firstLine="103"/>
        <w:jc w:val="left"/>
        <w:rPr>
          <w:rFonts w:ascii="宋体" w:hAnsi="宋体"/>
          <w:szCs w:val="21"/>
        </w:rPr>
      </w:pPr>
      <w:r>
        <w:rPr>
          <w:rFonts w:ascii="宋体" w:hAnsi="宋体" w:hint="eastAsia"/>
          <w:szCs w:val="21"/>
        </w:rPr>
        <w:t>27.1评审委员会根据本竞争性磋商文件第五部分《评审方法和标准》的规定，对供应商的资格进行审查，对响应文件进行评价和比较，按照《评审方法和标准》排序原则推荐成交候选人。</w:t>
      </w:r>
    </w:p>
    <w:p>
      <w:pPr>
        <w:spacing w:line="360" w:lineRule="auto"/>
        <w:ind w:leftChars="197" w:left="414" w:firstLineChars="49" w:firstLine="103"/>
        <w:jc w:val="left"/>
        <w:rPr>
          <w:rFonts w:ascii="宋体" w:hAnsi="宋体"/>
          <w:szCs w:val="21"/>
        </w:rPr>
      </w:pPr>
      <w:r>
        <w:rPr>
          <w:rFonts w:ascii="宋体" w:hAnsi="宋体" w:hint="eastAsia"/>
          <w:szCs w:val="21"/>
        </w:rPr>
        <w:t>27.3评审委员会有权按竞争性磋商文件的要求评定并推荐成交候选人，也有权拒绝任何或所有不符合竞争性磋商文件要求的供应商的响应。</w:t>
      </w:r>
    </w:p>
    <w:p>
      <w:pPr>
        <w:spacing w:line="360" w:lineRule="auto"/>
        <w:ind w:leftChars="197" w:left="414" w:firstLineChars="49" w:firstLine="103"/>
        <w:jc w:val="left"/>
        <w:rPr>
          <w:rFonts w:ascii="宋体" w:hAnsi="宋体"/>
          <w:b/>
          <w:szCs w:val="21"/>
        </w:rPr>
      </w:pPr>
      <w:r>
        <w:rPr>
          <w:rFonts w:ascii="宋体" w:hAnsi="宋体" w:hint="eastAsia"/>
          <w:b/>
          <w:szCs w:val="21"/>
        </w:rPr>
        <w:t>28 合同授予标准</w:t>
      </w:r>
    </w:p>
    <w:p>
      <w:pPr>
        <w:spacing w:line="360" w:lineRule="auto"/>
        <w:ind w:leftChars="197" w:left="414" w:firstLineChars="49" w:firstLine="103"/>
        <w:jc w:val="left"/>
        <w:rPr>
          <w:rFonts w:ascii="宋体" w:hAnsi="宋体"/>
          <w:szCs w:val="21"/>
        </w:rPr>
      </w:pPr>
      <w:r>
        <w:rPr>
          <w:rFonts w:ascii="宋体" w:hAnsi="宋体" w:hint="eastAsia"/>
          <w:szCs w:val="21"/>
        </w:rPr>
        <w:t>28.1采购人应当把合同授予评审委员会按本须知第25条规定推荐的第一顺序成交候选人。被授予合同的供应商必须具有实施本合同的能力和资源。</w:t>
      </w:r>
    </w:p>
    <w:p>
      <w:pPr>
        <w:spacing w:line="360" w:lineRule="auto"/>
        <w:ind w:leftChars="197" w:left="414" w:firstLineChars="49" w:firstLine="103"/>
        <w:jc w:val="left"/>
        <w:rPr>
          <w:rFonts w:ascii="宋体" w:hAnsi="宋体"/>
          <w:szCs w:val="21"/>
        </w:rPr>
      </w:pPr>
      <w:r>
        <w:rPr>
          <w:rFonts w:ascii="宋体" w:hAnsi="宋体" w:hint="eastAsia"/>
          <w:szCs w:val="21"/>
        </w:rPr>
        <w:t>28.2确认成交供应商之前，采购人有权对成交候选人诚信履约的能力进行最后审查。审查方式包括询问、调查、考察、要求成交候选人作出履约承诺或担保等。如果发现成交候选人提供了虚假 材料，在响应中有故意隐瞒或虚报的情节，在以往的中标项目中有不诚信履约的情形，不能按采购人要求作出相应的履约承诺或担保等，采购人有权否决其成交资格，按顺序确定排名随后的成交候选人为成交方。</w:t>
      </w:r>
    </w:p>
    <w:p>
      <w:pPr>
        <w:spacing w:line="360" w:lineRule="auto"/>
        <w:ind w:leftChars="197" w:left="414" w:firstLineChars="49" w:firstLine="103"/>
        <w:jc w:val="left"/>
        <w:rPr>
          <w:rFonts w:ascii="宋体" w:hAnsi="宋体"/>
          <w:b/>
          <w:szCs w:val="21"/>
        </w:rPr>
      </w:pPr>
      <w:r>
        <w:rPr>
          <w:rFonts w:ascii="宋体" w:hAnsi="宋体" w:hint="eastAsia"/>
          <w:b/>
          <w:szCs w:val="21"/>
        </w:rPr>
        <w:t>29 成交通知</w:t>
      </w:r>
    </w:p>
    <w:p>
      <w:pPr>
        <w:spacing w:line="360" w:lineRule="auto"/>
        <w:ind w:leftChars="197" w:left="414" w:firstLineChars="49" w:firstLine="103"/>
        <w:jc w:val="left"/>
        <w:rPr>
          <w:rFonts w:ascii="宋体" w:hAnsi="宋体"/>
          <w:szCs w:val="21"/>
        </w:rPr>
      </w:pPr>
      <w:r>
        <w:rPr>
          <w:rFonts w:ascii="宋体" w:hAnsi="宋体" w:hint="eastAsia"/>
          <w:szCs w:val="21"/>
        </w:rPr>
        <w:t>30.1 确定成交供应商后，采购代理机构在发布成交公告的同时，以书面形式向成交供应商发出成交通知书。成交通知书应当规定签署合同的日期和地点。</w:t>
      </w:r>
    </w:p>
    <w:p>
      <w:pPr>
        <w:spacing w:line="360" w:lineRule="auto"/>
        <w:ind w:leftChars="197" w:left="414" w:firstLineChars="49" w:firstLine="103"/>
        <w:jc w:val="left"/>
        <w:rPr>
          <w:rFonts w:ascii="宋体" w:hAnsi="宋体"/>
          <w:szCs w:val="21"/>
        </w:rPr>
      </w:pPr>
      <w:r>
        <w:rPr>
          <w:rFonts w:ascii="宋体" w:hAnsi="宋体" w:hint="eastAsia"/>
          <w:szCs w:val="21"/>
        </w:rPr>
        <w:t>30.2 成交通知书的送达方式，包括传真、快递、电子邮件和委托代理人领取。采购代理机构可以选用其中一种或多种方式送达。</w:t>
      </w:r>
    </w:p>
    <w:p>
      <w:pPr>
        <w:spacing w:line="360" w:lineRule="auto"/>
        <w:ind w:leftChars="197" w:left="414" w:firstLineChars="49" w:firstLine="103"/>
        <w:jc w:val="left"/>
        <w:rPr>
          <w:rFonts w:ascii="宋体" w:hAnsi="宋体"/>
          <w:szCs w:val="21"/>
        </w:rPr>
      </w:pPr>
      <w:r>
        <w:rPr>
          <w:rFonts w:ascii="宋体" w:hAnsi="宋体" w:hint="eastAsia"/>
          <w:szCs w:val="21"/>
        </w:rPr>
        <w:t>30.3 成交通知书是合同的组成部分。</w:t>
      </w:r>
    </w:p>
    <w:p>
      <w:pPr>
        <w:spacing w:line="360" w:lineRule="auto"/>
        <w:ind w:leftChars="197" w:left="414" w:firstLineChars="49" w:firstLine="103"/>
        <w:jc w:val="left"/>
        <w:rPr>
          <w:rFonts w:ascii="宋体" w:hAnsi="宋体"/>
          <w:szCs w:val="21"/>
        </w:rPr>
      </w:pPr>
      <w:r>
        <w:rPr>
          <w:rFonts w:ascii="宋体" w:hAnsi="宋体" w:hint="eastAsia"/>
          <w:szCs w:val="21"/>
        </w:rPr>
        <w:t>30.4 采购代理机构没有对未成交供应商解释落标原因的义务。</w:t>
      </w:r>
    </w:p>
    <w:p>
      <w:pPr>
        <w:spacing w:line="360" w:lineRule="auto"/>
        <w:ind w:leftChars="197" w:left="414" w:firstLineChars="49" w:firstLine="103"/>
        <w:jc w:val="left"/>
        <w:rPr>
          <w:rFonts w:ascii="宋体" w:hAnsi="宋体"/>
          <w:b/>
          <w:szCs w:val="21"/>
        </w:rPr>
      </w:pPr>
      <w:r>
        <w:rPr>
          <w:rFonts w:ascii="宋体" w:hAnsi="宋体" w:hint="eastAsia"/>
          <w:b/>
          <w:szCs w:val="21"/>
        </w:rPr>
        <w:t>30 签订合同</w:t>
      </w:r>
    </w:p>
    <w:p>
      <w:pPr>
        <w:spacing w:line="360" w:lineRule="auto"/>
        <w:ind w:leftChars="197" w:left="414" w:firstLineChars="49" w:firstLine="103"/>
        <w:jc w:val="left"/>
        <w:rPr>
          <w:rFonts w:ascii="宋体" w:hAnsi="宋体"/>
          <w:szCs w:val="21"/>
        </w:rPr>
      </w:pPr>
      <w:r>
        <w:rPr>
          <w:rFonts w:ascii="宋体" w:hAnsi="宋体" w:hint="eastAsia"/>
          <w:szCs w:val="21"/>
        </w:rPr>
        <w:t>30.1采购人和成交供应商应当按照成交通知书规定的期限签订合同。成交通知书规定的期限最长不得超过30 天。</w:t>
      </w:r>
    </w:p>
    <w:p>
      <w:pPr>
        <w:spacing w:line="360" w:lineRule="auto"/>
        <w:ind w:leftChars="197" w:left="414" w:firstLineChars="49" w:firstLine="103"/>
        <w:jc w:val="left"/>
        <w:rPr>
          <w:rFonts w:ascii="宋体" w:hAnsi="宋体"/>
          <w:szCs w:val="21"/>
        </w:rPr>
      </w:pPr>
      <w:r>
        <w:rPr>
          <w:rFonts w:ascii="宋体" w:hAnsi="宋体" w:hint="eastAsia"/>
          <w:szCs w:val="21"/>
        </w:rPr>
        <w:t>30.2成交供应商拒签合同，或不能在规定的期限内与采购人签订合同，采购人有权取消其成交资格，其响应保证金不予退还。</w:t>
      </w:r>
    </w:p>
    <w:p>
      <w:pPr>
        <w:spacing w:line="360" w:lineRule="auto"/>
        <w:ind w:leftChars="197" w:left="414" w:firstLineChars="49" w:firstLine="103"/>
        <w:jc w:val="left"/>
        <w:rPr>
          <w:rFonts w:ascii="宋体" w:hAnsi="宋体"/>
          <w:szCs w:val="21"/>
        </w:rPr>
      </w:pPr>
      <w:r>
        <w:rPr>
          <w:rFonts w:ascii="宋体" w:hAnsi="宋体" w:hint="eastAsia"/>
          <w:szCs w:val="21"/>
        </w:rPr>
        <w:t>30.3成交供应商放弃成交，其响应保证金不予退还。</w:t>
      </w:r>
    </w:p>
    <w:p>
      <w:pPr>
        <w:spacing w:line="360" w:lineRule="auto"/>
        <w:ind w:leftChars="197" w:left="414" w:firstLineChars="49" w:firstLine="103"/>
        <w:jc w:val="left"/>
        <w:rPr>
          <w:rFonts w:ascii="宋体" w:hAnsi="宋体"/>
          <w:szCs w:val="21"/>
        </w:rPr>
      </w:pPr>
      <w:r>
        <w:rPr>
          <w:rFonts w:ascii="宋体" w:hAnsi="宋体" w:hint="eastAsia"/>
          <w:szCs w:val="21"/>
        </w:rPr>
        <w:t>30.4成交供应商放弃成交或被取消成交资格后，采购人有权按评审委员会推荐的顺序确定备选成交候选人为成交方并与之签订合同。所有被确定成交的候选成交供应商均放弃成交或被取消成交资格，采购人应当重新组织采购。弃标或被取消成交资格的供应商不得参加重新本项目采购。</w:t>
      </w:r>
    </w:p>
    <w:p>
      <w:pPr>
        <w:spacing w:line="360" w:lineRule="auto"/>
        <w:ind w:leftChars="197" w:left="414" w:firstLineChars="49" w:firstLine="103"/>
        <w:jc w:val="left"/>
        <w:rPr>
          <w:rFonts w:ascii="宋体" w:hAnsi="宋体"/>
          <w:szCs w:val="21"/>
        </w:rPr>
      </w:pPr>
      <w:r>
        <w:rPr>
          <w:rFonts w:ascii="宋体" w:hAnsi="宋体" w:hint="eastAsia"/>
          <w:szCs w:val="21"/>
        </w:rPr>
        <w:t>30.5成交供应商拒签合同或放弃成交是违约行为，应当依法赔偿违约行为给采购人造成的实际损失。</w:t>
      </w:r>
    </w:p>
    <w:p>
      <w:pPr>
        <w:spacing w:line="360" w:lineRule="auto"/>
        <w:ind w:leftChars="197" w:left="414" w:firstLineChars="49" w:firstLine="103"/>
        <w:jc w:val="left"/>
        <w:rPr>
          <w:rFonts w:ascii="宋体" w:hAnsi="宋体"/>
          <w:szCs w:val="21"/>
        </w:rPr>
      </w:pPr>
      <w:r>
        <w:rPr>
          <w:rFonts w:ascii="宋体" w:hAnsi="宋体" w:hint="eastAsia"/>
          <w:szCs w:val="21"/>
        </w:rPr>
        <w:t>30.6前款所称“违约行为给采购人造成的实际损失”，是指顺延成交供应商的成交价格高于违约人成交价格的高出部分。</w:t>
      </w:r>
    </w:p>
    <w:p>
      <w:pPr>
        <w:spacing w:line="360" w:lineRule="auto"/>
        <w:ind w:leftChars="197" w:left="414" w:firstLineChars="49" w:firstLine="103"/>
        <w:jc w:val="left"/>
        <w:rPr>
          <w:rFonts w:ascii="宋体" w:hAnsi="宋体"/>
          <w:szCs w:val="21"/>
        </w:rPr>
      </w:pPr>
      <w:r>
        <w:rPr>
          <w:rFonts w:ascii="宋体" w:hAnsi="宋体" w:hint="eastAsia"/>
          <w:szCs w:val="21"/>
        </w:rPr>
        <w:t>30.7签订合同及合同条款应以竞争性磋商文件和成交供应商的响应文件为依据。</w:t>
      </w:r>
    </w:p>
    <w:p>
      <w:pPr>
        <w:spacing w:line="360" w:lineRule="auto"/>
        <w:ind w:leftChars="197" w:left="414" w:firstLineChars="49" w:firstLine="103"/>
        <w:jc w:val="left"/>
        <w:rPr>
          <w:rFonts w:ascii="宋体" w:hAnsi="宋体"/>
          <w:b/>
          <w:szCs w:val="21"/>
        </w:rPr>
      </w:pPr>
      <w:r>
        <w:rPr>
          <w:rFonts w:ascii="宋体" w:hAnsi="宋体" w:hint="eastAsia"/>
          <w:b/>
          <w:szCs w:val="21"/>
        </w:rPr>
        <w:t>31验收</w:t>
      </w:r>
    </w:p>
    <w:p>
      <w:pPr>
        <w:spacing w:line="360" w:lineRule="auto"/>
        <w:ind w:leftChars="197" w:left="414" w:firstLineChars="49" w:firstLine="103"/>
        <w:jc w:val="left"/>
        <w:rPr>
          <w:rFonts w:ascii="宋体" w:hAnsi="宋体"/>
          <w:szCs w:val="21"/>
        </w:rPr>
      </w:pPr>
      <w:r>
        <w:rPr>
          <w:rFonts w:ascii="宋体" w:hAnsi="宋体" w:hint="eastAsia"/>
          <w:szCs w:val="21"/>
        </w:rPr>
        <w:t>31.1成交供应商与采购人应严格按照竞争性磋商文件规定的标准和响应文件承诺的条件对项目进行验收。</w:t>
      </w:r>
    </w:p>
    <w:p>
      <w:pPr>
        <w:spacing w:line="360" w:lineRule="auto"/>
        <w:ind w:leftChars="197" w:left="414" w:firstLineChars="49" w:firstLine="103"/>
        <w:jc w:val="left"/>
        <w:rPr>
          <w:rFonts w:ascii="宋体" w:hAnsi="宋体"/>
          <w:szCs w:val="21"/>
        </w:rPr>
      </w:pPr>
      <w:r>
        <w:rPr>
          <w:rFonts w:ascii="宋体" w:hAnsi="宋体" w:hint="eastAsia"/>
          <w:szCs w:val="21"/>
        </w:rPr>
        <w:t>31.2采购人可以独立邀请第三方参与验收。验收出现争议时，成交供应商可以与采购人协商共同邀请第三方参与验收。</w:t>
      </w:r>
    </w:p>
    <w:p>
      <w:pPr>
        <w:spacing w:line="360" w:lineRule="auto"/>
        <w:ind w:leftChars="197" w:left="414" w:firstLineChars="49" w:firstLine="103"/>
        <w:jc w:val="left"/>
        <w:rPr>
          <w:rFonts w:ascii="宋体" w:hAnsi="宋体"/>
          <w:b/>
          <w:szCs w:val="21"/>
        </w:rPr>
      </w:pPr>
      <w:r>
        <w:rPr>
          <w:rFonts w:ascii="宋体" w:hAnsi="宋体" w:hint="eastAsia"/>
          <w:b/>
          <w:szCs w:val="21"/>
        </w:rPr>
        <w:t>32 代理服务费</w:t>
      </w:r>
    </w:p>
    <w:p>
      <w:pPr>
        <w:spacing w:line="360" w:lineRule="auto"/>
        <w:ind w:leftChars="197" w:left="414" w:firstLineChars="49" w:firstLine="103"/>
        <w:jc w:val="left"/>
        <w:rPr>
          <w:rFonts w:ascii="宋体" w:hAnsi="宋体"/>
          <w:szCs w:val="21"/>
        </w:rPr>
      </w:pPr>
      <w:r>
        <w:rPr>
          <w:rFonts w:ascii="宋体" w:hAnsi="宋体" w:hint="eastAsia"/>
          <w:szCs w:val="21"/>
        </w:rPr>
        <w:t>32.1代理服务费：采购代理服务费按本项目采购代理合同约定支付。在发出成交通知书后一次性付清。按约定收费。</w:t>
      </w:r>
    </w:p>
    <w:p>
      <w:pPr>
        <w:pStyle w:val="2"/>
      </w:pPr>
      <w:bookmarkStart w:id="65" w:name="_Toc317237605"/>
      <w:bookmarkStart w:id="66" w:name="_Toc1715"/>
      <w:bookmarkStart w:id="67" w:name="_Toc317237780"/>
      <w:bookmarkStart w:id="68" w:name="_Toc67843807"/>
      <w:r>
        <w:rPr>
          <w:rFonts w:hint="eastAsia"/>
        </w:rPr>
        <w:t>G询问、质疑和投诉</w:t>
      </w:r>
      <w:bookmarkEnd w:id="65"/>
      <w:bookmarkEnd w:id="66"/>
      <w:bookmarkEnd w:id="67"/>
      <w:bookmarkEnd w:id="68"/>
    </w:p>
    <w:p>
      <w:pPr>
        <w:spacing w:line="360" w:lineRule="auto"/>
        <w:ind w:leftChars="197" w:left="414" w:firstLineChars="49" w:firstLine="103"/>
        <w:jc w:val="left"/>
        <w:rPr>
          <w:rFonts w:ascii="宋体" w:hAnsi="宋体"/>
          <w:b/>
          <w:szCs w:val="21"/>
        </w:rPr>
      </w:pPr>
      <w:r>
        <w:rPr>
          <w:rFonts w:ascii="宋体" w:hAnsi="宋体" w:hint="eastAsia"/>
          <w:b/>
          <w:szCs w:val="21"/>
        </w:rPr>
        <w:t>34  询问</w:t>
      </w:r>
    </w:p>
    <w:p>
      <w:pPr>
        <w:spacing w:line="360" w:lineRule="auto"/>
        <w:ind w:leftChars="197" w:left="414" w:firstLineChars="49" w:firstLine="103"/>
        <w:jc w:val="left"/>
        <w:rPr>
          <w:rFonts w:ascii="宋体" w:hAnsi="宋体"/>
          <w:szCs w:val="21"/>
        </w:rPr>
      </w:pPr>
      <w:r>
        <w:rPr>
          <w:rFonts w:ascii="宋体" w:hAnsi="宋体" w:hint="eastAsia"/>
          <w:szCs w:val="21"/>
        </w:rPr>
        <w:t>34.1供应商对本采购活动事项有疑问的，应当向采购人或采购代理机构提出询问。</w:t>
      </w:r>
    </w:p>
    <w:p>
      <w:pPr>
        <w:spacing w:line="360" w:lineRule="auto"/>
        <w:ind w:leftChars="197" w:left="414" w:firstLineChars="49" w:firstLine="103"/>
        <w:jc w:val="left"/>
        <w:rPr>
          <w:rFonts w:ascii="宋体" w:hAnsi="宋体"/>
          <w:szCs w:val="21"/>
        </w:rPr>
      </w:pPr>
      <w:r>
        <w:rPr>
          <w:rFonts w:ascii="宋体" w:hAnsi="宋体" w:hint="eastAsia"/>
          <w:szCs w:val="21"/>
        </w:rPr>
        <w:t>34.2采购人或采购代理机构按照国家相关的法律法规依法做出相应答复。</w:t>
      </w:r>
    </w:p>
    <w:p>
      <w:pPr>
        <w:spacing w:line="360" w:lineRule="auto"/>
        <w:ind w:leftChars="197" w:left="414" w:firstLineChars="49" w:firstLine="103"/>
        <w:jc w:val="left"/>
        <w:rPr>
          <w:rFonts w:ascii="宋体" w:hAnsi="宋体"/>
          <w:b/>
          <w:szCs w:val="21"/>
        </w:rPr>
      </w:pPr>
      <w:r>
        <w:rPr>
          <w:rFonts w:ascii="宋体" w:hAnsi="宋体" w:hint="eastAsia"/>
          <w:b/>
          <w:szCs w:val="21"/>
        </w:rPr>
        <w:t>35  质疑</w:t>
      </w:r>
    </w:p>
    <w:p>
      <w:pPr>
        <w:spacing w:line="360" w:lineRule="auto"/>
        <w:ind w:leftChars="197" w:left="414" w:firstLineChars="49" w:firstLine="103"/>
        <w:jc w:val="left"/>
        <w:rPr>
          <w:rFonts w:ascii="宋体" w:hAnsi="宋体"/>
          <w:szCs w:val="21"/>
        </w:rPr>
      </w:pPr>
      <w:r>
        <w:rPr>
          <w:rFonts w:ascii="宋体" w:hAnsi="宋体" w:hint="eastAsia"/>
          <w:szCs w:val="21"/>
        </w:rPr>
        <w:t>35.1供应商认为采购文件、采购过程和成交结果使自己的权益受到损害的，可以在知道或者应知其权益受到损害之日起七个工作日内，以书面形式向本采购代理机构或向采购人提出质疑。</w:t>
      </w:r>
    </w:p>
    <w:p>
      <w:pPr>
        <w:spacing w:line="360" w:lineRule="auto"/>
        <w:ind w:leftChars="197" w:left="414" w:firstLineChars="49" w:firstLine="103"/>
        <w:jc w:val="left"/>
        <w:rPr>
          <w:rFonts w:ascii="宋体" w:hAnsi="宋体"/>
          <w:szCs w:val="21"/>
        </w:rPr>
      </w:pPr>
      <w:r>
        <w:rPr>
          <w:rFonts w:ascii="宋体" w:hAnsi="宋体" w:hint="eastAsia"/>
          <w:szCs w:val="21"/>
        </w:rPr>
        <w:t>35.2质疑必须以书面形式提出，并符合国家相关法律法规的规定。</w:t>
      </w:r>
    </w:p>
    <w:p>
      <w:pPr>
        <w:spacing w:line="360" w:lineRule="auto"/>
        <w:ind w:leftChars="197" w:left="414" w:firstLineChars="49" w:firstLine="103"/>
        <w:jc w:val="left"/>
        <w:rPr>
          <w:rFonts w:ascii="宋体" w:hAnsi="宋体"/>
          <w:b/>
          <w:szCs w:val="21"/>
        </w:rPr>
      </w:pPr>
      <w:r>
        <w:rPr>
          <w:rFonts w:ascii="宋体" w:hAnsi="宋体" w:hint="eastAsia"/>
          <w:b/>
          <w:szCs w:val="21"/>
        </w:rPr>
        <w:t>36  投诉</w:t>
      </w:r>
    </w:p>
    <w:p>
      <w:pPr>
        <w:spacing w:line="360" w:lineRule="auto"/>
        <w:ind w:leftChars="197" w:left="414" w:firstLineChars="49" w:firstLine="103"/>
        <w:jc w:val="left"/>
        <w:rPr>
          <w:rFonts w:ascii="宋体" w:hAnsi="宋体"/>
          <w:szCs w:val="21"/>
        </w:rPr>
      </w:pPr>
      <w:r>
        <w:rPr>
          <w:rFonts w:ascii="宋体" w:hAnsi="宋体" w:hint="eastAsia"/>
          <w:szCs w:val="21"/>
        </w:rPr>
        <w:t>36.1供应商对质疑事项的答复不满意，或者没有在法定期限内得到答复的，可以依法向采购人监管部门进行投诉。</w:t>
      </w:r>
    </w:p>
    <w:p>
      <w:pPr>
        <w:spacing w:line="360" w:lineRule="auto"/>
        <w:ind w:leftChars="197" w:left="414" w:firstLineChars="49" w:firstLine="103"/>
        <w:jc w:val="left"/>
        <w:rPr>
          <w:rFonts w:ascii="宋体" w:hAnsi="宋体"/>
          <w:szCs w:val="21"/>
        </w:rPr>
      </w:pPr>
      <w:r>
        <w:rPr>
          <w:rFonts w:ascii="宋体" w:hAnsi="宋体" w:hint="eastAsia"/>
          <w:szCs w:val="21"/>
        </w:rPr>
        <w:t>36.2供应商的投诉，应当符合国家相关法律法规的相关规定。</w:t>
      </w:r>
    </w:p>
    <w:p>
      <w:pPr>
        <w:pStyle w:val="2"/>
      </w:pPr>
      <w:bookmarkStart w:id="69" w:name="_Toc317237606"/>
      <w:bookmarkStart w:id="70" w:name="_Toc24675"/>
      <w:bookmarkStart w:id="71" w:name="_Toc317237781"/>
      <w:bookmarkStart w:id="72" w:name="_Toc67843808"/>
      <w:r>
        <w:rPr>
          <w:rFonts w:hint="eastAsia"/>
        </w:rPr>
        <w:t>H纪律和监督</w:t>
      </w:r>
      <w:bookmarkEnd w:id="69"/>
      <w:bookmarkEnd w:id="70"/>
      <w:bookmarkEnd w:id="71"/>
      <w:bookmarkEnd w:id="72"/>
    </w:p>
    <w:p>
      <w:pPr>
        <w:spacing w:line="360" w:lineRule="auto"/>
        <w:ind w:leftChars="197" w:left="414" w:firstLineChars="49" w:firstLine="103"/>
        <w:jc w:val="left"/>
        <w:rPr>
          <w:rFonts w:ascii="宋体" w:hAnsi="宋体"/>
          <w:b/>
          <w:szCs w:val="21"/>
        </w:rPr>
      </w:pPr>
      <w:r>
        <w:rPr>
          <w:rFonts w:ascii="宋体" w:hAnsi="宋体" w:hint="eastAsia"/>
          <w:b/>
          <w:szCs w:val="21"/>
        </w:rPr>
        <w:t>37  对采购人的纪律要求</w:t>
      </w:r>
    </w:p>
    <w:p>
      <w:pPr>
        <w:spacing w:line="360" w:lineRule="auto"/>
        <w:ind w:leftChars="197" w:left="414" w:firstLineChars="49" w:firstLine="103"/>
        <w:jc w:val="left"/>
        <w:rPr>
          <w:rFonts w:ascii="宋体" w:hAnsi="宋体"/>
          <w:szCs w:val="21"/>
        </w:rPr>
      </w:pPr>
      <w:r>
        <w:rPr>
          <w:rFonts w:ascii="宋体" w:hAnsi="宋体" w:hint="eastAsia"/>
          <w:szCs w:val="21"/>
        </w:rPr>
        <w:t>采购人不得泄漏采购活动中应当保密的情况和资料，不得与供应商串通损害国家利益、社会公共利益或他人的合法权益。</w:t>
      </w:r>
    </w:p>
    <w:p>
      <w:pPr>
        <w:spacing w:line="360" w:lineRule="auto"/>
        <w:ind w:leftChars="197" w:left="414" w:firstLineChars="49" w:firstLine="103"/>
        <w:jc w:val="left"/>
        <w:rPr>
          <w:rFonts w:ascii="宋体" w:hAnsi="宋体"/>
          <w:b/>
          <w:szCs w:val="21"/>
        </w:rPr>
      </w:pPr>
      <w:r>
        <w:rPr>
          <w:rFonts w:ascii="宋体" w:hAnsi="宋体" w:hint="eastAsia"/>
          <w:b/>
          <w:szCs w:val="21"/>
        </w:rPr>
        <w:t>38  对供应商的纪律要求</w:t>
      </w:r>
    </w:p>
    <w:p>
      <w:pPr>
        <w:spacing w:line="360" w:lineRule="auto"/>
        <w:ind w:leftChars="197" w:left="414" w:firstLineChars="49" w:firstLine="103"/>
        <w:jc w:val="left"/>
        <w:rPr>
          <w:rFonts w:ascii="宋体" w:hAnsi="宋体"/>
          <w:szCs w:val="21"/>
        </w:rPr>
      </w:pPr>
      <w:r>
        <w:rPr>
          <w:rFonts w:ascii="宋体" w:hAnsi="宋体" w:hint="eastAsia"/>
          <w:szCs w:val="21"/>
        </w:rPr>
        <w:t>不得提供虚假材料谋取中标；不得采取不正当手段诋毁、排挤其他供应商；不得与采购单位、其他供应商恶意串通；不得向采购单位、评审委员会成员行贿或者提供其他不正当利益；不得拒不遵守唱价纪律，故意扰乱唱价会场秩序或其他无理取闹行为；不得在采购过程中与采购单位进行协商谈判；不得拒绝有关部门的监督检查或者向监督检查部门提供虚假情况。有上述情形之一的供应商，属于不合格供应商，其响应或成交资格将被取消。</w:t>
      </w:r>
    </w:p>
    <w:p>
      <w:pPr>
        <w:spacing w:line="360" w:lineRule="auto"/>
        <w:ind w:leftChars="197" w:left="414" w:firstLineChars="49" w:firstLine="103"/>
        <w:jc w:val="left"/>
        <w:rPr>
          <w:rFonts w:ascii="宋体" w:hAnsi="宋体"/>
          <w:b/>
          <w:szCs w:val="21"/>
        </w:rPr>
      </w:pPr>
      <w:r>
        <w:rPr>
          <w:rFonts w:ascii="宋体" w:hAnsi="宋体" w:hint="eastAsia"/>
          <w:b/>
          <w:szCs w:val="21"/>
        </w:rPr>
        <w:t>39  对评审委员会成员的纪律要求</w:t>
      </w:r>
    </w:p>
    <w:p>
      <w:pPr>
        <w:spacing w:line="360" w:lineRule="auto"/>
        <w:ind w:leftChars="197" w:left="414" w:firstLineChars="49" w:firstLine="103"/>
        <w:jc w:val="left"/>
        <w:rPr>
          <w:rFonts w:ascii="宋体" w:hAnsi="宋体"/>
          <w:szCs w:val="21"/>
        </w:rPr>
      </w:pPr>
      <w:r>
        <w:rPr>
          <w:rFonts w:ascii="宋体" w:hAnsi="宋体" w:hint="eastAsia"/>
          <w:szCs w:val="21"/>
        </w:rPr>
        <w:t>评审委员会成员不得收受他人的财物或者其他好处，不得向他人透漏对响应文件的评审和比较、成交候选人的推荐情况以及评审有关的其他情况。在评审活动中，评审委员会成员不得擅离职守，影响评审程序正常进行，不得使用本竞争性磋商文件第五部分“评审方法和标准”的规定之外的评审因素和标准进行评审。</w:t>
      </w:r>
    </w:p>
    <w:p>
      <w:pPr>
        <w:spacing w:line="360" w:lineRule="auto"/>
        <w:ind w:leftChars="197" w:left="414" w:firstLineChars="49" w:firstLine="103"/>
        <w:jc w:val="left"/>
        <w:rPr>
          <w:rFonts w:ascii="宋体" w:hAnsi="宋体"/>
          <w:b/>
          <w:szCs w:val="21"/>
        </w:rPr>
      </w:pPr>
      <w:r>
        <w:rPr>
          <w:rFonts w:ascii="宋体" w:hAnsi="宋体" w:hint="eastAsia"/>
          <w:b/>
          <w:szCs w:val="21"/>
        </w:rPr>
        <w:t>40  对与评审活动有关的工作人员的纪律要求</w:t>
      </w:r>
    </w:p>
    <w:p>
      <w:pPr>
        <w:spacing w:line="360" w:lineRule="auto"/>
        <w:ind w:leftChars="197" w:left="414" w:firstLineChars="49" w:firstLine="103"/>
        <w:jc w:val="left"/>
        <w:rPr>
          <w:rFonts w:ascii="宋体" w:hAnsi="宋体"/>
          <w:szCs w:val="21"/>
        </w:rPr>
      </w:pPr>
      <w:r>
        <w:rPr>
          <w:rFonts w:ascii="宋体" w:hAnsi="宋体" w:hint="eastAsia"/>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pPr>
        <w:spacing w:line="360" w:lineRule="auto"/>
        <w:ind w:leftChars="197" w:left="414" w:firstLineChars="49" w:firstLine="103"/>
        <w:jc w:val="left"/>
        <w:rPr>
          <w:rFonts w:ascii="宋体" w:hAnsi="宋体"/>
          <w:b/>
          <w:szCs w:val="21"/>
        </w:rPr>
      </w:pPr>
      <w:r>
        <w:rPr>
          <w:rFonts w:ascii="宋体" w:hAnsi="宋体" w:hint="eastAsia"/>
          <w:b/>
          <w:szCs w:val="21"/>
        </w:rPr>
        <w:t>41 关于小微企业、监狱企业、残疾人福利性单位、强制采购节能产品、信息安全产品和优先采购环境标志产品、绿色产品的要求参与政府采购项目的政策优惠条件及要 求如下：</w:t>
      </w:r>
    </w:p>
    <w:p>
      <w:pPr>
        <w:spacing w:line="360" w:lineRule="auto"/>
        <w:ind w:leftChars="197" w:left="414" w:firstLineChars="49" w:firstLine="103"/>
        <w:jc w:val="left"/>
      </w:pPr>
      <w:r>
        <w:t xml:space="preserve">   政策优惠条件及要求：根据财政部、工业和信息化部关于《政府采购促进中 小企业发展管理办法》（财库【2020】46 号）和《进一步加大政府采购支持中小企业 力度》财库〔2022〕19 号 的要求，政府采购项目的政策优惠条件及要求如下。</w:t>
      </w:r>
    </w:p>
    <w:p>
      <w:pPr>
        <w:spacing w:line="360" w:lineRule="auto"/>
        <w:ind w:leftChars="197" w:left="414" w:firstLineChars="149" w:firstLine="313"/>
        <w:jc w:val="left"/>
      </w:pPr>
      <w:r>
        <w:t xml:space="preserve">该办法所称中小企业，是指在中华人民共和国境内依法设立，依据国务院 批准的中小企业划分标准确定的中型企业、小型企业和微型企业，但与大企业的负责人 为同一人，或者与大企业存在直接控股、管理关系的除外。 符合中小企业划分标准的个体工商户，在政府采购活动中视同中小企业。 </w:t>
      </w:r>
    </w:p>
    <w:p>
      <w:pPr>
        <w:spacing w:line="360" w:lineRule="auto"/>
        <w:ind w:leftChars="197" w:left="414" w:firstLineChars="249" w:firstLine="523"/>
        <w:jc w:val="left"/>
      </w:pPr>
      <w:r>
        <w:t xml:space="preserve">在政府采购活动中，供应商提供的货物、工程或者服务符合下列情形的，享受办法规定的中小企业扶持政策： </w:t>
      </w:r>
    </w:p>
    <w:p>
      <w:pPr>
        <w:spacing w:line="360" w:lineRule="auto"/>
        <w:ind w:leftChars="197" w:left="414" w:firstLineChars="49" w:firstLine="103"/>
        <w:jc w:val="left"/>
      </w:pPr>
      <w:r>
        <w:t xml:space="preserve">    在货物采购项目中，货物由中小企业制造，即货物由中小企业生产且使用该中小企业商号或者注册商标；</w:t>
      </w:r>
    </w:p>
    <w:p>
      <w:pPr>
        <w:spacing w:line="360" w:lineRule="auto"/>
        <w:ind w:leftChars="197" w:left="414" w:firstLineChars="249" w:firstLine="523"/>
        <w:jc w:val="left"/>
      </w:pPr>
      <w:r>
        <w:t xml:space="preserve">在工程采购项目中，工程由中小企业承建，即工程施工单位为中小企业； </w:t>
      </w:r>
    </w:p>
    <w:p>
      <w:pPr>
        <w:spacing w:line="360" w:lineRule="auto"/>
        <w:ind w:leftChars="197" w:left="414" w:firstLineChars="249" w:firstLine="523"/>
        <w:jc w:val="left"/>
        <w:rPr>
          <w:rFonts w:ascii="宋体" w:hAnsi="宋体"/>
          <w:szCs w:val="21"/>
        </w:rPr>
      </w:pPr>
      <w:r>
        <w:t xml:space="preserve">在服务采购项目中，服务由中小企业承接，即提供服务的人员为中小企业依照《中华人民共和国劳动合同法》订立劳动合同的从业人员。 </w:t>
      </w:r>
    </w:p>
    <w:p>
      <w:pPr>
        <w:spacing w:line="360" w:lineRule="auto"/>
        <w:ind w:leftChars="197" w:left="414" w:firstLineChars="249" w:firstLine="523"/>
        <w:jc w:val="left"/>
      </w:pPr>
      <w:bookmarkStart w:id="73" w:name="_Toc30186"/>
      <w:bookmarkStart w:id="74" w:name="_Toc317237607"/>
      <w:r>
        <w:t xml:space="preserve">在货物采购项目中，供应商提供的货物既有中小企业制造货物，也有大型企业制造 货物的，不享受本办法规定的中小企业扶持政策。 以联合体形式参加政府采购活动，联合体各方均为中小企业的，联合体视同中小企 业。其中，联合体各方均为小微企业的，联合体视同小微企业。 </w:t>
      </w:r>
    </w:p>
    <w:p>
      <w:pPr>
        <w:spacing w:line="360" w:lineRule="auto"/>
        <w:ind w:leftChars="197" w:left="414" w:firstLineChars="249" w:firstLine="523"/>
        <w:jc w:val="left"/>
      </w:pPr>
      <w:r>
        <w:t>对于经主管预算单位统筹后未预留份额专门面向中小企业采购的采购项目，以及预留份额项目中的非预留部分采购包，对符合本办法规定的小微企业报价给予</w:t>
      </w:r>
      <w:r>
        <w:rPr>
          <w:highlight w:val="none"/>
        </w:rPr>
        <w:t xml:space="preserve"> </w:t>
      </w:r>
      <w:r>
        <w:rPr>
          <w:u w:val="single"/>
          <w:highlight w:val="none"/>
        </w:rPr>
        <w:t>10%的扣除</w:t>
      </w:r>
      <w:r>
        <w:t xml:space="preserve">，用扣除后的价格参加评审。 接受大中型企业与小微企业组成联合体或者允许大中型企业向一家或者多家小微企业分包的采购项目，对于联合协议或者分包意向协议约定小微企业的合同份额占到合 同总金额 30%以上的，联合体或者大中型企业的报价给予 4%的扣除，用扣除后的价格 参加评审。 组成联合体或者接受分包的小微企业与联合体内其他企业、分包企业之间存在直接 控股、管理关系的，不享受价格扣除优惠政策。 </w:t>
      </w:r>
    </w:p>
    <w:p>
      <w:pPr>
        <w:spacing w:line="360" w:lineRule="auto"/>
        <w:ind w:leftChars="197" w:left="414" w:firstLineChars="249" w:firstLine="523"/>
        <w:jc w:val="left"/>
      </w:pPr>
      <w:r>
        <w:t xml:space="preserve">中小企业参加政府采购活动，应当出具《中小企业声明函》（附件），否则不得享受相关中小企业扶持政策。 </w:t>
      </w:r>
    </w:p>
    <w:p>
      <w:pPr>
        <w:spacing w:line="360" w:lineRule="auto"/>
        <w:ind w:leftChars="197" w:left="414" w:firstLineChars="249" w:firstLine="523"/>
        <w:jc w:val="left"/>
      </w:pPr>
      <w:r>
        <w:t xml:space="preserve">关于监狱企业参与政府采购优惠政策（对监狱企业视同小型、微型 企业）对监狱企业产品的价格给予 10%的扣除，用扣除后的价格参与评审。 根据关于政府采购支持监狱企业发展有关问题的通知财库[2014]68 号的要求： </w:t>
      </w:r>
    </w:p>
    <w:p>
      <w:pPr>
        <w:spacing w:line="360" w:lineRule="auto"/>
        <w:ind w:leftChars="197" w:left="414" w:firstLineChars="249" w:firstLine="523"/>
        <w:jc w:val="left"/>
      </w:pPr>
      <w:r>
        <w:t>监狱企业参加政府采购活动时，应当提供由省级以上监狱管理局、戒毒管 理局（含新疆生产建设兵团）出具的属于监狱企业的证明文件。（监狱企业的证明文件格式自行拟定、投标时装订在响应文件中）</w:t>
      </w:r>
    </w:p>
    <w:p>
      <w:pPr>
        <w:spacing w:line="360" w:lineRule="auto"/>
        <w:ind w:leftChars="197" w:left="414" w:firstLineChars="249" w:firstLine="523"/>
        <w:jc w:val="left"/>
      </w:pPr>
      <w:r>
        <w:t>在政府采购活动中，监狱企业视同小型、微型企业，享受预留份额、评审中价格扣除等政府采购促进中小企业发展的政府采购政策。</w:t>
      </w:r>
    </w:p>
    <w:p>
      <w:pPr>
        <w:spacing w:line="360" w:lineRule="auto"/>
        <w:ind w:leftChars="197" w:left="414" w:firstLineChars="249" w:firstLine="523"/>
        <w:jc w:val="left"/>
      </w:pPr>
      <w:r>
        <w:t>残疾人就业政府采购优惠政策（残疾人福利性单位视同小型、微型 企业）对残疾人福利性单位产品的价格给予 10%的扣除，用扣除后的价格参与评审。 根据财政部民政部</w:t>
      </w:r>
      <w:bookmarkStart w:id="75" w:name="_GoBack"/>
      <w:bookmarkEnd w:id="75"/>
      <w:r>
        <w:t>中国残疾人联合会关于促进残疾人就业政府采购政策的通知 财库[2017]141 号要求：</w:t>
      </w:r>
    </w:p>
    <w:p>
      <w:pPr>
        <w:spacing w:line="360" w:lineRule="auto"/>
        <w:ind w:leftChars="197" w:left="414" w:firstLineChars="249" w:firstLine="523"/>
        <w:jc w:val="left"/>
      </w:pPr>
      <w:r>
        <w:t xml:space="preserve">符合条件的残疾人福利性单位在参加政府采购活动时，应当提 供本通知规 定的《残疾人福利性单位声明函》（见附件），并对声明的真实性负责。 </w:t>
      </w:r>
    </w:p>
    <w:p>
      <w:pPr>
        <w:spacing w:line="360" w:lineRule="auto"/>
        <w:ind w:leftChars="197" w:left="414" w:firstLineChars="249" w:firstLine="523"/>
        <w:jc w:val="left"/>
      </w:pPr>
      <w:r>
        <w:t xml:space="preserve">中标、成交供应商为残疾人福利性单位的，采购人或者其委托的采购代理机构应当随中标、成交结果同时公告其《残疾人福利性单位声明函》，接受社会监督。 </w:t>
      </w:r>
    </w:p>
    <w:p>
      <w:pPr>
        <w:spacing w:line="360" w:lineRule="auto"/>
        <w:ind w:leftChars="197" w:left="414" w:firstLineChars="249" w:firstLine="523"/>
        <w:jc w:val="left"/>
      </w:pPr>
      <w:r>
        <w:t xml:space="preserve">在政府采购活动中，残疾人福利性单位视同小型、微型企业，享受预留份额、评审中价格扣除等促进中小企业发展的政府采购政策。向残疾人 福利性单位采购 的金额，计入面向中小企业采购的统计数据。残疾人福利性单位属于小型、微型企业的， 不重复享受政策。 </w:t>
      </w:r>
    </w:p>
    <w:p>
      <w:pPr>
        <w:spacing w:line="360" w:lineRule="auto"/>
        <w:ind w:leftChars="197" w:left="414" w:firstLineChars="249" w:firstLine="523"/>
        <w:jc w:val="left"/>
      </w:pPr>
      <w:r>
        <w:t>关于强制采购节能产品、信息安全产品和优先采购环境标志产品、绿色产品优惠政策： 供应商所投核心产品属于节能产品、信息安全产品、环境标志产品、绿色产品对提 供产品的价格给予 2%的扣除，用扣除后的价格参与评审。 根据财政部国家发展改革委关于印发《节能产品政府采购实施意见》的通知财库 【2004】185 号的要求：</w:t>
      </w:r>
    </w:p>
    <w:p>
      <w:pPr>
        <w:spacing w:beforeAutospacing="0" w:afterAutospacing="0" w:line="360" w:lineRule="auto"/>
        <w:ind w:leftChars="197" w:left="414" w:firstLineChars="249" w:firstLine="523"/>
        <w:jc w:val="left"/>
      </w:pPr>
      <w:r>
        <w:t>节能产品是指列入财政部、国家发展和改革委员会制定的《节能产品政府采购清单》(中国政府采购网（http://www.ccgp.gov.cn）等网站发布)，且经过认定的节能 产品；信息安全产品是指列入国家质检总局、财政部、认监委 《信息安全产品强制性 认证目录》，并获得中国国家信息安全产品认证证书的产品；环境标志产品是指列入财 政部、国家环保总局制定的《环境标志产品政府采购清单》 (中国政府采购网 （</w:t>
      </w:r>
      <w:r>
        <w:fldChar w:fldCharType="begin"/>
      </w:r>
      <w:r>
        <w:instrText>HYPERLINK "http://www.ccgp.gov.cn）等网站发布)，且经过认证的环境标志产品"</w:instrText>
      </w:r>
      <w:r>
        <w:fldChar w:fldCharType="separate"/>
      </w:r>
      <w:r>
        <w:t>http://www.ccgp.gov.cn）等网站发布)，且经过认证的环境标志产品</w:t>
      </w:r>
      <w:r>
        <w:fldChar w:fldCharType="end"/>
      </w:r>
      <w:r>
        <w:t>。</w:t>
      </w:r>
    </w:p>
    <w:p>
      <w:pPr>
        <w:spacing w:beforeAutospacing="0" w:afterAutospacing="0" w:line="360" w:lineRule="auto"/>
        <w:ind w:leftChars="197" w:left="414" w:firstLineChars="249" w:firstLine="523"/>
        <w:jc w:val="left"/>
      </w:pPr>
      <w:r>
        <w:t>提供的产品属于信息安全产品的，供应商应当选择经国家认证的信息安全产品投标，并提供有效的中国国家信息安全产品认证证书复印件。</w:t>
      </w:r>
    </w:p>
    <w:p>
      <w:pPr>
        <w:spacing w:beforeAutospacing="0" w:afterAutospacing="0" w:line="360" w:lineRule="auto"/>
        <w:ind w:leftChars="197" w:left="414" w:firstLineChars="249" w:firstLine="523"/>
        <w:jc w:val="left"/>
      </w:pPr>
      <w:r>
        <w:t>提供的产品属于政府强制采购节能产品的，供应商应当选择《节能产品政府采购清单》中的产品投标，并提供有效的节能产品认证证书复印件。</w:t>
      </w:r>
    </w:p>
    <w:p>
      <w:pPr>
        <w:spacing w:beforeAutospacing="0" w:afterAutospacing="0" w:line="360" w:lineRule="auto"/>
        <w:ind w:leftChars="190" w:left="399" w:firstLineChars="200" w:firstLine="420"/>
        <w:jc w:val="left"/>
      </w:pPr>
      <w:r>
        <w:t>提供的产品属于优先采购环境标志产品的，供应商应当选择《环境标志产品政府采购清单》中的产品投标，并提供有效的环境标志产品认证证书复印件。</w:t>
      </w:r>
    </w:p>
    <w:p>
      <w:pPr>
        <w:spacing w:beforeAutospacing="0" w:afterAutospacing="0" w:line="360" w:lineRule="auto"/>
        <w:ind w:firstLineChars="200" w:firstLine="420"/>
      </w:pPr>
      <w:r>
        <w:t>提供的产品属于绿色产品的，供应商应当选择海南省政府采购网上商城建 立绿色产品库中的产品投标，并提供证明文件复印件。 供应商所投产品属于节能产品、信息安全产品、环境标志产品、绿色产品按照格式 填写并提供目录截图及货物产品相关的认证证书复印件。 特别声明:对于未能按照要求填写及未能提供证明资料或提供资料不完整的视同未提供）。</w:t>
        <w:br w:type="page"/>
      </w:r>
    </w:p>
    <w:p>
      <w:pPr>
        <w:pStyle w:val="1"/>
      </w:pPr>
      <w:bookmarkStart w:id="76" w:name="_Toc67843809"/>
      <w:r>
        <w:rPr>
          <w:rFonts w:hint="eastAsia"/>
        </w:rPr>
        <w:t xml:space="preserve">第三章  </w:t>
      </w:r>
      <w:bookmarkEnd w:id="73"/>
      <w:bookmarkEnd w:id="74"/>
      <w:r>
        <w:rPr>
          <w:rFonts w:hint="eastAsia"/>
        </w:rPr>
        <w:t>采购需求</w:t>
      </w:r>
      <w:bookmarkEnd w:id="76"/>
    </w:p>
    <w:p>
      <w:pPr>
        <w:spacing w:line="360" w:lineRule="auto"/>
        <w:rPr>
          <w:rFonts w:ascii="Times New Roman" w:cs="Times New Roman" w:hAnsi="Times New Roman"/>
          <w:b/>
          <w:bCs/>
          <w:sz w:val="24"/>
        </w:rPr>
      </w:pPr>
      <w:bookmarkStart w:id="77" w:name="_Toc317237621"/>
      <w:bookmarkStart w:id="78" w:name="_Toc25024"/>
      <w:r>
        <w:rPr>
          <w:rFonts w:ascii="Times New Roman" w:cs="Times New Roman" w:hAnsi="Times New Roman"/>
          <w:b/>
          <w:bCs/>
          <w:sz w:val="24"/>
        </w:rPr>
        <w:t>一、项目基本情况</w:t>
      </w:r>
    </w:p>
    <w:p>
      <w:pPr>
        <w:spacing w:line="360" w:lineRule="auto"/>
        <w:ind w:firstLineChars="200" w:firstLine="480"/>
        <w:rPr>
          <w:rFonts w:ascii="Times New Roman" w:cs="Times New Roman" w:hAnsi="Times New Roman"/>
          <w:color w:val="000000"/>
          <w:sz w:val="24"/>
        </w:rPr>
      </w:pPr>
      <w:r>
        <w:rPr>
          <w:rFonts w:ascii="Times New Roman" w:cs="Times New Roman" w:hAnsi="Times New Roman"/>
          <w:b/>
          <w:bCs/>
          <w:sz w:val="24"/>
        </w:rPr>
        <w:t>（1）</w:t>
      </w:r>
      <w:r>
        <w:rPr>
          <w:rFonts w:ascii="Times New Roman" w:cs="Times New Roman" w:hAnsi="Times New Roman"/>
          <w:b/>
          <w:bCs/>
          <w:color w:val="000000"/>
          <w:sz w:val="24"/>
        </w:rPr>
        <w:t>项目名称：2026年度白沙县35座小型水质自动监测站运维服务项目</w:t>
      </w:r>
    </w:p>
    <w:p>
      <w:pPr>
        <w:spacing w:line="360" w:lineRule="auto"/>
        <w:ind w:firstLineChars="200" w:firstLine="480"/>
        <w:rPr>
          <w:rFonts w:ascii="Times New Roman" w:cs="Times New Roman" w:hAnsi="Times New Roman"/>
          <w:b/>
          <w:bCs/>
          <w:color w:val="000000"/>
          <w:sz w:val="24"/>
        </w:rPr>
      </w:pPr>
      <w:r>
        <w:rPr>
          <w:rFonts w:ascii="Times New Roman" w:cs="Times New Roman" w:hAnsi="Times New Roman"/>
          <w:b/>
          <w:bCs/>
          <w:color w:val="000000"/>
          <w:sz w:val="24"/>
        </w:rPr>
        <w:t>（2）项目编号：/</w:t>
      </w:r>
    </w:p>
    <w:p>
      <w:pPr>
        <w:spacing w:line="360" w:lineRule="auto"/>
        <w:ind w:firstLineChars="200" w:firstLine="480"/>
        <w:rPr>
          <w:rFonts w:ascii="Times New Roman" w:cs="Times New Roman" w:hAnsi="Times New Roman"/>
          <w:b/>
          <w:bCs/>
          <w:sz w:val="24"/>
        </w:rPr>
      </w:pPr>
      <w:r>
        <w:rPr>
          <w:rFonts w:ascii="Times New Roman" w:cs="Times New Roman" w:hAnsi="Times New Roman"/>
          <w:b/>
          <w:bCs/>
          <w:sz w:val="24"/>
        </w:rPr>
        <w:t>（3）项目预算金额</w:t>
      </w:r>
      <w:r>
        <w:rPr>
          <w:rFonts w:ascii="Times New Roman" w:cs="Times New Roman" w:hAnsi="Times New Roman" w:hint="eastAsia"/>
          <w:b/>
          <w:bCs/>
          <w:sz w:val="24"/>
        </w:rPr>
        <w:t>及</w:t>
      </w:r>
      <w:r>
        <w:rPr>
          <w:rFonts w:ascii="Times New Roman" w:cs="Times New Roman" w:hAnsi="Times New Roman"/>
          <w:b/>
          <w:sz w:val="24"/>
        </w:rPr>
        <w:t>服务期限</w:t>
      </w:r>
      <w:r>
        <w:rPr>
          <w:rFonts w:ascii="Times New Roman" w:cs="Times New Roman" w:hAnsi="Times New Roman"/>
          <w:b/>
          <w:bCs/>
          <w:sz w:val="24"/>
        </w:rPr>
        <w:t>：</w:t>
      </w:r>
    </w:p>
    <w:p>
      <w:pPr>
        <w:spacing w:line="360" w:lineRule="auto"/>
        <w:ind w:firstLineChars="200" w:firstLine="480"/>
        <w:rPr>
          <w:rFonts w:ascii="Times New Roman" w:cs="Times New Roman" w:hAnsi="Times New Roman"/>
          <w:sz w:val="24"/>
        </w:rPr>
      </w:pPr>
      <w:r>
        <w:rPr>
          <w:rFonts w:ascii="Times New Roman" w:cs="Times New Roman" w:hAnsi="Times New Roman"/>
          <w:b/>
          <w:bCs/>
          <w:sz w:val="24"/>
        </w:rPr>
        <w:t>预算金额1892426.00元</w:t>
      </w:r>
      <w:r>
        <w:rPr>
          <w:rFonts w:ascii="Times New Roman" w:cs="Times New Roman" w:hAnsi="Times New Roman" w:hint="eastAsia"/>
          <w:b/>
          <w:bCs/>
          <w:sz w:val="24"/>
        </w:rPr>
        <w:t>，</w:t>
      </w:r>
      <w:r>
        <w:rPr>
          <w:rFonts w:ascii="Times New Roman" w:cs="Times New Roman" w:hAnsi="Times New Roman"/>
          <w:b/>
          <w:bCs/>
          <w:sz w:val="24"/>
        </w:rPr>
        <w:t>服务期限1年。</w:t>
      </w:r>
      <w:r>
        <w:rPr>
          <w:rFonts w:ascii="Times New Roman" w:cs="Times New Roman" w:hAnsi="Times New Roman"/>
          <w:sz w:val="24"/>
        </w:rPr>
        <w:t>本项目采购需求具有相对固定性、延续性且价格变化幅度小的特点，本次采用一次招标两年沿用的方式，在年度采购预算能保障的前提下，中标单位合同期1年满后，根据考核结果，采购</w:t>
      </w:r>
      <w:r>
        <w:rPr>
          <w:rFonts w:ascii="Times New Roman" w:cs="Times New Roman" w:hAnsi="Times New Roman" w:hint="eastAsia"/>
          <w:sz w:val="24"/>
        </w:rPr>
        <w:t>单位</w:t>
      </w:r>
      <w:r>
        <w:rPr>
          <w:rFonts w:ascii="Times New Roman" w:cs="Times New Roman" w:hAnsi="Times New Roman"/>
          <w:sz w:val="24"/>
        </w:rPr>
        <w:t>可以与中标单位续签1年的合同。</w:t>
      </w:r>
    </w:p>
    <w:p>
      <w:pPr>
        <w:spacing w:line="360" w:lineRule="auto"/>
        <w:ind w:firstLineChars="200" w:firstLine="480"/>
        <w:rPr>
          <w:rFonts w:ascii="Times New Roman" w:cs="Times New Roman" w:hAnsi="Times New Roman"/>
          <w:bCs/>
          <w:sz w:val="24"/>
        </w:rPr>
      </w:pPr>
      <w:r>
        <w:rPr>
          <w:rFonts w:ascii="宋体" w:cs="宋体" w:hAnsi="宋体" w:hint="eastAsia"/>
          <w:sz w:val="24"/>
          <w:szCs w:val="24"/>
        </w:rPr>
        <w:t>本项目（是/否）接受联合体投标：否</w:t>
      </w:r>
    </w:p>
    <w:p>
      <w:pPr>
        <w:spacing w:line="360" w:lineRule="auto"/>
        <w:ind w:firstLineChars="200" w:firstLine="480"/>
        <w:rPr>
          <w:rFonts w:ascii="Times New Roman" w:cs="Times New Roman" w:hAnsi="Times New Roman"/>
          <w:b/>
          <w:bCs/>
          <w:sz w:val="24"/>
        </w:rPr>
      </w:pPr>
      <w:r>
        <w:rPr>
          <w:rFonts w:ascii="Times New Roman" w:cs="Times New Roman" w:hAnsi="Times New Roman"/>
          <w:b/>
          <w:bCs/>
          <w:sz w:val="24"/>
        </w:rPr>
        <w:t>（4）</w:t>
      </w:r>
      <w:r>
        <w:rPr>
          <w:rFonts w:ascii="Times New Roman" w:cs="Times New Roman" w:hAnsi="Times New Roman" w:hint="eastAsia"/>
          <w:b/>
          <w:bCs/>
          <w:sz w:val="24"/>
        </w:rPr>
        <w:t>微型水质自动监测站服务内容</w:t>
      </w:r>
    </w:p>
    <w:tbl>
      <w:tblPr>
        <w:jc w:val="left"/>
        <w:tblInd w:w="-89" w:type="dxa"/>
        <w:tblW w:w="9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563"/>
        <w:gridCol w:w="2794"/>
        <w:gridCol w:w="3281"/>
        <w:gridCol w:w="1559"/>
        <w:gridCol w:w="833"/>
        <w:gridCol w:w="413"/>
      </w:tblGrid>
      <w:tr>
        <w:trPr>
          <w:trHeight w:val="444"/>
        </w:trPr>
        <w:tc>
          <w:tcPr>
            <w:tcW w:w="563" w:type="dxa"/>
            <w:vMerge w:val="restart"/>
            <w:vAlign w:val="center"/>
          </w:tcPr>
          <w:p>
            <w:pPr>
              <w:spacing w:line="360" w:lineRule="auto"/>
              <w:jc w:val="center"/>
              <w:rPr>
                <w:rFonts w:ascii="宋体" w:cs="宋体" w:hAnsi="宋体" w:hint="eastAsia"/>
                <w:b/>
                <w:kern w:val="0"/>
                <w:sz w:val="24"/>
                <w:szCs w:val="24"/>
              </w:rPr>
            </w:pPr>
            <w:r>
              <w:rPr>
                <w:rFonts w:ascii="宋体" w:cs="宋体" w:hAnsi="宋体" w:hint="eastAsia"/>
                <w:b/>
                <w:kern w:val="0"/>
                <w:sz w:val="24"/>
                <w:szCs w:val="24"/>
              </w:rPr>
              <w:t>序号</w:t>
            </w:r>
          </w:p>
        </w:tc>
        <w:tc>
          <w:tcPr>
            <w:tcW w:w="8880" w:type="dxa"/>
            <w:gridSpan w:val="5"/>
            <w:vAlign w:val="center"/>
          </w:tcPr>
          <w:p>
            <w:pPr>
              <w:spacing w:line="360" w:lineRule="auto"/>
              <w:jc w:val="center"/>
              <w:rPr>
                <w:rFonts w:ascii="宋体" w:cs="宋体" w:hAnsi="宋体" w:hint="eastAsia"/>
                <w:b/>
                <w:kern w:val="0"/>
                <w:sz w:val="24"/>
                <w:szCs w:val="24"/>
              </w:rPr>
            </w:pPr>
            <w:r>
              <w:rPr>
                <w:rFonts w:ascii="宋体" w:cs="宋体" w:hAnsi="宋体" w:hint="eastAsia"/>
                <w:b/>
                <w:kern w:val="0"/>
                <w:sz w:val="24"/>
                <w:szCs w:val="24"/>
              </w:rPr>
              <w:t>监测点位仪器</w:t>
            </w:r>
          </w:p>
        </w:tc>
      </w:tr>
      <w:tr>
        <w:trPr>
          <w:trHeight w:val="493"/>
        </w:trPr>
        <w:tc>
          <w:tcPr>
            <w:tcW w:w="520" w:type="dxa"/>
            <w:vMerge/>
            <w:vAlign w:val="center"/>
          </w:tcPr>
          <w:p/>
        </w:tc>
        <w:tc>
          <w:tcPr>
            <w:tcW w:w="2794" w:type="dxa"/>
            <w:vAlign w:val="center"/>
          </w:tcPr>
          <w:p>
            <w:pPr>
              <w:pStyle w:val="87"/>
              <w:jc w:val="center"/>
              <w:rPr>
                <w:rFonts w:hAnsi="宋体" w:hint="eastAsia"/>
                <w:b/>
                <w:color w:val="auto"/>
              </w:rPr>
            </w:pPr>
            <w:r>
              <w:rPr>
                <w:rFonts w:hAnsi="宋体" w:hint="eastAsia"/>
                <w:b/>
                <w:color w:val="auto"/>
              </w:rPr>
              <w:t>监测项目</w:t>
            </w:r>
          </w:p>
        </w:tc>
        <w:tc>
          <w:tcPr>
            <w:tcW w:w="3281" w:type="dxa"/>
            <w:vAlign w:val="center"/>
          </w:tcPr>
          <w:p>
            <w:pPr>
              <w:pStyle w:val="87"/>
              <w:jc w:val="center"/>
              <w:rPr>
                <w:rFonts w:hAnsi="宋体" w:hint="eastAsia"/>
                <w:b/>
                <w:color w:val="auto"/>
              </w:rPr>
            </w:pPr>
            <w:r>
              <w:rPr>
                <w:rFonts w:hAnsi="宋体" w:hint="eastAsia"/>
                <w:b/>
                <w:color w:val="auto"/>
              </w:rPr>
              <w:t>型号</w:t>
            </w:r>
          </w:p>
        </w:tc>
        <w:tc>
          <w:tcPr>
            <w:tcW w:w="1559" w:type="dxa"/>
            <w:vAlign w:val="center"/>
          </w:tcPr>
          <w:p>
            <w:pPr>
              <w:pStyle w:val="87"/>
              <w:jc w:val="center"/>
              <w:rPr>
                <w:rFonts w:hAnsi="宋体" w:hint="eastAsia"/>
                <w:b/>
                <w:color w:val="auto"/>
              </w:rPr>
            </w:pPr>
            <w:r>
              <w:rPr>
                <w:rFonts w:hAnsi="宋体" w:hint="eastAsia"/>
                <w:b/>
                <w:color w:val="auto"/>
              </w:rPr>
              <w:t>生产商</w:t>
            </w:r>
          </w:p>
        </w:tc>
        <w:tc>
          <w:tcPr>
            <w:tcW w:w="833" w:type="dxa"/>
            <w:vAlign w:val="center"/>
          </w:tcPr>
          <w:p>
            <w:pPr>
              <w:pStyle w:val="87"/>
              <w:jc w:val="center"/>
              <w:rPr>
                <w:rFonts w:hAnsi="宋体" w:hint="eastAsia"/>
                <w:b/>
                <w:color w:val="auto"/>
              </w:rPr>
            </w:pPr>
            <w:r>
              <w:rPr>
                <w:rFonts w:hAnsi="宋体" w:hint="eastAsia"/>
                <w:b/>
                <w:color w:val="auto"/>
              </w:rPr>
              <w:t>数量</w:t>
            </w:r>
          </w:p>
        </w:tc>
        <w:tc>
          <w:tcPr>
            <w:tcW w:w="413" w:type="dxa"/>
            <w:vAlign w:val="center"/>
          </w:tcPr>
          <w:p>
            <w:pPr>
              <w:pStyle w:val="87"/>
              <w:jc w:val="center"/>
              <w:rPr>
                <w:rFonts w:hAnsi="宋体" w:hint="eastAsia"/>
                <w:b/>
                <w:color w:val="auto"/>
              </w:rPr>
            </w:pPr>
            <w:r>
              <w:rPr>
                <w:rFonts w:hAnsi="宋体" w:hint="eastAsia"/>
                <w:b/>
                <w:color w:val="auto"/>
              </w:rPr>
              <w:t>备注</w:t>
            </w:r>
          </w:p>
        </w:tc>
      </w:tr>
      <w:tr>
        <w:tc>
          <w:tcPr>
            <w:tcW w:w="563" w:type="dxa"/>
            <w:vAlign w:val="center"/>
          </w:tcPr>
          <w:p>
            <w:pPr>
              <w:pStyle w:val="87"/>
              <w:jc w:val="center"/>
              <w:rPr>
                <w:rFonts w:hAnsi="宋体" w:hint="eastAsia"/>
                <w:b/>
                <w:bCs/>
                <w:color w:val="auto"/>
              </w:rPr>
            </w:pPr>
            <w:r>
              <w:rPr>
                <w:rFonts w:hAnsi="宋体" w:hint="eastAsia"/>
                <w:color w:val="auto"/>
              </w:rPr>
              <w:t>1</w:t>
            </w:r>
          </w:p>
        </w:tc>
        <w:tc>
          <w:tcPr>
            <w:tcW w:w="2794"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高光谱水质监测仪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DS-2XH6246-MGL</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2</w:t>
            </w:r>
          </w:p>
        </w:tc>
        <w:tc>
          <w:tcPr>
            <w:tcW w:w="2794" w:type="dxa"/>
            <w:vMerge w:val="restart"/>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常规五参数在线分析仪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MUC-200多参数控制器</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3</w:t>
            </w:r>
          </w:p>
        </w:tc>
        <w:tc>
          <w:tcPr>
            <w:tcW w:w="3256" w:type="dxa"/>
            <w:vMerge/>
            <w:vAlign w:val="center"/>
          </w:tcP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PPH-500pH传感器</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4</w:t>
            </w:r>
          </w:p>
        </w:tc>
        <w:tc>
          <w:tcPr>
            <w:tcW w:w="3256" w:type="dxa"/>
            <w:vMerge/>
            <w:vAlign w:val="center"/>
          </w:tcP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PEC-500电导率传感器K=1.0</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5</w:t>
            </w:r>
          </w:p>
        </w:tc>
        <w:tc>
          <w:tcPr>
            <w:tcW w:w="3256" w:type="dxa"/>
            <w:vMerge/>
            <w:vAlign w:val="center"/>
          </w:tcP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PFDO-800溶解氧传感器</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6</w:t>
            </w:r>
          </w:p>
        </w:tc>
        <w:tc>
          <w:tcPr>
            <w:tcW w:w="3256" w:type="dxa"/>
            <w:vMerge/>
            <w:vAlign w:val="center"/>
          </w:tcP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PTU-800浊度传感器中量程，带刮</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7</w:t>
            </w:r>
          </w:p>
        </w:tc>
        <w:tc>
          <w:tcPr>
            <w:tcW w:w="2794"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高锰酸盐指数水质在线自动监测仪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PCM200-CODmn</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8</w:t>
            </w:r>
          </w:p>
        </w:tc>
        <w:tc>
          <w:tcPr>
            <w:tcW w:w="2794"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氨氮水质在线自动监测仪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PCM200-NH3N</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9</w:t>
            </w:r>
          </w:p>
        </w:tc>
        <w:tc>
          <w:tcPr>
            <w:tcW w:w="2794"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总磷水质在线自动监测仪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PCM200-TP</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b/>
                <w:bCs/>
                <w:color w:val="auto"/>
              </w:rPr>
            </w:pPr>
            <w:r>
              <w:rPr>
                <w:rFonts w:hAnsi="宋体" w:hint="eastAsia"/>
                <w:color w:val="auto"/>
              </w:rPr>
              <w:t>10</w:t>
            </w:r>
          </w:p>
        </w:tc>
        <w:tc>
          <w:tcPr>
            <w:tcW w:w="2794"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总氮水质在线自动监测仪</w:t>
            </w:r>
          </w:p>
        </w:tc>
        <w:tc>
          <w:tcPr>
            <w:tcW w:w="3281"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PCM200-TN</w:t>
            </w:r>
          </w:p>
        </w:tc>
        <w:tc>
          <w:tcPr>
            <w:tcW w:w="1559" w:type="dxa"/>
            <w:vAlign w:val="center"/>
          </w:tcPr>
          <w:p>
            <w:pPr>
              <w:widowControl/>
              <w:jc w:val="center"/>
              <w:textAlignment w:val="center"/>
              <w:rPr>
                <w:rFonts w:ascii="宋体" w:cs="宋体" w:hAnsi="宋体" w:hint="eastAsia"/>
                <w:b/>
                <w:bCs/>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b/>
                <w:bCs/>
                <w:sz w:val="24"/>
                <w:szCs w:val="24"/>
              </w:rPr>
            </w:pPr>
            <w:r>
              <w:rPr>
                <w:rFonts w:ascii="宋体" w:cs="宋体" w:hAnsi="宋体" w:hint="eastAsia"/>
                <w:kern w:val="0"/>
                <w:sz w:val="20"/>
                <w:szCs w:val="20"/>
              </w:rPr>
              <w:t>1台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11</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质控单元</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FGQC-800加标回收组件</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kern w:val="0"/>
                <w:sz w:val="24"/>
                <w:szCs w:val="24"/>
              </w:rPr>
            </w:pPr>
            <w:r>
              <w:rPr>
                <w:rFonts w:ascii="宋体" w:cs="宋体" w:hAnsi="宋体" w:hint="eastAsia"/>
                <w:kern w:val="0"/>
                <w:sz w:val="20"/>
                <w:szCs w:val="20"/>
              </w:rPr>
              <w:t>97台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12</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留样单元</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ZSC-XI</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kern w:val="0"/>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13</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辅助单元</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UPS+电池</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kern w:val="0"/>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14</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采水单元</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kern w:val="0"/>
                <w:sz w:val="24"/>
                <w:szCs w:val="24"/>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15</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户外小型水质自动监测系统（普贝斯版）</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户外小型水质自动监测系统（含柜体，门禁，柜式空调，试剂冰箱，工控机，plc，PBSVIEW)，电气成套，流通池，沉淀池，管路集成，臭氧发生器，空压机及其他辅配件）</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Probest/中国</w:t>
            </w:r>
          </w:p>
        </w:tc>
        <w:tc>
          <w:tcPr>
            <w:tcW w:w="833"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32台</w:t>
            </w:r>
          </w:p>
        </w:tc>
        <w:tc>
          <w:tcPr>
            <w:tcW w:w="413" w:type="dxa"/>
            <w:vAlign w:val="center"/>
          </w:tcPr>
          <w:p>
            <w:pPr>
              <w:widowControl/>
              <w:jc w:val="center"/>
              <w:textAlignment w:val="center"/>
              <w:rPr>
                <w:rFonts w:ascii="宋体" w:cs="宋体" w:hAnsi="宋体" w:hint="eastAsia"/>
                <w:b/>
                <w:bCs/>
                <w:sz w:val="24"/>
                <w:szCs w:val="24"/>
              </w:rPr>
            </w:pPr>
          </w:p>
        </w:tc>
      </w:tr>
      <w:tr>
        <w:tc>
          <w:tcPr>
            <w:tcW w:w="563" w:type="dxa"/>
            <w:vAlign w:val="center"/>
          </w:tcPr>
          <w:p>
            <w:pPr>
              <w:pStyle w:val="87"/>
              <w:jc w:val="center"/>
              <w:rPr>
                <w:rFonts w:hAnsi="宋体" w:hint="eastAsia"/>
                <w:color w:val="auto"/>
              </w:rPr>
            </w:pPr>
            <w:r>
              <w:rPr>
                <w:rFonts w:ascii="Times New Roman" w:hAnsi="宋体" w:hint="eastAsia"/>
                <w:color w:val="auto"/>
              </w:rPr>
              <w:t>16</w:t>
            </w:r>
          </w:p>
        </w:tc>
        <w:tc>
          <w:tcPr>
            <w:tcW w:w="2794"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机柜水泥基础</w:t>
            </w:r>
          </w:p>
        </w:tc>
        <w:tc>
          <w:tcPr>
            <w:tcW w:w="3281"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w:t>
            </w:r>
          </w:p>
        </w:tc>
        <w:tc>
          <w:tcPr>
            <w:tcW w:w="1559" w:type="dxa"/>
            <w:vAlign w:val="center"/>
          </w:tcPr>
          <w:p>
            <w:pPr>
              <w:widowControl/>
              <w:jc w:val="center"/>
              <w:textAlignment w:val="center"/>
              <w:rPr>
                <w:rStyle w:val="57"/>
                <w:rFonts w:ascii="宋体" w:cs="宋体" w:hAnsi="宋体" w:hint="eastAsia"/>
                <w:color w:val="auto"/>
                <w:sz w:val="24"/>
                <w:szCs w:val="24"/>
              </w:rPr>
            </w:pPr>
            <w:r>
              <w:rPr>
                <w:rFonts w:ascii="Times New Roman" w:cs="Times New Roman" w:hAnsi="Times New Roman" w:hint="eastAsia"/>
                <w:kern w:val="0"/>
                <w:szCs w:val="20"/>
              </w:rPr>
              <w:t>定制</w:t>
            </w:r>
          </w:p>
        </w:tc>
        <w:tc>
          <w:tcPr>
            <w:tcW w:w="833" w:type="dxa"/>
            <w:vAlign w:val="center"/>
          </w:tcPr>
          <w:p>
            <w:pPr>
              <w:widowControl/>
              <w:jc w:val="center"/>
              <w:textAlignment w:val="center"/>
              <w:rPr>
                <w:rFonts w:ascii="宋体" w:cs="宋体" w:hAnsi="宋体" w:hint="eastAsia"/>
                <w:kern w:val="0"/>
                <w:sz w:val="20"/>
                <w:szCs w:val="20"/>
              </w:rPr>
            </w:pPr>
            <w:r>
              <w:rPr>
                <w:rFonts w:ascii="宋体" w:cs="宋体" w:hAnsi="宋体" w:hint="eastAsia"/>
                <w:kern w:val="0"/>
                <w:sz w:val="20"/>
                <w:szCs w:val="20"/>
              </w:rPr>
              <w:t>35项</w:t>
            </w:r>
          </w:p>
        </w:tc>
        <w:tc>
          <w:tcPr>
            <w:tcW w:w="413" w:type="dxa"/>
            <w:vAlign w:val="center"/>
          </w:tcPr>
          <w:p>
            <w:pPr>
              <w:widowControl/>
              <w:jc w:val="center"/>
              <w:textAlignment w:val="center"/>
              <w:rPr>
                <w:rFonts w:ascii="宋体" w:cs="宋体" w:hAnsi="宋体" w:hint="eastAsia"/>
                <w:b/>
                <w:bCs/>
                <w:sz w:val="24"/>
                <w:szCs w:val="24"/>
              </w:rPr>
            </w:pPr>
          </w:p>
        </w:tc>
      </w:tr>
    </w:tbl>
    <w:p>
      <w:pPr>
        <w:spacing w:line="360" w:lineRule="auto"/>
        <w:ind w:firstLineChars="200" w:firstLine="480"/>
        <w:rPr>
          <w:rFonts w:ascii="Times New Roman" w:cs="Times New Roman" w:hAnsi="Times New Roman"/>
          <w:sz w:val="24"/>
        </w:rPr>
      </w:pPr>
    </w:p>
    <w:p>
      <w:pPr>
        <w:pStyle w:val="15"/>
      </w:pPr>
    </w:p>
    <w:p>
      <w:pPr>
        <w:spacing w:line="360" w:lineRule="auto"/>
        <w:ind w:firstLineChars="200" w:firstLine="480"/>
        <w:rPr>
          <w:rFonts w:ascii="Times New Roman" w:cs="Times New Roman" w:hAnsi="Times New Roman"/>
          <w:sz w:val="24"/>
        </w:rPr>
      </w:pPr>
      <w:r>
        <w:rPr>
          <w:rFonts w:ascii="Times New Roman" w:cs="Times New Roman" w:hAnsi="Times New Roman" w:hint="eastAsia"/>
          <w:sz w:val="24"/>
        </w:rPr>
        <w:t>1、完成以上各水质质量自动监测站的日常运行维护、维修、质量管理。</w:t>
      </w:r>
    </w:p>
    <w:p>
      <w:pPr>
        <w:spacing w:line="360" w:lineRule="auto"/>
        <w:ind w:firstLineChars="200" w:firstLine="480"/>
        <w:rPr>
          <w:rFonts w:ascii="Times New Roman" w:cs="Times New Roman" w:hAnsi="Times New Roman"/>
          <w:sz w:val="24"/>
        </w:rPr>
      </w:pPr>
      <w:r>
        <w:rPr>
          <w:rFonts w:ascii="Times New Roman" w:cs="Times New Roman" w:hAnsi="Times New Roman" w:hint="eastAsia"/>
          <w:sz w:val="24"/>
        </w:rPr>
        <w:t>2、做好相关数据的维护、采集、统计分析、服务等工作。</w:t>
      </w:r>
    </w:p>
    <w:p>
      <w:pPr>
        <w:spacing w:line="360" w:lineRule="auto"/>
        <w:rPr>
          <w:rFonts w:ascii="Times New Roman" w:cs="Times New Roman" w:hAnsi="Times New Roman"/>
          <w:b/>
          <w:bCs/>
          <w:sz w:val="24"/>
        </w:rPr>
      </w:pPr>
      <w:r>
        <w:rPr>
          <w:rFonts w:ascii="Times New Roman" w:cs="Times New Roman" w:hAnsi="Times New Roman" w:hint="eastAsia"/>
          <w:b/>
          <w:bCs/>
          <w:sz w:val="24"/>
        </w:rPr>
        <w:t>二、</w:t>
      </w:r>
      <w:r>
        <w:rPr>
          <w:rFonts w:ascii="Times New Roman" w:cs="Times New Roman" w:hAnsi="Times New Roman"/>
          <w:b/>
          <w:bCs/>
          <w:sz w:val="24"/>
        </w:rPr>
        <w:t>运维</w:t>
      </w:r>
      <w:r>
        <w:rPr>
          <w:rFonts w:ascii="Times New Roman" w:cs="Times New Roman" w:hAnsi="Times New Roman" w:hint="eastAsia"/>
          <w:b/>
          <w:bCs/>
          <w:sz w:val="24"/>
        </w:rPr>
        <w:t>具体内容</w:t>
      </w:r>
    </w:p>
    <w:p>
      <w:pPr>
        <w:spacing w:line="360" w:lineRule="auto"/>
        <w:ind w:firstLineChars="200" w:firstLine="480"/>
      </w:pPr>
      <w:r>
        <w:rPr>
          <w:rFonts w:ascii="宋体" w:cs="宋体" w:hAnsi="宋体" w:hint="eastAsia"/>
          <w:sz w:val="24"/>
          <w:szCs w:val="24"/>
        </w:rPr>
        <w:t>注：（1）下列要求中标注“★”的为实质性响应参数，供应商须做实质性响应，不允许负偏离，否则视为无效投标；（2）下列要求中标注“▲”的为重要参数，供应商如不满足则根据综合评分要求进行相应扣分；（3）下列要求中未标注“▲”的为一般性参数，供应商如不满足则根据综合评分要求进行相应扣分。</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1.运维服务内容</w:t>
      </w:r>
    </w:p>
    <w:p>
      <w:pPr>
        <w:spacing w:line="360" w:lineRule="auto"/>
        <w:ind w:firstLineChars="200" w:firstLine="420"/>
        <w:rPr>
          <w:rFonts w:ascii="宋体" w:cs="宋体" w:hAnsi="宋体" w:hint="eastAsia"/>
          <w:sz w:val="24"/>
          <w:szCs w:val="24"/>
        </w:rPr>
      </w:pPr>
      <w:r>
        <w:rPr>
          <w:rFonts w:ascii="宋体" w:cs="宋体" w:hAnsi="宋体" w:hint="eastAsia"/>
          <w:szCs w:val="21"/>
        </w:rPr>
        <w:t>▲</w:t>
      </w:r>
      <w:r>
        <w:rPr>
          <w:rFonts w:ascii="宋体" w:cs="宋体" w:hAnsi="宋体" w:hint="eastAsia"/>
          <w:sz w:val="24"/>
          <w:szCs w:val="24"/>
        </w:rPr>
        <w:t>(1)定期更换水站仪表所需试剂。供应商对此供应能力需提供相应的承诺函。使用纯水和试剂须达到相关技术要求。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(2)提供并定期更换水站系统和仪表</w:t>
      </w:r>
      <w:r>
        <w:rPr>
          <w:rFonts w:ascii="宋体" w:cs="宋体" w:hAnsi="宋体" w:hint="eastAsia"/>
          <w:sz w:val="24"/>
          <w:szCs w:val="24"/>
          <w:lang w:val="en-US" w:eastAsia="zh-CN"/>
        </w:rPr>
        <w:t>常规易损</w:t>
      </w:r>
      <w:r>
        <w:rPr>
          <w:rFonts w:ascii="宋体" w:cs="宋体" w:hAnsi="宋体" w:hint="eastAsia"/>
          <w:sz w:val="24"/>
          <w:szCs w:val="24"/>
        </w:rPr>
        <w:t>耗材，关键部件不能超期使用，更换各类易损部件应重新标定仪器。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(3)对水站系统和仪表进行定期检修、保养。每月至少清洗</w:t>
      </w:r>
      <w:r>
        <w:rPr>
          <w:rFonts w:ascii="宋体" w:cs="宋体" w:hAnsi="宋体" w:hint="eastAsia"/>
          <w:sz w:val="24"/>
          <w:szCs w:val="24"/>
          <w:lang w:val="en-US" w:eastAsia="zh-CN"/>
        </w:rPr>
        <w:t>2</w:t>
      </w:r>
      <w:r>
        <w:rPr>
          <w:rFonts w:ascii="宋体" w:cs="宋体" w:hAnsi="宋体" w:hint="eastAsia"/>
          <w:sz w:val="24"/>
          <w:szCs w:val="24"/>
        </w:rPr>
        <w:t>次取水管路、测量池、沉淀池、测量杯、过滤芯、配水管路</w:t>
      </w:r>
      <w:r>
        <w:rPr>
          <w:rFonts w:ascii="宋体" w:cs="宋体" w:hAnsi="宋体" w:hint="eastAsia"/>
          <w:sz w:val="24"/>
          <w:szCs w:val="24"/>
          <w:lang w:eastAsia="zh-CN"/>
        </w:rPr>
        <w:t>、</w:t>
      </w:r>
      <w:r>
        <w:rPr>
          <w:rFonts w:ascii="宋体" w:cs="宋体" w:hAnsi="宋体" w:hint="eastAsia"/>
          <w:sz w:val="24"/>
          <w:szCs w:val="24"/>
        </w:rPr>
        <w:t>测量</w:t>
      </w:r>
      <w:r>
        <w:rPr>
          <w:rFonts w:ascii="宋体" w:cs="宋体" w:hAnsi="宋体" w:hint="eastAsia"/>
          <w:sz w:val="24"/>
          <w:szCs w:val="24"/>
          <w:lang w:val="en-US" w:eastAsia="zh-CN"/>
        </w:rPr>
        <w:t>清洗</w:t>
      </w:r>
      <w:r>
        <w:rPr>
          <w:rFonts w:ascii="宋体" w:cs="宋体" w:hAnsi="宋体" w:hint="eastAsia"/>
          <w:sz w:val="24"/>
          <w:szCs w:val="24"/>
        </w:rPr>
        <w:t>电极或探头。</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(4)及时排除水站系统和仪表的故障(由于地震、洪水、战争等不可抗拒因素造成的水站系统及仪器损坏除外)</w:t>
      </w:r>
    </w:p>
    <w:p>
      <w:pPr>
        <w:spacing w:line="360" w:lineRule="auto"/>
        <w:ind w:firstLineChars="200" w:firstLine="420"/>
        <w:rPr>
          <w:rFonts w:ascii="宋体" w:cs="宋体" w:hAnsi="宋体" w:hint="eastAsia"/>
          <w:sz w:val="24"/>
          <w:szCs w:val="24"/>
        </w:rPr>
      </w:pPr>
      <w:r>
        <w:rPr>
          <w:rFonts w:ascii="宋体" w:cs="宋体" w:hAnsi="宋体" w:hint="eastAsia"/>
          <w:szCs w:val="21"/>
        </w:rPr>
        <w:t>▲</w:t>
      </w:r>
      <w:r>
        <w:rPr>
          <w:rFonts w:ascii="宋体" w:cs="宋体" w:hAnsi="宋体" w:hint="eastAsia"/>
          <w:sz w:val="24"/>
          <w:szCs w:val="24"/>
        </w:rPr>
        <w:t>(5)对水站仪表进行定期校准、核查、比对、性能测试。监测仪器每年应至少进行1次全面核查，每半年对监测仪器进行1次3-5个浓度点的多点校准。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(6)配合采购人进行水站质量保证和质量质控工作，随时接受采购人工作考核及质量考核。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(7)保证设备仪器的清洁，整齐。</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(8)建立水质自动监测仪器操作规程，运行维护人员必须严格按规范操作，不得以任何理由弄虚作假、修改监测的原始数据和控制参数。</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(9)每两周应对各水站例行巡回检查至少1次，如果有异常情况发生应及时解决。认真、及时做好维护记录，汇总各水站每月巡检的作业情况、维护记录，每月以书面形式报采购人，书面报告作为运行维护考核依据之一，具体包括：</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①水站每月运行数据报表统计</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②水站现场维护记录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③水站仪器设备故障及排除情况登记表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④水站每月运行情况</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⑤水站备品备件管理登记表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⑥水站巡检作业情况</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2.负责前端通讯设备以及监控软件的维护和完善，确保从仪器到监控软件的存储，以及到中心站服务器数据传输稳定准确。</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3.在运营维护及管理期间，运维人员应遵守国家有关法律、法规及其他规定，本着为采购人负责的精神，依照规范科学管理，使各监测监控系统运行达到国家及行业颁布的技术标准和采购人要求的考核指标要求，使水站运行真正发挥其效能和作用。</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4.水、电、通讯网费及财产保护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运营期间所需水费、电费、通讯网费由供应商负责缴纳，委托运营维护及管理的全部资产(包括全部产权和建筑物、设备、软件、配套设施、水站和配套监控系统产生的各类数据信息及相关文档资料)属采购人所有。未经采购人同意，供应商不得以任何方式对各类财产进行出售、抵押或转移；同时，在委托运营及管理期间，供应商有责任保护上述全部资产的完整、安全并处于良好状态，遇到自然灾害等不可抗拒外部因素造成资产损害，供应商应及时向采购人申报，待采购人审批后将由市财政重新采购。</w:t>
      </w:r>
    </w:p>
    <w:p>
      <w:pPr>
        <w:tabs>
          <w:tab w:val="left" w:pos="301"/>
        </w:tabs>
        <w:spacing w:line="360" w:lineRule="auto"/>
        <w:ind w:firstLineChars="200" w:firstLine="480"/>
        <w:rPr>
          <w:rFonts w:ascii="宋体" w:cs="宋体" w:hAnsi="宋体" w:hint="eastAsia"/>
          <w:sz w:val="24"/>
          <w:szCs w:val="24"/>
        </w:rPr>
      </w:pPr>
      <w:r>
        <w:rPr>
          <w:rFonts w:ascii="宋体" w:cs="宋体" w:hAnsi="宋体" w:hint="eastAsia"/>
          <w:sz w:val="24"/>
          <w:szCs w:val="24"/>
        </w:rPr>
        <w:t>(1)点位环境管理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观察站点周边环境的变化，并进行记录。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查看站点外围的道路、供电、通讯、给排水设施等，并进行记录。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如果发现影响站点代表性和监测正常运行的环境变化，应及时进行处理，并报告中心站。</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（2）站点巡检管理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查看站点的基础设施，包括消防、供电、通讯、给排水设施等。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检查站点外部状况，包括建筑物、站点防漏防渗和天线设施。</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注意站点内部异常气味和噪音，并排查。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检查站点内部设施，包括消防、照明、强弱电和接地、通讯网络、应急设施等。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（3）检查站点排风装置工作是否正常。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（4）保持站点内部卫生整洁。</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（5）记录巡检情况，如果发现影响水质自动监测站安全和不正常运行的情况，应及时进行处理并修复，同时报告环境监测站。</w:t>
      </w:r>
    </w:p>
    <w:p>
      <w:pPr>
        <w:spacing w:line="360" w:lineRule="auto"/>
        <w:ind w:firstLineChars="200" w:firstLine="480"/>
        <w:rPr>
          <w:rFonts w:ascii="宋体" w:cs="宋体" w:hAnsi="宋体" w:hint="eastAsia"/>
          <w:sz w:val="24"/>
          <w:szCs w:val="24"/>
        </w:rPr>
      </w:pPr>
      <w:r>
        <w:rPr>
          <w:rFonts w:ascii="宋体" w:cs="宋体" w:hAnsi="宋体" w:hint="eastAsia"/>
          <w:b/>
          <w:bCs/>
          <w:sz w:val="24"/>
          <w:szCs w:val="24"/>
        </w:rPr>
        <w:t>5.质控要求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(1)更换试剂以后，应进行校准。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(2)当水质自动分析仪器关键部件更换后，应进行多点线性核查，必要时应开展实际水样比对。</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(3)当水质自动分析仪长时间停机应进行多点线性核查和标样核查。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(4)当水质自动分析仪相关质控核查结果数据接近质控要求限值时应及时进行预防性维护。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(5)当水质监测数据异常</w:t>
      </w:r>
      <w:r>
        <w:rPr>
          <w:rFonts w:ascii="宋体" w:cs="宋体" w:hAnsi="宋体" w:hint="eastAsia"/>
          <w:sz w:val="24"/>
          <w:szCs w:val="24"/>
          <w:lang w:val="en-US" w:eastAsia="zh-CN"/>
        </w:rPr>
        <w:t>需进行标样核查以确保设备数据准确度正常</w:t>
      </w:r>
      <w:r>
        <w:rPr>
          <w:rFonts w:ascii="宋体" w:cs="宋体" w:hAnsi="宋体" w:hint="eastAsia"/>
          <w:sz w:val="24"/>
          <w:szCs w:val="24"/>
        </w:rPr>
        <w:t>。</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6.其他要求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(1)基本要求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按采购人及相关文件、规范要求，配备足够的车辆、备品备件和合格的试剂，配齐站点值守人员、配足相应资质和技术技能的运行维护技术员和管理人员，具备符合要求的工作场所，制订覆盖运维全过程的管理制度和相应的作业指导书、日常运行维护维修工作记录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(2)运行维护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水质自动监测站运行维护包括系统设备运行维护、自动检测、月度巡检、远程巡视、定期巡检、</w:t>
      </w:r>
      <w:r>
        <w:rPr>
          <w:rFonts w:ascii="宋体" w:cs="宋体" w:hAnsi="宋体" w:hint="eastAsia"/>
          <w:sz w:val="24"/>
          <w:szCs w:val="24"/>
          <w:lang w:val="en-US" w:eastAsia="zh-CN"/>
        </w:rPr>
        <w:t>周常规</w:t>
      </w:r>
      <w:r>
        <w:rPr>
          <w:rFonts w:ascii="宋体" w:cs="宋体" w:hAnsi="宋体" w:hint="eastAsia"/>
          <w:sz w:val="24"/>
          <w:szCs w:val="24"/>
        </w:rPr>
        <w:t>保养与维护等。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(3)远程巡视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应配备水质自动监测平台专员</w:t>
      </w:r>
      <w:r>
        <w:rPr>
          <w:rFonts w:ascii="宋体" w:cs="宋体" w:hAnsi="宋体" w:hint="eastAsia"/>
          <w:sz w:val="24"/>
          <w:szCs w:val="24"/>
          <w:lang w:val="en-US" w:eastAsia="zh-CN"/>
        </w:rPr>
        <w:t>每周</w:t>
      </w:r>
      <w:r>
        <w:rPr>
          <w:rFonts w:ascii="宋体" w:cs="宋体" w:hAnsi="宋体" w:hint="eastAsia"/>
          <w:sz w:val="24"/>
          <w:szCs w:val="24"/>
        </w:rPr>
        <w:t>对水站运行条件及设备运行状况进行远程查看，并填写《水质自动监测站巡视记录表》,具体工作如下：</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检查数据采集与传输状况，确认是否获取了水站全部仪器的监测数据和过程日志。</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根据仪器质控结果、过程日志判断仪器运行情况及数据的可靠性。</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检查前一天数据上传情况，审核并对数据的真实准确性进行判定，对异常数据进行标记，填写数据审核日志。</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检查采水设施、水位以及站点内外情况，如发现异常，应及时上报。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查看是否存在非法入侵行为。</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当监测数据出现异常时，运维人员应及时远程发送必要的质控测试命令，根据测试结果综合判断数据有效性。一旦确定仪器设备故障或水质发生重大变化，要及时赴现场处理处置。</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7.定期巡检</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安排技术人员进行进行定期巡检，巡检频次不少于每两周1次，检查内容应包括下列项目：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(1)检查站点保温措施，保持温度稳定；检查水泵及空压机固定情况，避免仪器振动；检查空压机、不间断电源(UPS)、除藻装置、纯水机等外部保障设施运行状态，及时更换耗材。</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(2)检查水站电路系统是否正常，接地线路是否可靠，检查采样和排水管路是否漏液或堵塞，排水装置工作是否正常。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(3)检查采配水单元是否正常，如采水浮筒固定情况，采水泵运行情况等；定期清洗采配水单元，包括采水头、泵体、沉淀池、过滤头、水样杯、阀门、相关管路等，对于无法清洗干净的应及时更换。</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(4)检查工控机运行状态和主要技术参数，有无中毒现象，至少</w:t>
      </w:r>
      <w:r>
        <w:rPr>
          <w:rFonts w:ascii="宋体" w:cs="宋体" w:hAnsi="宋体" w:hint="eastAsia"/>
          <w:sz w:val="24"/>
          <w:szCs w:val="24"/>
          <w:lang w:val="en-US" w:eastAsia="zh-CN"/>
        </w:rPr>
        <w:t>每季度</w:t>
      </w:r>
      <w:r>
        <w:rPr>
          <w:rFonts w:ascii="宋体" w:cs="宋体" w:hAnsi="宋体" w:hint="eastAsia"/>
          <w:sz w:val="24"/>
          <w:szCs w:val="24"/>
        </w:rPr>
        <w:t>备份一次现场数据。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(5)检查上传至平台的数据和现场数据的一致性；检查仪器与控制单元的通讯线路是否正常。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(6)查看水质自动分析仪及辅助设备的运行状态和主要技术参数，判断运行是否正常；检查有无漏液；进样管路、试剂管路中是否有气泡存在，并及时将气泡排出。</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(7)检查试剂状况，定期添加、更换试剂。所用纯水和试剂须达到相关技术要求，更换周期不得超过规定的试剂保质期。</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(8)及时清除站点周围的杂草和积水，</w:t>
      </w:r>
      <w:r>
        <w:rPr>
          <w:rFonts w:ascii="宋体" w:cs="宋体" w:hAnsi="宋体" w:hint="eastAsia"/>
          <w:sz w:val="24"/>
          <w:szCs w:val="24"/>
          <w:lang w:val="en-US" w:eastAsia="zh-CN"/>
        </w:rPr>
        <w:t>检查</w:t>
      </w:r>
      <w:r>
        <w:rPr>
          <w:rFonts w:ascii="宋体" w:cs="宋体" w:hAnsi="宋体" w:hint="eastAsia"/>
          <w:sz w:val="24"/>
          <w:szCs w:val="24"/>
        </w:rPr>
        <w:t>站点是否有漏水现象，站点外围的其他设施是否有损坏或被水淹。如遇到以上问题要及时处理，保证水站系统安全运行。</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(9)实验废液集中收集，详实记录废液产生、收集情况并留档备查；保持站点及各仪器干净整洁，及时关闭门窗，避免日光直射仪器设备。</w:t>
      </w:r>
    </w:p>
    <w:p>
      <w:pPr>
        <w:spacing w:line="360" w:lineRule="auto"/>
        <w:ind w:firstLineChars="200" w:firstLine="420"/>
        <w:rPr>
          <w:rFonts w:ascii="宋体" w:cs="宋体" w:hAnsi="宋体" w:hint="eastAsia"/>
          <w:b/>
          <w:bCs/>
          <w:sz w:val="24"/>
          <w:szCs w:val="24"/>
        </w:rPr>
      </w:pPr>
      <w:r>
        <w:rPr>
          <w:rFonts w:ascii="宋体" w:cs="宋体" w:hAnsi="宋体" w:hint="eastAsia"/>
          <w:szCs w:val="21"/>
        </w:rPr>
        <w:t>▲</w:t>
      </w:r>
      <w:r>
        <w:rPr>
          <w:rFonts w:ascii="宋体" w:cs="宋体" w:hAnsi="宋体" w:hint="eastAsia"/>
          <w:b/>
          <w:bCs/>
          <w:sz w:val="24"/>
          <w:szCs w:val="24"/>
        </w:rPr>
        <w:t>8.日常保养与维护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分析单元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(1)应依据水质状况、水站环境条件和分析仪器的要求制定易耗品的更换周期，做到定期更换：对使用期限有规定的易耗品，应严格在有效期内使用。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(2)定期清洗和更换仪器进样管。</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(3)建立</w:t>
      </w:r>
      <w:r>
        <w:rPr>
          <w:rFonts w:ascii="宋体" w:cs="宋体" w:hAnsi="宋体" w:hint="eastAsia"/>
          <w:sz w:val="24"/>
          <w:szCs w:val="24"/>
          <w:lang w:val="en-US" w:eastAsia="zh-CN"/>
        </w:rPr>
        <w:t>1000元以内</w:t>
      </w:r>
      <w:r>
        <w:rPr>
          <w:rFonts w:ascii="宋体" w:cs="宋体" w:hAnsi="宋体" w:hint="eastAsia"/>
          <w:sz w:val="24"/>
          <w:szCs w:val="24"/>
        </w:rPr>
        <w:t>零配件和易耗件的</w:t>
      </w:r>
      <w:r>
        <w:rPr>
          <w:rFonts w:ascii="宋体" w:cs="宋体" w:hAnsi="宋体" w:hint="eastAsia"/>
          <w:sz w:val="24"/>
          <w:szCs w:val="24"/>
          <w:lang w:val="en-US" w:eastAsia="zh-CN"/>
        </w:rPr>
        <w:t>配件更换</w:t>
      </w:r>
      <w:r>
        <w:rPr>
          <w:rFonts w:ascii="宋体" w:cs="宋体" w:hAnsi="宋体" w:hint="eastAsia"/>
          <w:sz w:val="24"/>
          <w:szCs w:val="24"/>
        </w:rPr>
        <w:t>库，</w:t>
      </w:r>
      <w:r>
        <w:rPr>
          <w:rFonts w:ascii="宋体" w:cs="宋体" w:hAnsi="宋体" w:hint="eastAsia"/>
          <w:sz w:val="24"/>
          <w:szCs w:val="24"/>
          <w:lang w:val="en-US" w:eastAsia="zh-CN"/>
        </w:rPr>
        <w:t>需</w:t>
      </w:r>
      <w:r>
        <w:rPr>
          <w:rFonts w:ascii="宋体" w:cs="宋体" w:hAnsi="宋体" w:hint="eastAsia"/>
          <w:sz w:val="24"/>
          <w:szCs w:val="24"/>
        </w:rPr>
        <w:t>提前备货。</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(4)试剂更换</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a)水站仪器所用试剂的更换周期应根据试剂稳定性和保质期确定，试剂保温箱内温度较高时应缩短更换周期。</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b)试剂更换后，应进行一次自动监测仪器的校准和标液核查。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c)试剂更换后应记录试剂更换日期，并给出下次试剂更换日期；根据试剂消耗量及下次更换日期，及时准备试剂。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(5)保养检修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a)水站的监测仪器设备每年至少进行1次检修。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b)按维护手册的要求，根据使用寿命，更换监测仪器中的光源、电极、泵、阀、传感器等关键零部件。</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c)对仪器光路、液路、电路板和各种接头及插座等进行检查和清洁处理。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(6)根据废液产生量，进行集中归类存储。</w:t>
      </w:r>
    </w:p>
    <w:p>
      <w:pPr>
        <w:tabs>
          <w:tab w:val="left" w:pos="646"/>
        </w:tabs>
        <w:spacing w:line="360" w:lineRule="auto"/>
        <w:jc w:val="left"/>
        <w:rPr>
          <w:rFonts w:ascii="宋体" w:cs="宋体" w:hAnsi="宋体" w:hint="eastAsia"/>
          <w:b/>
          <w:bCs/>
          <w:sz w:val="24"/>
          <w:szCs w:val="24"/>
        </w:rPr>
      </w:pPr>
      <w:r>
        <w:rPr>
          <w:rFonts w:ascii="宋体" w:cs="宋体" w:hAnsi="宋体" w:hint="eastAsia"/>
          <w:sz w:val="24"/>
          <w:szCs w:val="24"/>
        </w:rPr>
        <w:tab/>
      </w:r>
      <w:r>
        <w:rPr>
          <w:rFonts w:ascii="宋体" w:cs="宋体" w:hAnsi="宋体" w:hint="eastAsia"/>
          <w:b/>
          <w:bCs/>
          <w:sz w:val="24"/>
          <w:szCs w:val="24"/>
        </w:rPr>
        <w:t>9.控制单元及通讯单元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(1)定期强制切断电源后复位，查看工控机是否可以自动启动，并运行操作系统、加载现场监控软件，以及串口通讯是否正常。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(2)定期对网络通讯设备进行断电重启，查看启动后是否通讯正常。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(3)每月检查开机过程中硬件自检过程是否有异常数据传输和报警。</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(4)每月对工控机进行杀毒，保证软件正常运行。</w:t>
      </w:r>
    </w:p>
    <w:p>
      <w:pPr>
        <w:spacing w:line="360" w:lineRule="auto"/>
        <w:ind w:firstLineChars="200" w:firstLine="420"/>
        <w:rPr>
          <w:rFonts w:ascii="宋体" w:cs="宋体" w:hAnsi="宋体" w:hint="eastAsia"/>
          <w:b/>
          <w:bCs/>
          <w:sz w:val="24"/>
          <w:szCs w:val="24"/>
        </w:rPr>
      </w:pPr>
      <w:r>
        <w:rPr>
          <w:rFonts w:ascii="宋体" w:cs="宋体" w:hAnsi="宋体" w:hint="eastAsia"/>
          <w:szCs w:val="21"/>
        </w:rPr>
        <w:t>▲</w:t>
      </w:r>
      <w:r>
        <w:rPr>
          <w:rFonts w:ascii="宋体" w:cs="宋体" w:hAnsi="宋体" w:hint="eastAsia"/>
          <w:b/>
          <w:bCs/>
          <w:sz w:val="24"/>
          <w:szCs w:val="24"/>
        </w:rPr>
        <w:t>10.其他站辅助设备</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(1)定期检查稳压电源及UPS的输出是否符合技术要求，异常情况须及时排查处理。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(2)定期检查检查采样泵、采样分配单元、低温冷藏模块等的工作状况是否正常。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(3)按厂家提供的使用维修手册的规定及零部件的使用寿命，及时更换自动留样器中的泵、阀、传感器等关键零部件。</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(3)定期检查摄像头是否破损，视频设备功能是否正常，包括摄像机、视频存储、云台控制等。</w:t>
      </w:r>
    </w:p>
    <w:p>
      <w:pPr>
        <w:spacing w:line="360" w:lineRule="auto"/>
        <w:ind w:firstLineChars="200" w:firstLine="420"/>
        <w:rPr>
          <w:rFonts w:ascii="宋体" w:cs="宋体" w:hAnsi="宋体" w:hint="eastAsia"/>
          <w:b/>
          <w:bCs/>
          <w:sz w:val="24"/>
          <w:szCs w:val="24"/>
        </w:rPr>
      </w:pPr>
      <w:r>
        <w:rPr>
          <w:rFonts w:ascii="宋体" w:cs="宋体" w:hAnsi="宋体" w:hint="eastAsia"/>
          <w:szCs w:val="21"/>
        </w:rPr>
        <w:t>▲</w:t>
      </w:r>
      <w:r>
        <w:rPr>
          <w:rFonts w:ascii="宋体" w:cs="宋体" w:hAnsi="宋体" w:hint="eastAsia"/>
          <w:b/>
          <w:bCs/>
          <w:sz w:val="24"/>
          <w:szCs w:val="24"/>
        </w:rPr>
        <w:t>11.其它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(1)数据备份：每</w:t>
      </w:r>
      <w:r>
        <w:rPr>
          <w:rFonts w:ascii="宋体" w:cs="宋体" w:hAnsi="宋体" w:hint="eastAsia"/>
          <w:sz w:val="24"/>
          <w:szCs w:val="24"/>
          <w:lang w:val="en-US" w:eastAsia="zh-CN"/>
        </w:rPr>
        <w:t>季度</w:t>
      </w:r>
      <w:r>
        <w:rPr>
          <w:rFonts w:ascii="宋体" w:cs="宋体" w:hAnsi="宋体" w:hint="eastAsia"/>
          <w:sz w:val="24"/>
          <w:szCs w:val="24"/>
        </w:rPr>
        <w:t>对监测数据进行一次备份，备份数据单独存储。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(2)长时间停机：当分析仪需要停机48小时或更长时间时，关闭电源和分析仪器、进样阀；用纯水清洗分析仪器的蠕动泵以及试剂管路，清洗检测池并排空。仪器再次运行时须重新校准</w:t>
      </w:r>
      <w:r>
        <w:rPr>
          <w:rFonts w:ascii="宋体" w:cs="宋体" w:hAnsi="宋体" w:hint="eastAsia"/>
          <w:sz w:val="24"/>
          <w:szCs w:val="24"/>
          <w:lang w:val="en-US" w:eastAsia="zh-CN"/>
        </w:rPr>
        <w:t>后进行标样核查</w:t>
      </w:r>
      <w:r>
        <w:rPr>
          <w:rFonts w:ascii="宋体" w:cs="宋体" w:hAnsi="宋体" w:hint="eastAsia"/>
          <w:sz w:val="24"/>
          <w:szCs w:val="24"/>
        </w:rPr>
        <w:t>。</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(3)当设备出现故障问题时，供应商需提供备用机以便维持传输数据正常上传平台。</w:t>
      </w:r>
    </w:p>
    <w:p>
      <w:pPr>
        <w:spacing w:line="360" w:lineRule="auto"/>
        <w:ind w:firstLineChars="200" w:firstLine="480"/>
        <w:rPr>
          <w:rFonts w:ascii="宋体" w:cs="宋体" w:hAnsi="宋体" w:hint="eastAsia"/>
          <w:b/>
          <w:bCs/>
          <w:sz w:val="24"/>
          <w:szCs w:val="24"/>
        </w:rPr>
      </w:pPr>
      <w:r>
        <w:rPr>
          <w:rFonts w:ascii="宋体" w:cs="宋体" w:hAnsi="宋体" w:hint="eastAsia"/>
          <w:b/>
          <w:bCs/>
          <w:sz w:val="24"/>
          <w:szCs w:val="24"/>
        </w:rPr>
        <w:t>12.数据审核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运维单位对数据进行一级审核，包括：对系统自动预审核、自动标记结果进行初审确认，无效数据的标注并写明原因。因仪器设备故障导致的数据无效，须详细说明原因(如泵故障、采水故障等)。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审核依据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(1)数据规范性：查看系统过程日志，监测全过程是否运行正常。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(2)质控符合性：质控过程及手段是否符合相关质控要求，质控数据是否合格。</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(3)逻辑合理性：相关监测项目数据之间逻辑关系是否合理，上下游之间监测数据逻辑关系是否合理。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(4)数据可比性：当前监测数据与历史数据、最近一次的手工监测数据是否可比。</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(5)样品代表性：由于降雨影响、水体藻类较多、上游断流、采样期间水体中有突发性污染团过境等原因，导致样品代表性存疑。</w:t>
      </w:r>
    </w:p>
    <w:p>
      <w:pPr>
        <w:spacing w:line="360" w:lineRule="auto"/>
        <w:rPr>
          <w:rFonts w:ascii="Times New Roman" w:cs="Times New Roman" w:hAnsi="Times New Roman"/>
          <w:b/>
          <w:bCs/>
          <w:sz w:val="24"/>
        </w:rPr>
      </w:pPr>
      <w:r>
        <w:rPr>
          <w:rFonts w:ascii="Times New Roman" w:cs="Times New Roman" w:hAnsi="Times New Roman" w:hint="eastAsia"/>
          <w:b/>
          <w:bCs/>
          <w:sz w:val="24"/>
        </w:rPr>
        <w:t>三、运维要求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1、供应商应承诺以下条件须提供承诺函：</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★供应商须符合以下要求：在海南省生态环境厅海南省社会环境服务机构管理平台中，可查询到企业信息，且对应查询结果中企业的运营状态为 “运营”。（需提供该平台的查询截图加盖公章作为佐证材料）</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（1）中标后在白沙</w:t>
      </w:r>
      <w:r>
        <w:rPr>
          <w:rFonts w:ascii="宋体" w:cs="宋体" w:hAnsi="宋体"/>
          <w:sz w:val="24"/>
          <w:szCs w:val="24"/>
        </w:rPr>
        <w:t>黎族自治县</w:t>
      </w:r>
      <w:r>
        <w:rPr>
          <w:rFonts w:ascii="宋体" w:cs="宋体" w:hAnsi="宋体" w:hint="eastAsia"/>
          <w:sz w:val="24"/>
          <w:szCs w:val="24"/>
        </w:rPr>
        <w:t>设立项目办事处，所有项目人员应常住于白沙</w:t>
      </w:r>
      <w:r>
        <w:rPr>
          <w:rFonts w:ascii="宋体" w:cs="宋体" w:hAnsi="宋体"/>
          <w:sz w:val="24"/>
          <w:szCs w:val="24"/>
        </w:rPr>
        <w:t>黎族自治县</w:t>
      </w:r>
      <w:r>
        <w:rPr>
          <w:rFonts w:ascii="宋体" w:cs="宋体" w:hAnsi="宋体" w:hint="eastAsia"/>
          <w:sz w:val="24"/>
          <w:szCs w:val="24"/>
        </w:rPr>
        <w:t>，并服从监测站管理和调度安排，运维人员须保持24小时通讯工具畅通，为本项目提供及时、准确、有效的现场运维服务；</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（2）至少配备2名专业运行维护技术人员（持中国环境监测总站颁发的相关水质监测运维上岗证）及2名以上专业运行维护技术人员，从事水自动站运维2年或以上工作经验；</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（3）必须保障人员的稳定性(同时现场在岗运行维护技术人员不得少于2名),如在运维合同期内不得已发生人员变动，应提前向采购人需提供情况说明及新变动人员的上述材料，并获得采购人同意后方能上岗；</w:t>
      </w:r>
    </w:p>
    <w:p>
      <w:pPr>
        <w:spacing w:line="360" w:lineRule="auto"/>
        <w:ind w:firstLineChars="200" w:firstLine="480"/>
        <w:rPr>
          <w:rFonts w:ascii="宋体" w:cs="宋体" w:hAnsi="宋体" w:hint="eastAsia"/>
          <w:sz w:val="24"/>
          <w:szCs w:val="24"/>
        </w:rPr>
      </w:pPr>
      <w:r>
        <w:rPr>
          <w:rFonts w:ascii="宋体" w:cs="宋体" w:hAnsi="宋体" w:hint="eastAsia"/>
          <w:sz w:val="24"/>
          <w:szCs w:val="24"/>
          <w:shd w:val="clear" w:color="auto" w:fill="FFFF00"/>
        </w:rPr>
        <w:t>（4）</w:t>
      </w:r>
      <w:r>
        <w:rPr>
          <w:rFonts w:ascii="宋体" w:cs="宋体" w:hAnsi="宋体" w:hint="eastAsia"/>
          <w:sz w:val="24"/>
          <w:szCs w:val="24"/>
        </w:rPr>
        <w:t>至少配备两辆</w:t>
      </w:r>
      <w:r>
        <w:rPr>
          <w:rFonts w:ascii="宋体" w:cs="宋体" w:hAnsi="宋体" w:hint="eastAsia"/>
          <w:sz w:val="24"/>
          <w:szCs w:val="24"/>
          <w:lang w:val="en-US" w:eastAsia="zh-CN"/>
        </w:rPr>
        <w:t>或</w:t>
      </w:r>
      <w:r>
        <w:rPr>
          <w:rFonts w:ascii="宋体" w:cs="宋体" w:hAnsi="宋体" w:hint="eastAsia"/>
          <w:sz w:val="24"/>
          <w:szCs w:val="24"/>
        </w:rPr>
        <w:t>两辆</w:t>
      </w:r>
      <w:r>
        <w:rPr>
          <w:rFonts w:ascii="宋体" w:cs="宋体" w:hAnsi="宋体" w:hint="eastAsia"/>
          <w:sz w:val="24"/>
          <w:szCs w:val="24"/>
          <w:lang w:val="en-US" w:eastAsia="zh-CN"/>
        </w:rPr>
        <w:t>以上</w:t>
      </w:r>
      <w:r>
        <w:rPr>
          <w:rFonts w:ascii="宋体" w:cs="宋体" w:hAnsi="宋体" w:hint="eastAsia"/>
          <w:sz w:val="24"/>
          <w:szCs w:val="24"/>
        </w:rPr>
        <w:t>专用巡检车辆(要求：性能良好能满足日常运维工作需要的车辆),采购人可根据运维服务成效考核情况，有权要求适当增加车辆；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（5）仪器、设备出现故障，供应商必须2小时内赶赴现场对事故进行处理并恢复正常运行。如遇水质污染应急事件，必须</w:t>
      </w:r>
      <w:r>
        <w:rPr>
          <w:rFonts w:ascii="宋体" w:cs="宋体" w:hAnsi="宋体" w:hint="eastAsia"/>
          <w:sz w:val="24"/>
          <w:szCs w:val="24"/>
          <w:lang w:val="en-US" w:eastAsia="zh-CN"/>
        </w:rPr>
        <w:t>4</w:t>
      </w:r>
      <w:r>
        <w:rPr>
          <w:rFonts w:ascii="宋体" w:cs="宋体" w:hAnsi="宋体" w:hint="eastAsia"/>
          <w:sz w:val="24"/>
          <w:szCs w:val="24"/>
        </w:rPr>
        <w:t>小时内到达现场。</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（6）承诺仪各站点建立完善的运维程序性文件档案和管理制度,包括但不限于作业指导书、程序类文件、质量手册等，将各系统运行管理情况和运维事件进行详细记录，并进行归档管理。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（7）通过树立警示牌、提升站点巡查频次、安排人员驻站等方式，确保运维期内仪器设备系统的安全。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（8）运维合同期内运维技术人员和车辆必须为本项目专用，不得同时用于其他任何用途；</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（9）具备各自动监测站校准维护及能确保系统保持正常运行所需的仪器和工具，并根据各运维项目设备的型号建立运维耗材</w:t>
      </w:r>
      <w:r>
        <w:rPr>
          <w:rFonts w:ascii="宋体" w:cs="宋体" w:hAnsi="宋体" w:hint="eastAsia"/>
          <w:sz w:val="24"/>
          <w:szCs w:val="24"/>
          <w:lang w:val="en-US" w:eastAsia="zh-CN"/>
        </w:rPr>
        <w:t>清单作为存档</w:t>
      </w:r>
      <w:r>
        <w:rPr>
          <w:rFonts w:ascii="宋体" w:cs="宋体" w:hAnsi="宋体" w:hint="eastAsia"/>
          <w:sz w:val="24"/>
          <w:szCs w:val="24"/>
        </w:rPr>
        <w:t>；</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（10）各站点建立完善的运维程序性文件档案和管理制度，包括但不限于作业指导书、程序类文件、质量手册等，将各系统运行管理情况和运维事件进行详细记录，并进行归档管理。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（11）供应商不得以任何方式对各类财产进行出售、抵押或转移。</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13）供应商应承担监测数据的保密责任；供应商按照采购人的要求，进行报告和传输有关的监测数据，均不得以任何方式和渠道向外界传递任何监测数据，否则采购人有权终止合同，并进一步追究相关法律责任，并罚款运维总费用的20%。</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14）★供应商应当承担采购人全部仪器设备一般性故障的维护责任（不可预防性因素导致的故障除外，包括但不限于地震、自然灾害、台风、战争等不可抗力事件引发的故障），相关维护及配件耗材更换的费用与执行要求如下：针对仪器设备一般性故障的维护，以及单次配件耗材更换费用在 1000 元（含本数）以内的，相关费用由供应商全额承担，供应商自行完成维护及更换工作；单次配件耗材更换费用超过 1000 元的，供应商须提前就配件耗材更换事项向采购人提交书面报备材料，采购人确认同意</w:t>
      </w:r>
      <w:r>
        <w:rPr>
          <w:rFonts w:ascii="宋体" w:cs="宋体" w:hAnsi="宋体" w:hint="eastAsia"/>
          <w:sz w:val="24"/>
          <w:szCs w:val="24"/>
          <w:lang w:val="en-US" w:eastAsia="zh-CN"/>
        </w:rPr>
        <w:t>后由采购人负责购买</w:t>
      </w:r>
      <w:r>
        <w:rPr>
          <w:rFonts w:ascii="宋体" w:cs="宋体" w:hAnsi="宋体" w:hint="eastAsia"/>
          <w:sz w:val="24"/>
          <w:szCs w:val="24"/>
        </w:rPr>
        <w:t>供应商</w:t>
      </w:r>
      <w:r>
        <w:rPr>
          <w:rFonts w:ascii="宋体" w:cs="宋体" w:hAnsi="宋体" w:hint="eastAsia"/>
          <w:sz w:val="24"/>
          <w:szCs w:val="24"/>
          <w:lang w:val="en-US" w:eastAsia="zh-CN"/>
        </w:rPr>
        <w:t>所</w:t>
      </w:r>
      <w:r>
        <w:rPr>
          <w:rFonts w:ascii="宋体" w:cs="宋体" w:hAnsi="宋体" w:hint="eastAsia"/>
          <w:sz w:val="24"/>
          <w:szCs w:val="24"/>
        </w:rPr>
        <w:t>报备</w:t>
      </w:r>
      <w:r>
        <w:rPr>
          <w:rFonts w:ascii="宋体" w:cs="宋体" w:hAnsi="宋体" w:hint="eastAsia"/>
          <w:sz w:val="24"/>
          <w:szCs w:val="24"/>
          <w:lang w:val="en-US" w:eastAsia="zh-CN"/>
        </w:rPr>
        <w:t>的</w:t>
      </w:r>
      <w:r>
        <w:rPr>
          <w:rFonts w:ascii="宋体" w:cs="宋体" w:hAnsi="宋体" w:hint="eastAsia"/>
          <w:sz w:val="24"/>
          <w:szCs w:val="24"/>
        </w:rPr>
        <w:t>材料，</w:t>
      </w:r>
      <w:r>
        <w:rPr>
          <w:rFonts w:ascii="宋体" w:cs="宋体" w:hAnsi="宋体" w:hint="eastAsia"/>
          <w:sz w:val="24"/>
          <w:szCs w:val="24"/>
          <w:lang w:val="en-US" w:eastAsia="zh-CN"/>
        </w:rPr>
        <w:t>材料运输至现场后方</w:t>
      </w:r>
      <w:r>
        <w:rPr>
          <w:rFonts w:ascii="宋体" w:cs="宋体" w:hAnsi="宋体" w:hint="eastAsia"/>
          <w:sz w:val="24"/>
          <w:szCs w:val="24"/>
        </w:rPr>
        <w:t>可开展更换工作；若采购人仪器设备因使用年限较长或出现严重故障，需要进行报废或整体更换的，供应商须提前向采购人提交书面说明文件，经双方共同确认后，该仪器设备的更换或报废产生的相关费用由采购人承担。</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（15）供应商应承担运维期各站点和水费及通讯宽带月租费。</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（16）供应商应确保配备的运维人员工作期间人身安全，按相关要求规范配备安全绳、救生衣等，并购买相应保险。运维人员在工作期间应统一工作着装并佩戴工作证。</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（17）在运维合同期内，若由于运维人员人为原因，造成检测设备的损坏，经鉴定后由运维单位承担经济赔偿责任。</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（18）对上级部门的要求，运维单位应予以积极配合。</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（19）★供应商应与有资质的公司签订废液处置合同，确保监测过程中产生的废液得到妥善处置。</w:t>
      </w:r>
    </w:p>
    <w:p>
      <w:pPr>
        <w:spacing w:line="360" w:lineRule="auto"/>
        <w:rPr>
          <w:rFonts w:ascii="Times New Roman" w:cs="Times New Roman" w:hAnsi="Times New Roman"/>
          <w:b/>
          <w:bCs/>
          <w:sz w:val="24"/>
        </w:rPr>
      </w:pPr>
      <w:r>
        <w:rPr>
          <w:rFonts w:ascii="Times New Roman" w:cs="Times New Roman" w:hAnsi="Times New Roman" w:hint="eastAsia"/>
          <w:b/>
          <w:bCs/>
          <w:sz w:val="24"/>
        </w:rPr>
        <w:t>四、应急措施要求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1、突发数据异常要求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当发现所在点位发生监测数据异常上升时，需2小时内报告采购人并到达现场，核查仪器是否正常，保证监测数据准确，传输畅通。</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2、系统仪器故障</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当系统仪器出现故障时，供应商保证在2小时内赶到现场进行处理。对于一些容易诊断的故障，维修时间不应超过</w:t>
      </w:r>
      <w:r>
        <w:rPr>
          <w:rFonts w:ascii="宋体" w:cs="宋体" w:hAnsi="宋体" w:hint="eastAsia"/>
          <w:sz w:val="24"/>
          <w:szCs w:val="24"/>
          <w:lang w:val="en-US" w:eastAsia="zh-CN"/>
        </w:rPr>
        <w:t>2</w:t>
      </w:r>
      <w:r>
        <w:rPr>
          <w:rFonts w:ascii="宋体" w:cs="宋体" w:hAnsi="宋体" w:hint="eastAsia"/>
          <w:sz w:val="24"/>
          <w:szCs w:val="24"/>
        </w:rPr>
        <w:t>小时；对不易诊断和维修的仪器故障，若</w:t>
      </w:r>
      <w:r>
        <w:rPr>
          <w:rFonts w:ascii="宋体" w:cs="宋体" w:hAnsi="宋体" w:hint="eastAsia"/>
          <w:sz w:val="24"/>
          <w:szCs w:val="24"/>
          <w:lang w:val="en-US" w:eastAsia="zh-CN"/>
        </w:rPr>
        <w:t>72</w:t>
      </w:r>
      <w:r>
        <w:rPr>
          <w:rFonts w:ascii="宋体" w:cs="宋体" w:hAnsi="宋体" w:hint="eastAsia"/>
          <w:sz w:val="24"/>
          <w:szCs w:val="24"/>
        </w:rPr>
        <w:t>小时内无法排除，应安装备用机，并及时用电话与书面形式报告采购人，协商处理方案。</w:t>
      </w:r>
    </w:p>
    <w:p>
      <w:pPr>
        <w:spacing w:line="360" w:lineRule="auto"/>
        <w:rPr>
          <w:rFonts w:ascii="Times New Roman" w:cs="Times New Roman" w:hAnsi="Times New Roman"/>
          <w:b/>
          <w:bCs/>
          <w:sz w:val="24"/>
        </w:rPr>
      </w:pPr>
      <w:r>
        <w:rPr>
          <w:rFonts w:ascii="Times New Roman" w:cs="Times New Roman" w:hAnsi="Times New Roman" w:hint="eastAsia"/>
          <w:b/>
          <w:bCs/>
          <w:sz w:val="24"/>
        </w:rPr>
        <w:t>五、考核与应用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采购人组织开展运维管理和质控考核，对达不到运维要求或违规操作的，采购人可以扣减相应的运维费，并有权终止合同。具体考核办法如下：</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采购人每三个月对乙方运维水站的运行情况进行考核。采取单站考核的方式，考核内容以站点数据有效率为主，兼顾盲样考核、驻站人员管理、固定资产管理以及运行维护规范性等。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1.数据有效率</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(1)数据有效率的计算</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①正常运行</w:t>
      </w:r>
    </w:p>
    <w:p>
      <w:pPr>
        <w:spacing w:line="360" w:lineRule="auto"/>
        <w:ind w:firstLineChars="200" w:firstLine="480"/>
        <w:rPr>
          <w:sz w:val="24"/>
          <w:szCs w:val="24"/>
        </w:rPr>
      </w:pPr>
      <w:r>
        <w:rPr>
          <w:rFonts w:ascii="宋体" w:cs="宋体" w:hAnsi="宋体" w:hint="eastAsia"/>
          <w:sz w:val="24"/>
          <w:szCs w:val="24"/>
        </w:rPr>
        <w:t>正常运行期间数据有效率=(应获取数据-无效数据)/应获取数据</w:t>
      </w:r>
      <w:r>
        <w:rPr>
          <w:rFonts w:hint="eastAsia"/>
          <w:sz w:val="24"/>
          <w:szCs w:val="24"/>
        </w:rPr>
        <w:t>*100%。其中：“应获取数据”为按照监测频次要求扣除停运时段后理论应有的监测数据，以平台导出结果为准；“无效数据”为仪器故障、质控不合格期间产生的数据或经数据审核人员审核确认为无效的数据。</w:t>
      </w:r>
    </w:p>
    <w:p>
      <w:pPr>
        <w:spacing w:line="360" w:lineRule="auto"/>
        <w:ind w:firstLineChars="200" w:firstLine="480"/>
        <w:rPr>
          <w:sz w:val="24"/>
          <w:szCs w:val="24"/>
        </w:rPr>
      </w:pPr>
      <w:r>
        <w:rPr>
          <w:rFonts w:hint="eastAsia"/>
          <w:sz w:val="24"/>
          <w:szCs w:val="24"/>
        </w:rPr>
        <w:t>②非正常运行</w:t>
      </w:r>
    </w:p>
    <w:p>
      <w:pPr>
        <w:pStyle w:val="15"/>
        <w:spacing w:line="360" w:lineRule="auto"/>
        <w:ind w:firstLineChars="200" w:firstLine="520"/>
        <w:rPr>
          <w:szCs w:val="24"/>
        </w:rPr>
      </w:pPr>
      <w:r>
        <w:rPr>
          <w:rFonts w:hint="eastAsia"/>
          <w:szCs w:val="24"/>
        </w:rPr>
        <w:t>水站运行过程中，因停电、停水(自来水)、采水设施损坏、高浊度或不可抗力因素(断流或水位过低、地震、暴雨、洪水、台风等)等导致停站而数据缺失或数据无效时，乙方应及时告知甲方并根据实际情况判断是否开展补充监测。</w:t>
      </w:r>
    </w:p>
    <w:p>
      <w:pPr>
        <w:pStyle w:val="15"/>
        <w:spacing w:line="360" w:lineRule="auto"/>
        <w:ind w:firstLineChars="200" w:firstLine="520"/>
        <w:rPr>
          <w:szCs w:val="24"/>
        </w:rPr>
      </w:pPr>
      <w:r>
        <w:rPr>
          <w:rFonts w:hint="eastAsia"/>
          <w:szCs w:val="24"/>
        </w:rPr>
        <w:t>具备补充监测条件的，乙方应对非正常运行水站开展补充监测。补测的数据应满足相关质控要求，并应在规定的时间内上传平台，否则按无效数据处理。计算公式：非正常运行期间数据有效率=(实际补测数据-无效数据)/应补测数据*100%</w:t>
      </w:r>
    </w:p>
    <w:p>
      <w:pPr>
        <w:pStyle w:val="15"/>
        <w:spacing w:line="360" w:lineRule="auto"/>
        <w:ind w:firstLineChars="200" w:firstLine="520"/>
        <w:rPr>
          <w:szCs w:val="24"/>
        </w:rPr>
      </w:pPr>
      <w:r>
        <w:rPr>
          <w:rFonts w:hint="eastAsia"/>
          <w:szCs w:val="24"/>
        </w:rPr>
        <w:t>不具备补充监测条件的，乙方有义务采取必要措施最大限度的减少国家财产的损失，包括仪器设备保管以及必要性维护工作。</w:t>
      </w:r>
    </w:p>
    <w:p>
      <w:pPr>
        <w:pStyle w:val="15"/>
        <w:spacing w:line="360" w:lineRule="auto"/>
        <w:ind w:firstLineChars="200" w:firstLine="520"/>
      </w:pPr>
      <w:r>
        <w:rPr>
          <w:rFonts w:hint="eastAsia"/>
        </w:rPr>
        <w:t>(2)运维费扣付</w:t>
      </w:r>
    </w:p>
    <w:p>
      <w:pPr>
        <w:pStyle w:val="15"/>
        <w:spacing w:line="360" w:lineRule="auto"/>
      </w:pPr>
      <w:r>
        <w:rPr>
          <w:rFonts w:hint="eastAsia"/>
        </w:rPr>
        <w:t>运维费的支付跟运行情况和数据有效率关联，按以下规定执行：</w:t>
      </w:r>
    </w:p>
    <w:p>
      <w:pPr>
        <w:pStyle w:val="15"/>
        <w:spacing w:line="360" w:lineRule="auto"/>
        <w:ind w:firstLineChars="200" w:firstLine="520"/>
      </w:pPr>
      <w:r>
        <w:rPr>
          <w:rFonts w:hint="eastAsia"/>
        </w:rPr>
        <w:t>①单站考核周期内监测数据有效率高于80%,不扣款；</w:t>
      </w:r>
    </w:p>
    <w:p>
      <w:pPr>
        <w:pStyle w:val="15"/>
        <w:spacing w:line="360" w:lineRule="auto"/>
        <w:ind w:firstLineChars="200" w:firstLine="520"/>
      </w:pPr>
      <w:r>
        <w:rPr>
          <w:rFonts w:hint="eastAsia"/>
        </w:rPr>
        <w:t>②单站考核周期内监测数据有效率在70%(不含)～80%(含),扣</w:t>
      </w:r>
    </w:p>
    <w:p>
      <w:pPr>
        <w:pStyle w:val="15"/>
        <w:spacing w:line="360" w:lineRule="auto"/>
        <w:ind w:firstLineChars="200" w:firstLine="520"/>
      </w:pPr>
      <w:r>
        <w:rPr>
          <w:rFonts w:hint="eastAsia"/>
        </w:rPr>
        <w:t>除该付款周期运维费10%,并责令整改；</w:t>
      </w:r>
    </w:p>
    <w:p>
      <w:pPr>
        <w:pStyle w:val="15"/>
        <w:spacing w:line="360" w:lineRule="auto"/>
        <w:ind w:firstLineChars="200" w:firstLine="520"/>
      </w:pPr>
      <w:r>
        <w:rPr>
          <w:rFonts w:hint="eastAsia"/>
        </w:rPr>
        <w:t>③单站考核周期内监测数据有效率在60%(含)～70%(含),扣除该付款周期运维费30%,并责令整改。</w:t>
      </w:r>
    </w:p>
    <w:p>
      <w:pPr>
        <w:pStyle w:val="15"/>
        <w:spacing w:line="360" w:lineRule="auto"/>
        <w:ind w:firstLineChars="200" w:firstLine="520"/>
      </w:pPr>
      <w:r>
        <w:rPr>
          <w:rFonts w:hint="eastAsia"/>
        </w:rPr>
        <w:t>④上述所列条款①~③中，当存在单参数考核周期内监测数据有效率低于60%的情形时，增扣该付款周期运维费5%。</w:t>
      </w:r>
    </w:p>
    <w:p>
      <w:pPr>
        <w:pStyle w:val="15"/>
        <w:spacing w:line="360" w:lineRule="auto"/>
        <w:ind w:firstLineChars="200" w:firstLine="520"/>
      </w:pPr>
      <w:r>
        <w:rPr>
          <w:rFonts w:hint="eastAsia"/>
        </w:rPr>
        <w:t>⑤单站考核周期内监测数据有效率低于60%,扣除该付款周期全部运维费。</w:t>
      </w:r>
    </w:p>
    <w:p>
      <w:pPr>
        <w:pStyle w:val="15"/>
        <w:spacing w:line="360" w:lineRule="auto"/>
        <w:ind w:firstLineChars="200" w:firstLine="520"/>
      </w:pPr>
      <w:r>
        <w:rPr>
          <w:rFonts w:hint="eastAsia"/>
        </w:rPr>
        <w:t>⑥全年平均数据有效率低于60%,终止运维合同。</w:t>
      </w:r>
    </w:p>
    <w:p>
      <w:pPr>
        <w:pStyle w:val="15"/>
        <w:spacing w:line="360" w:lineRule="auto"/>
        <w:ind w:firstLineChars="200" w:firstLine="520"/>
      </w:pPr>
      <w:r>
        <w:rPr>
          <w:rFonts w:hint="eastAsia"/>
        </w:rPr>
        <w:t>不具备补充监测条件停运期间，乙方应保证仪器设备及环境设施设备的安全，并关注现场环境变化，具备条件后应及时恢复运行。</w:t>
      </w:r>
    </w:p>
    <w:p>
      <w:pPr>
        <w:pStyle w:val="15"/>
        <w:spacing w:line="360" w:lineRule="auto"/>
        <w:ind w:firstLineChars="200" w:firstLine="520"/>
      </w:pPr>
      <w:r>
        <w:rPr>
          <w:rFonts w:hint="eastAsia"/>
        </w:rPr>
        <w:t>2.盲样考核</w:t>
      </w:r>
    </w:p>
    <w:p>
      <w:pPr>
        <w:pStyle w:val="15"/>
        <w:spacing w:line="360" w:lineRule="auto"/>
        <w:ind w:firstLineChars="200" w:firstLine="520"/>
      </w:pPr>
      <w:r>
        <w:rPr>
          <w:rFonts w:hint="eastAsia"/>
        </w:rPr>
        <w:t>乙方应按照水质自动监测站盲样考核相关要求配合开展盲样考核工作，每</w:t>
      </w:r>
      <w:r>
        <w:rPr>
          <w:rFonts w:hint="eastAsia"/>
          <w:lang w:val="en-US" w:eastAsia="zh-CN"/>
        </w:rPr>
        <w:t>台设备若</w:t>
      </w:r>
      <w:r>
        <w:rPr>
          <w:rFonts w:hint="eastAsia"/>
        </w:rPr>
        <w:t>出现</w:t>
      </w:r>
      <w:r>
        <w:rPr>
          <w:rFonts w:hint="eastAsia"/>
          <w:lang w:val="en-US" w:eastAsia="zh-CN"/>
        </w:rPr>
        <w:t>3</w:t>
      </w:r>
      <w:r>
        <w:rPr>
          <w:rFonts w:hint="eastAsia"/>
        </w:rPr>
        <w:t>个</w:t>
      </w:r>
      <w:r>
        <w:rPr>
          <w:rFonts w:hint="eastAsia"/>
          <w:lang w:val="en-US" w:eastAsia="zh-CN"/>
        </w:rPr>
        <w:t>因子导致</w:t>
      </w:r>
      <w:r>
        <w:rPr>
          <w:rFonts w:hint="eastAsia"/>
        </w:rPr>
        <w:t>盲样考核不合格的参数</w:t>
      </w:r>
      <w:r>
        <w:rPr>
          <w:rFonts w:hint="eastAsia"/>
          <w:lang w:val="en-US" w:eastAsia="zh-CN"/>
        </w:rPr>
        <w:t>情况，</w:t>
      </w:r>
      <w:r>
        <w:rPr>
          <w:rFonts w:hint="eastAsia"/>
        </w:rPr>
        <w:t>扣除当月运维费的20%。</w:t>
      </w:r>
    </w:p>
    <w:p>
      <w:pPr>
        <w:pStyle w:val="15"/>
        <w:spacing w:line="360" w:lineRule="auto"/>
        <w:ind w:firstLineChars="200" w:firstLine="520"/>
      </w:pPr>
      <w:r>
        <w:rPr>
          <w:rFonts w:hint="eastAsia"/>
        </w:rPr>
        <w:t>3.驻站人员管理</w:t>
      </w:r>
    </w:p>
    <w:p>
      <w:pPr>
        <w:pStyle w:val="15"/>
        <w:spacing w:line="360" w:lineRule="auto"/>
        <w:ind w:firstLineChars="200" w:firstLine="520"/>
      </w:pPr>
      <w:r>
        <w:rPr>
          <w:rFonts w:hint="eastAsia"/>
        </w:rPr>
        <w:t>在项目实施过程中，乙方应根据合同安排符合甲方要求的人员驻站工作，服务期内驻站人员应在甲方指定地点配合开展相关工作。未征得甲方同意乙方不得随意更换驻站人员，擅自更换驻站人员的将按每换1人扣减0.5万元运维费。</w:t>
      </w:r>
    </w:p>
    <w:p>
      <w:pPr>
        <w:pStyle w:val="15"/>
        <w:spacing w:line="360" w:lineRule="auto"/>
        <w:ind w:firstLineChars="200" w:firstLine="520"/>
      </w:pPr>
      <w:r>
        <w:rPr>
          <w:rFonts w:hint="eastAsia"/>
        </w:rPr>
        <w:t>4.固定资产管理</w:t>
      </w:r>
    </w:p>
    <w:p>
      <w:pPr>
        <w:pStyle w:val="15"/>
        <w:spacing w:line="360" w:lineRule="auto"/>
        <w:ind w:firstLineChars="200" w:firstLine="520"/>
      </w:pPr>
      <w:r>
        <w:rPr>
          <w:rFonts w:hint="eastAsia"/>
        </w:rPr>
        <w:t>乙方及人员不得蓄意破坏水站固定资产，或私自外借、出租、抵押；出现国有资产损失或流失的，相关责任人要按原价赔偿，并追究法律责任。</w:t>
      </w:r>
    </w:p>
    <w:p>
      <w:pPr>
        <w:pStyle w:val="15"/>
        <w:spacing w:line="360" w:lineRule="auto"/>
        <w:ind w:firstLineChars="200" w:firstLine="520"/>
      </w:pPr>
      <w:r>
        <w:rPr>
          <w:rFonts w:hint="eastAsia"/>
        </w:rPr>
        <w:t>5.运行维护规范性</w:t>
      </w:r>
    </w:p>
    <w:p>
      <w:pPr>
        <w:pStyle w:val="15"/>
        <w:spacing w:line="360" w:lineRule="auto"/>
        <w:ind w:firstLineChars="200" w:firstLine="520"/>
      </w:pPr>
      <w:r>
        <w:rPr>
          <w:rFonts w:hint="eastAsia"/>
        </w:rPr>
        <w:t>经甲方认定，乙方存在下列情形的，将根据相应规定进行扣款：</w:t>
      </w:r>
    </w:p>
    <w:p>
      <w:pPr>
        <w:pStyle w:val="15"/>
        <w:spacing w:line="360" w:lineRule="auto"/>
        <w:ind w:firstLineChars="200" w:firstLine="520"/>
      </w:pPr>
      <w:r>
        <w:rPr>
          <w:rFonts w:hint="eastAsia"/>
        </w:rPr>
        <w:t>(1)每月3次存在以下情形时，一经查实，扣除该站点当月20%的运维费；每月6次存在以下情形时，一经查实，扣除该站点当月50%的运维费。</w:t>
      </w:r>
    </w:p>
    <w:p>
      <w:pPr>
        <w:pStyle w:val="15"/>
        <w:spacing w:line="360" w:lineRule="auto"/>
        <w:ind w:firstLineChars="200" w:firstLine="520"/>
      </w:pPr>
      <w:r>
        <w:rPr>
          <w:rFonts w:hint="eastAsia"/>
        </w:rPr>
        <w:t>①乙方应在每天12时前，完成前一日数据审核工作；</w:t>
      </w:r>
    </w:p>
    <w:p>
      <w:pPr>
        <w:pStyle w:val="15"/>
        <w:spacing w:line="360" w:lineRule="auto"/>
        <w:ind w:firstLineChars="200" w:firstLine="520"/>
      </w:pPr>
      <w:r>
        <w:rPr>
          <w:rFonts w:hint="eastAsia"/>
        </w:rPr>
        <w:t>②乙方发现非运维人员干扰正常监测行为，未及时制止并上报甲方的；</w:t>
      </w:r>
    </w:p>
    <w:p>
      <w:pPr>
        <w:pStyle w:val="15"/>
        <w:spacing w:line="360" w:lineRule="auto"/>
        <w:ind w:firstLineChars="200" w:firstLine="520"/>
      </w:pPr>
      <w:r>
        <w:rPr>
          <w:rFonts w:hint="eastAsia"/>
        </w:rPr>
        <w:t>③分析仪器监测结果出现异常，但乙方未及时响应并未采取有效措</w:t>
      </w:r>
    </w:p>
    <w:p>
      <w:pPr>
        <w:pStyle w:val="15"/>
        <w:spacing w:line="360" w:lineRule="auto"/>
      </w:pPr>
      <w:r>
        <w:rPr>
          <w:rFonts w:hint="eastAsia"/>
        </w:rPr>
        <w:t>施的；</w:t>
      </w:r>
    </w:p>
    <w:p>
      <w:pPr>
        <w:pStyle w:val="15"/>
        <w:spacing w:line="360" w:lineRule="auto"/>
        <w:ind w:firstLineChars="200" w:firstLine="520"/>
      </w:pPr>
      <w:r>
        <w:rPr>
          <w:rFonts w:hint="eastAsia"/>
        </w:rPr>
        <w:t>④乙方未按要求进行例行维护，仪器核查维护工作的；</w:t>
      </w:r>
    </w:p>
    <w:p>
      <w:pPr>
        <w:pStyle w:val="15"/>
        <w:spacing w:line="360" w:lineRule="auto"/>
        <w:ind w:firstLineChars="200" w:firstLine="520"/>
      </w:pPr>
      <w:r>
        <w:rPr>
          <w:rFonts w:hint="eastAsia"/>
        </w:rPr>
        <w:t>⑤乙方未按要求在平台进行运维记录填写或填写不规范的；</w:t>
      </w:r>
    </w:p>
    <w:p>
      <w:pPr>
        <w:pStyle w:val="15"/>
        <w:spacing w:line="360" w:lineRule="auto"/>
        <w:ind w:firstLineChars="200" w:firstLine="520"/>
      </w:pPr>
      <w:r>
        <w:rPr>
          <w:rFonts w:hint="eastAsia"/>
        </w:rPr>
        <w:t>⑥乙方存在其他不符合运行维护技术要求的情形。</w:t>
      </w:r>
    </w:p>
    <w:p>
      <w:pPr>
        <w:pStyle w:val="15"/>
        <w:spacing w:line="360" w:lineRule="auto"/>
        <w:ind w:firstLineChars="200" w:firstLine="520"/>
      </w:pPr>
      <w:r>
        <w:rPr>
          <w:rFonts w:hint="eastAsia"/>
        </w:rPr>
        <w:t>(2)发现监测点位出现未经批准的变更，未及时上报的，扣除该站点考核周期内20%运维费。</w:t>
      </w:r>
    </w:p>
    <w:p>
      <w:pPr>
        <w:pStyle w:val="15"/>
        <w:spacing w:line="360" w:lineRule="auto"/>
        <w:ind w:firstLineChars="200" w:firstLine="520"/>
      </w:pPr>
      <w:r>
        <w:rPr>
          <w:rFonts w:hint="eastAsia"/>
        </w:rPr>
        <w:t>(3)发现有人为干扰采样情形，未及时上报的，扣除该站点考核周期内20%运维费。</w:t>
      </w:r>
    </w:p>
    <w:p>
      <w:pPr>
        <w:pStyle w:val="15"/>
        <w:spacing w:line="360" w:lineRule="auto"/>
        <w:ind w:firstLineChars="200" w:firstLine="520"/>
      </w:pPr>
      <w:r>
        <w:rPr>
          <w:rFonts w:hint="eastAsia"/>
        </w:rPr>
        <w:t>(4)常规参数(水温、pH值、溶解氧、电导率、(浑)浊度、氨氮、高锰酸盐指数、总磷、总氮)设备故障，未在</w:t>
      </w:r>
      <w:r>
        <w:rPr>
          <w:rFonts w:hint="eastAsia"/>
          <w:lang w:val="en-US" w:eastAsia="zh-CN"/>
        </w:rPr>
        <w:t>72</w:t>
      </w:r>
      <w:r>
        <w:rPr>
          <w:rFonts w:hint="eastAsia"/>
        </w:rPr>
        <w:t>h内修复或启用备机替换并将监测数据上传平台的，每出现1次超期未解决情况扣除当月运维费的10%,扣完为止。</w:t>
      </w:r>
    </w:p>
    <w:p>
      <w:pPr>
        <w:pStyle w:val="15"/>
        <w:spacing w:line="360" w:lineRule="auto"/>
        <w:ind w:firstLineChars="200" w:firstLine="520"/>
      </w:pPr>
      <w:r>
        <w:rPr>
          <w:rFonts w:hint="eastAsia"/>
        </w:rPr>
        <w:t>(5)经甲方认定，乙方使用虚假信息进行停运申请和操作的，扣除该站点当月运维费。</w:t>
      </w:r>
    </w:p>
    <w:p>
      <w:pPr>
        <w:pStyle w:val="15"/>
        <w:spacing w:line="360" w:lineRule="auto"/>
        <w:ind w:firstLineChars="200" w:firstLine="520"/>
      </w:pPr>
      <w:r>
        <w:rPr>
          <w:rFonts w:hint="eastAsia"/>
        </w:rPr>
        <w:t>(6)存在其他严重违反合同约定或运行维护技术要求的情形，甲方根据实际情况酌情扣款。</w:t>
      </w:r>
    </w:p>
    <w:p>
      <w:pPr>
        <w:pStyle w:val="15"/>
        <w:spacing w:line="360" w:lineRule="auto"/>
        <w:ind w:firstLineChars="200" w:firstLine="520"/>
      </w:pPr>
      <w:r>
        <w:rPr>
          <w:rFonts w:hint="eastAsia"/>
        </w:rPr>
        <w:t>(7)乙方及其人员实施或参与以下情形的，按弄虚作假处理，一经查实，扣除该站当月运维费，同时采取约谈、通报批评、解除合同等处罚，违反法律法规的，将交由相关部门依法处理：</w:t>
      </w:r>
    </w:p>
    <w:p>
      <w:pPr>
        <w:pStyle w:val="15"/>
        <w:spacing w:line="360" w:lineRule="auto"/>
        <w:ind w:firstLineChars="200" w:firstLine="520"/>
      </w:pPr>
      <w:r>
        <w:rPr>
          <w:rFonts w:hint="eastAsia"/>
        </w:rPr>
        <w:t>①存在《环境监测数据弄虚作假行为判定及处理办法》中认定的篡改、伪造或者指使篡改、伪造监测数据行为的；</w:t>
      </w:r>
    </w:p>
    <w:p>
      <w:pPr>
        <w:pStyle w:val="15"/>
        <w:spacing w:line="360" w:lineRule="auto"/>
        <w:ind w:firstLineChars="200" w:firstLine="520"/>
      </w:pPr>
      <w:r>
        <w:rPr>
          <w:rFonts w:hint="eastAsia"/>
        </w:rPr>
        <w:t>②存在关键参数虚假报备，或实际关键参数超出备案范围，对数据造成严重影响的；</w:t>
      </w:r>
    </w:p>
    <w:p>
      <w:pPr>
        <w:pStyle w:val="15"/>
        <w:spacing w:line="360" w:lineRule="auto"/>
        <w:ind w:firstLineChars="200" w:firstLine="520"/>
      </w:pPr>
      <w:r>
        <w:rPr>
          <w:rFonts w:hint="eastAsia"/>
        </w:rPr>
        <w:t>③随意更改预处理装置，实际预处理方式及其启用/停用与报备方式不一致的；</w:t>
      </w:r>
    </w:p>
    <w:p>
      <w:pPr>
        <w:pStyle w:val="15"/>
        <w:spacing w:line="360" w:lineRule="auto"/>
        <w:ind w:firstLineChars="200" w:firstLine="520"/>
      </w:pPr>
      <w:r>
        <w:rPr>
          <w:rFonts w:hint="eastAsia"/>
        </w:rPr>
        <w:t>④实施或参与干扰采水设施和自动监测设施、破坏水质自动监测系统的；</w:t>
      </w:r>
    </w:p>
    <w:p>
      <w:pPr>
        <w:pStyle w:val="15"/>
        <w:keepNext w:val="0"/>
        <w:keepLines w:val="0"/>
        <w:pageBreakBefore w:val="0"/>
        <w:widowControl w:val="0"/>
        <w:kinsoku/>
        <w:wordWrap/>
        <w:overflowPunct/>
        <w:topLinePunct w:val="0"/>
        <w:autoSpaceDE/>
        <w:autoSpaceDN/>
        <w:adjustRightInd/>
        <w:snapToGrid/>
        <w:spacing w:line="360" w:lineRule="auto"/>
        <w:ind w:firstLineChars="200" w:firstLine="520"/>
        <w:rPr>
          <w:rFonts w:hint="eastAsia"/>
          <w:lang w:val="en-US" w:eastAsia="zh-CN"/>
        </w:rPr>
      </w:pPr>
      <w:r>
        <w:rPr>
          <w:rFonts w:hint="eastAsia"/>
        </w:rPr>
        <w:t>⑤其他造成水质自动监测数据严重失真的情形。</w:t>
      </w:r>
    </w:p>
    <w:p>
      <w:pPr>
        <w:rPr>
          <w:b/>
          <w:bCs/>
        </w:rPr>
      </w:pPr>
      <w:r>
        <w:rPr>
          <w:b/>
          <w:bCs/>
        </w:rPr>
        <w:br w:type="page"/>
      </w:r>
    </w:p>
    <w:p>
      <w:pPr>
        <w:rPr>
          <w:b/>
          <w:bCs/>
        </w:rPr>
      </w:pPr>
    </w:p>
    <w:p>
      <w:pPr>
        <w:pStyle w:val="1"/>
      </w:pPr>
      <w:bookmarkStart w:id="79" w:name="_Toc67843810"/>
      <w:r>
        <w:rPr>
          <w:rFonts w:hint="eastAsia"/>
        </w:rPr>
        <w:t>第四章  合同条款</w:t>
      </w:r>
      <w:bookmarkEnd w:id="77"/>
      <w:bookmarkEnd w:id="78"/>
      <w:r>
        <w:rPr>
          <w:rFonts w:hint="eastAsia"/>
        </w:rPr>
        <w:t>及格式</w:t>
      </w:r>
      <w:bookmarkStart w:id="80" w:name="_Toc317237622"/>
      <w:bookmarkStart w:id="81" w:name="_Toc7278"/>
      <w:bookmarkEnd w:id="79"/>
    </w:p>
    <w:p>
      <w:pPr>
        <w:spacing w:beforeLines="50" w:before="156" w:afterLines="50" w:after="156" w:line="480" w:lineRule="exact"/>
        <w:rPr>
          <w:rFonts w:ascii="仿宋" w:eastAsia="仿宋" w:cs="仿宋" w:hAnsi="仿宋"/>
          <w:sz w:val="32"/>
          <w:szCs w:val="32"/>
          <w:u w:val="single"/>
        </w:rPr>
      </w:pPr>
      <w:r>
        <w:rPr>
          <w:rFonts w:ascii="仿宋" w:eastAsia="仿宋" w:cs="仿宋" w:hAnsi="仿宋" w:hint="eastAsia"/>
          <w:sz w:val="32"/>
          <w:szCs w:val="32"/>
        </w:rPr>
        <w:t>合同编号：</w:t>
      </w:r>
      <w:r>
        <w:rPr>
          <w:rFonts w:ascii="仿宋" w:eastAsia="仿宋" w:cs="仿宋" w:hAnsi="仿宋" w:hint="eastAsia"/>
          <w:sz w:val="32"/>
          <w:szCs w:val="32"/>
          <w:u w:val="single"/>
        </w:rPr>
        <w:t xml:space="preserve">             </w:t>
      </w:r>
    </w:p>
    <w:p>
      <w:pPr>
        <w:spacing w:beforeLines="50" w:before="156" w:afterLines="50" w:after="156" w:line="480" w:lineRule="exact"/>
        <w:rPr>
          <w:rFonts w:ascii="仿宋" w:eastAsia="仿宋" w:cs="仿宋" w:hAnsi="仿宋" w:hint="eastAsia"/>
          <w:sz w:val="32"/>
          <w:szCs w:val="32"/>
        </w:rPr>
      </w:pPr>
    </w:p>
    <w:p>
      <w:pPr>
        <w:spacing w:beforeLines="50" w:before="156" w:afterLines="50" w:after="156"/>
        <w:jc w:val="center"/>
        <w:rPr>
          <w:rFonts w:ascii="楷体" w:eastAsia="楷体" w:hAnsi="楷体"/>
          <w:b/>
          <w:bCs/>
          <w:sz w:val="48"/>
          <w:szCs w:val="48"/>
        </w:rPr>
      </w:pPr>
      <w:r>
        <w:rPr>
          <w:rFonts w:ascii="楷体" w:eastAsia="楷体" w:hAnsi="楷体"/>
          <w:b/>
          <w:bCs/>
          <w:sz w:val="48"/>
          <w:szCs w:val="48"/>
        </w:rPr>
        <w:t>2026年度白沙县35座小型水质自动监测站运维服务项目</w:t>
      </w:r>
    </w:p>
    <w:p>
      <w:pPr>
        <w:spacing w:beforeLines="50" w:before="156" w:afterLines="50" w:after="156"/>
        <w:jc w:val="center"/>
        <w:rPr>
          <w:rFonts w:ascii="楷体" w:eastAsia="楷体" w:hAnsi="楷体" w:hint="eastAsia"/>
          <w:b/>
          <w:bCs/>
          <w:sz w:val="44"/>
          <w:szCs w:val="44"/>
        </w:rPr>
      </w:pPr>
    </w:p>
    <w:p>
      <w:pPr>
        <w:jc w:val="center"/>
        <w:rPr>
          <w:rFonts w:ascii="楷体" w:eastAsia="楷体" w:hAnsi="楷体"/>
          <w:b/>
          <w:bCs/>
          <w:sz w:val="72"/>
          <w:szCs w:val="72"/>
        </w:rPr>
      </w:pPr>
      <w:r>
        <w:rPr>
          <w:rFonts w:ascii="楷体" w:eastAsia="楷体" w:hAnsi="楷体" w:hint="eastAsia"/>
          <w:b/>
          <w:bCs/>
          <w:sz w:val="72"/>
          <w:szCs w:val="72"/>
        </w:rPr>
        <w:t>合</w:t>
      </w:r>
      <w:r>
        <w:rPr>
          <w:rFonts w:ascii="楷体" w:eastAsia="楷体" w:hAnsi="楷体"/>
          <w:b/>
          <w:bCs/>
          <w:sz w:val="72"/>
          <w:szCs w:val="72"/>
        </w:rPr>
        <w:t xml:space="preserve"> </w:t>
      </w:r>
    </w:p>
    <w:p>
      <w:pPr>
        <w:jc w:val="center"/>
        <w:rPr>
          <w:rFonts w:ascii="楷体" w:eastAsia="楷体" w:hAnsi="楷体"/>
          <w:b/>
          <w:bCs/>
          <w:sz w:val="72"/>
          <w:szCs w:val="72"/>
        </w:rPr>
      </w:pPr>
      <w:r>
        <w:rPr>
          <w:rFonts w:ascii="楷体" w:eastAsia="楷体" w:hAnsi="楷体" w:hint="eastAsia"/>
          <w:b/>
          <w:bCs/>
          <w:sz w:val="72"/>
          <w:szCs w:val="72"/>
        </w:rPr>
        <w:t>同</w:t>
      </w:r>
      <w:r>
        <w:rPr>
          <w:rFonts w:ascii="楷体" w:eastAsia="楷体" w:hAnsi="楷体"/>
          <w:b/>
          <w:bCs/>
          <w:sz w:val="72"/>
          <w:szCs w:val="72"/>
        </w:rPr>
        <w:t xml:space="preserve"> </w:t>
      </w:r>
    </w:p>
    <w:p>
      <w:pPr>
        <w:jc w:val="center"/>
        <w:rPr>
          <w:rFonts w:ascii="楷体" w:eastAsia="楷体" w:hAnsi="楷体" w:hint="eastAsia"/>
          <w:b/>
          <w:bCs/>
          <w:sz w:val="72"/>
          <w:szCs w:val="72"/>
        </w:rPr>
      </w:pPr>
      <w:r>
        <w:rPr>
          <w:rFonts w:ascii="楷体" w:eastAsia="楷体" w:hAnsi="楷体" w:hint="eastAsia"/>
          <w:b/>
          <w:bCs/>
          <w:sz w:val="72"/>
          <w:szCs w:val="72"/>
        </w:rPr>
        <w:t>书</w:t>
      </w:r>
    </w:p>
    <w:p>
      <w:pPr>
        <w:spacing w:beforeLines="50" w:before="156" w:afterLines="50" w:after="156"/>
        <w:rPr>
          <w:rFonts w:ascii="楷体" w:eastAsia="楷体" w:hAnsi="楷体" w:hint="eastAsia"/>
          <w:b/>
          <w:bCs/>
        </w:rPr>
      </w:pPr>
      <w:r>
        <w:rPr>
          <w:rFonts w:ascii="楷体" w:eastAsia="楷体" w:hAnsi="楷体" w:hint="eastAsia"/>
          <w:b/>
          <w:bCs/>
        </w:rPr>
        <w:t xml:space="preserve"> </w:t>
      </w:r>
    </w:p>
    <w:p>
      <w:pPr>
        <w:spacing w:beforeLines="50" w:before="156" w:afterLines="50" w:after="156" w:line="480" w:lineRule="exact"/>
        <w:ind w:firstLineChars="700" w:firstLine="1680"/>
        <w:rPr>
          <w:rFonts w:ascii="楷体" w:eastAsia="楷体" w:hAnsi="楷体"/>
          <w:b/>
          <w:bCs/>
          <w:sz w:val="24"/>
        </w:rPr>
      </w:pPr>
      <w:r>
        <w:rPr>
          <w:rFonts w:ascii="楷体" w:eastAsia="楷体" w:hAnsi="楷体" w:hint="eastAsia"/>
          <w:b/>
          <w:bCs/>
          <w:sz w:val="24"/>
        </w:rPr>
        <w:t>采</w:t>
      </w:r>
      <w:r>
        <w:rPr>
          <w:rFonts w:ascii="楷体" w:eastAsia="楷体" w:hAnsi="楷体"/>
          <w:b/>
          <w:bCs/>
          <w:sz w:val="24"/>
        </w:rPr>
        <w:t xml:space="preserve"> </w:t>
      </w:r>
      <w:r>
        <w:rPr>
          <w:rFonts w:ascii="楷体" w:eastAsia="楷体" w:hAnsi="楷体" w:hint="eastAsia"/>
          <w:b/>
          <w:bCs/>
          <w:sz w:val="24"/>
        </w:rPr>
        <w:t>购</w:t>
      </w:r>
      <w:r>
        <w:rPr>
          <w:rFonts w:ascii="楷体" w:eastAsia="楷体" w:hAnsi="楷体"/>
          <w:b/>
          <w:bCs/>
          <w:sz w:val="24"/>
        </w:rPr>
        <w:t xml:space="preserve"> </w:t>
      </w:r>
      <w:r>
        <w:rPr>
          <w:rFonts w:ascii="楷体" w:eastAsia="楷体" w:hAnsi="楷体" w:hint="eastAsia"/>
          <w:b/>
          <w:bCs/>
          <w:sz w:val="24"/>
        </w:rPr>
        <w:t>方：</w:t>
      </w:r>
      <w:r>
        <w:rPr>
          <w:rFonts w:ascii="楷体" w:eastAsia="楷体" w:hAnsi="楷体"/>
          <w:b/>
          <w:bCs/>
          <w:sz w:val="24"/>
          <w:u w:val="single"/>
        </w:rPr>
        <w:t xml:space="preserve"> </w:t>
      </w:r>
      <w:r>
        <w:rPr>
          <w:rFonts w:ascii="楷体" w:eastAsia="楷体" w:hAnsi="楷体" w:hint="eastAsia"/>
          <w:b/>
          <w:bCs/>
          <w:sz w:val="24"/>
          <w:u w:val="single"/>
        </w:rPr>
        <w:t xml:space="preserve">                             </w:t>
      </w:r>
    </w:p>
    <w:p>
      <w:pPr>
        <w:spacing w:beforeLines="50" w:before="156" w:afterLines="50" w:after="156" w:line="480" w:lineRule="exact"/>
        <w:ind w:firstLineChars="700" w:firstLine="1680"/>
        <w:rPr>
          <w:rFonts w:ascii="楷体" w:eastAsia="楷体" w:hAnsi="楷体" w:hint="eastAsia"/>
          <w:b/>
          <w:bCs/>
          <w:sz w:val="24"/>
        </w:rPr>
      </w:pPr>
      <w:r>
        <w:rPr>
          <w:rFonts w:ascii="楷体" w:eastAsia="楷体" w:hAnsi="楷体" w:hint="eastAsia"/>
          <w:b/>
          <w:bCs/>
          <w:sz w:val="24"/>
        </w:rPr>
        <w:t>供</w:t>
      </w:r>
      <w:r>
        <w:rPr>
          <w:rFonts w:ascii="楷体" w:eastAsia="楷体" w:hAnsi="楷体"/>
          <w:b/>
          <w:bCs/>
          <w:sz w:val="24"/>
        </w:rPr>
        <w:t xml:space="preserve"> </w:t>
      </w:r>
      <w:r>
        <w:rPr>
          <w:rFonts w:ascii="楷体" w:eastAsia="楷体" w:hAnsi="楷体" w:hint="eastAsia"/>
          <w:b/>
          <w:bCs/>
          <w:sz w:val="24"/>
        </w:rPr>
        <w:t>应</w:t>
      </w:r>
      <w:r>
        <w:rPr>
          <w:rFonts w:ascii="楷体" w:eastAsia="楷体" w:hAnsi="楷体"/>
          <w:b/>
          <w:bCs/>
          <w:sz w:val="24"/>
        </w:rPr>
        <w:t xml:space="preserve"> </w:t>
      </w:r>
      <w:r>
        <w:rPr>
          <w:rFonts w:ascii="楷体" w:eastAsia="楷体" w:hAnsi="楷体" w:hint="eastAsia"/>
          <w:b/>
          <w:bCs/>
          <w:sz w:val="24"/>
        </w:rPr>
        <w:t>方：</w:t>
      </w:r>
      <w:r>
        <w:rPr>
          <w:rFonts w:ascii="楷体" w:eastAsia="楷体" w:hAnsi="楷体"/>
          <w:b/>
          <w:bCs/>
          <w:sz w:val="24"/>
          <w:u w:val="single"/>
        </w:rPr>
        <w:t xml:space="preserve"> </w:t>
      </w:r>
      <w:r>
        <w:rPr>
          <w:rFonts w:ascii="楷体" w:eastAsia="楷体" w:hAnsi="楷体" w:hint="eastAsia"/>
          <w:b/>
          <w:bCs/>
          <w:sz w:val="24"/>
          <w:u w:val="single"/>
        </w:rPr>
        <w:t xml:space="preserve">                             </w:t>
      </w:r>
    </w:p>
    <w:p>
      <w:pPr>
        <w:spacing w:beforeLines="50" w:before="156" w:afterLines="50" w:after="156" w:line="480" w:lineRule="exact"/>
        <w:ind w:firstLineChars="700" w:firstLine="1680"/>
        <w:rPr>
          <w:rFonts w:ascii="楷体" w:eastAsia="楷体" w:hAnsi="楷体"/>
          <w:b/>
          <w:bCs/>
          <w:sz w:val="24"/>
          <w:u w:val="single"/>
        </w:rPr>
      </w:pPr>
      <w:r>
        <w:rPr>
          <w:rFonts w:ascii="楷体" w:eastAsia="楷体" w:hAnsi="楷体" w:hint="eastAsia"/>
          <w:b/>
          <w:bCs/>
          <w:sz w:val="24"/>
          <w:lang w:eastAsia="zh-CN"/>
        </w:rPr>
        <w:t>项目编号</w:t>
      </w:r>
      <w:r>
        <w:rPr>
          <w:rFonts w:ascii="楷体" w:eastAsia="楷体" w:hAnsi="楷体" w:hint="eastAsia"/>
          <w:b/>
          <w:bCs/>
          <w:sz w:val="24"/>
        </w:rPr>
        <w:t>：</w:t>
      </w:r>
      <w:r>
        <w:rPr>
          <w:rFonts w:ascii="楷体" w:eastAsia="楷体" w:hAnsi="楷体"/>
          <w:b/>
          <w:bCs/>
          <w:sz w:val="24"/>
          <w:u w:val="single"/>
        </w:rPr>
        <w:t xml:space="preserve">  </w:t>
      </w:r>
      <w:r>
        <w:rPr>
          <w:rFonts w:ascii="楷体" w:eastAsia="楷体" w:hAnsi="楷体" w:hint="eastAsia"/>
          <w:sz w:val="24"/>
          <w:u w:val="single"/>
        </w:rPr>
        <w:t xml:space="preserve">             </w:t>
      </w:r>
      <w:r>
        <w:rPr>
          <w:rFonts w:ascii="楷体" w:eastAsia="楷体" w:hAnsi="楷体"/>
          <w:b/>
          <w:bCs/>
          <w:sz w:val="24"/>
          <w:u w:val="single"/>
        </w:rPr>
        <w:t xml:space="preserve">     </w:t>
      </w:r>
      <w:r>
        <w:rPr>
          <w:rFonts w:ascii="楷体" w:eastAsia="楷体" w:hAnsi="楷体" w:hint="eastAsia"/>
          <w:b/>
          <w:bCs/>
          <w:sz w:val="24"/>
          <w:u w:val="single"/>
        </w:rPr>
        <w:t xml:space="preserve">          </w:t>
      </w:r>
    </w:p>
    <w:p>
      <w:pPr>
        <w:spacing w:beforeLines="50" w:before="156" w:afterLines="50" w:after="156" w:line="480" w:lineRule="exact"/>
        <w:ind w:firstLineChars="700" w:firstLine="1680"/>
        <w:rPr>
          <w:rFonts w:ascii="楷体" w:eastAsia="楷体" w:hAnsi="楷体"/>
          <w:b/>
          <w:bCs/>
          <w:sz w:val="24"/>
        </w:rPr>
      </w:pPr>
      <w:r>
        <w:rPr>
          <w:rFonts w:ascii="楷体" w:eastAsia="楷体" w:hAnsi="楷体" w:hint="eastAsia"/>
          <w:b/>
          <w:bCs/>
          <w:sz w:val="24"/>
        </w:rPr>
        <w:t>签署地点：</w:t>
      </w:r>
      <w:r>
        <w:rPr>
          <w:rFonts w:ascii="楷体" w:eastAsia="楷体" w:hAnsi="楷体"/>
          <w:b/>
          <w:bCs/>
          <w:sz w:val="24"/>
          <w:u w:val="single"/>
        </w:rPr>
        <w:t xml:space="preserve"> </w:t>
      </w:r>
      <w:r>
        <w:rPr>
          <w:rFonts w:ascii="楷体" w:eastAsia="楷体" w:hAnsi="楷体" w:hint="eastAsia"/>
          <w:b/>
          <w:bCs/>
          <w:sz w:val="24"/>
          <w:u w:val="single"/>
        </w:rPr>
        <w:t xml:space="preserve">                             </w:t>
      </w:r>
    </w:p>
    <w:p>
      <w:pPr>
        <w:spacing w:beforeLines="50" w:before="156" w:afterLines="50" w:after="156" w:line="480" w:lineRule="exact"/>
        <w:ind w:firstLineChars="700" w:firstLine="1680"/>
        <w:rPr>
          <w:rFonts w:ascii="楷体" w:eastAsia="楷体" w:cs="宋体" w:hAnsi="楷体"/>
          <w:b/>
          <w:bCs/>
          <w:sz w:val="22"/>
          <w:szCs w:val="22"/>
        </w:rPr>
        <w:sectPr>
          <w:headerReference w:type="default" r:id="rId4"/>
          <w:footerReference w:type="default" r:id="rId5"/>
          <w:pgSz w:w="11906" w:h="16838"/>
          <w:pgMar w:top="1440" w:right="1134" w:bottom="1440" w:left="1134" w:header="720" w:footer="720" w:gutter="0"/>
          <w:pgNumType w:start="0"/>
          <w:cols w:num="1" w:space="720"/>
          <w:docGrid w:type="lines" w:linePitch="312" w:charSpace="0"/>
        </w:sectPr>
      </w:pPr>
      <w:r>
        <w:rPr>
          <w:rFonts w:ascii="楷体" w:eastAsia="楷体" w:hAnsi="楷体" w:hint="eastAsia"/>
          <w:b/>
          <w:bCs/>
          <w:sz w:val="24"/>
        </w:rPr>
        <w:t>签署时间：</w:t>
      </w:r>
      <w:r>
        <w:rPr>
          <w:rFonts w:ascii="楷体" w:eastAsia="楷体" w:hAnsi="楷体"/>
          <w:b/>
          <w:bCs/>
          <w:sz w:val="24"/>
          <w:u w:val="single"/>
        </w:rPr>
        <w:t xml:space="preserve">   </w:t>
      </w:r>
      <w:r>
        <w:rPr>
          <w:rFonts w:ascii="楷体" w:eastAsia="楷体" w:hAnsi="楷体" w:hint="eastAsia"/>
          <w:b/>
          <w:bCs/>
          <w:sz w:val="24"/>
          <w:u w:val="single"/>
          <w:lang w:val="en-US" w:eastAsia="zh-CN"/>
        </w:rPr>
        <w:t xml:space="preserve">    </w:t>
      </w:r>
      <w:r>
        <w:rPr>
          <w:rFonts w:ascii="楷体" w:eastAsia="楷体" w:hAnsi="楷体" w:hint="eastAsia"/>
          <w:b/>
          <w:bCs/>
          <w:sz w:val="24"/>
          <w:u w:val="single"/>
        </w:rPr>
        <w:t>年</w:t>
      </w:r>
      <w:r>
        <w:rPr>
          <w:rFonts w:ascii="楷体" w:eastAsia="楷体" w:hAnsi="楷体" w:hint="eastAsia"/>
          <w:b/>
          <w:bCs/>
          <w:sz w:val="24"/>
          <w:u w:val="single"/>
          <w:lang w:val="en-US" w:eastAsia="zh-CN"/>
        </w:rPr>
        <w:t xml:space="preserve">   </w:t>
      </w:r>
      <w:r>
        <w:rPr>
          <w:rFonts w:ascii="楷体" w:eastAsia="楷体" w:hAnsi="楷体" w:hint="eastAsia"/>
          <w:b/>
          <w:bCs/>
          <w:sz w:val="24"/>
          <w:u w:val="single"/>
        </w:rPr>
        <w:t>月</w:t>
      </w:r>
      <w:r>
        <w:rPr>
          <w:rFonts w:ascii="楷体" w:eastAsia="楷体" w:hAnsi="楷体" w:hint="eastAsia"/>
          <w:b/>
          <w:bCs/>
          <w:sz w:val="24"/>
          <w:u w:val="single"/>
          <w:lang w:val="en-US" w:eastAsia="zh-CN"/>
        </w:rPr>
        <w:t xml:space="preserve">    </w:t>
      </w:r>
      <w:r>
        <w:rPr>
          <w:rFonts w:ascii="楷体" w:eastAsia="楷体" w:hAnsi="楷体" w:hint="eastAsia"/>
          <w:b/>
          <w:bCs/>
          <w:sz w:val="24"/>
          <w:u w:val="single"/>
        </w:rPr>
        <w:t>日</w:t>
      </w:r>
      <w:r>
        <w:rPr>
          <w:rFonts w:ascii="楷体" w:eastAsia="楷体" w:hAnsi="楷体"/>
          <w:b/>
          <w:bCs/>
          <w:sz w:val="24"/>
          <w:u w:val="single"/>
        </w:rPr>
        <w:t xml:space="preserve">    </w:t>
      </w:r>
      <w:r>
        <w:rPr>
          <w:rFonts w:ascii="楷体" w:eastAsia="楷体" w:hAnsi="楷体" w:hint="eastAsia"/>
          <w:b/>
          <w:bCs/>
          <w:sz w:val="24"/>
          <w:u w:val="single"/>
        </w:rPr>
        <w:t xml:space="preserve">   </w:t>
      </w:r>
      <w:r>
        <w:rPr>
          <w:rFonts w:ascii="楷体" w:eastAsia="楷体" w:hAnsi="楷体"/>
          <w:b/>
          <w:bCs/>
          <w:sz w:val="24"/>
          <w:u w:val="single"/>
        </w:rPr>
        <w:t xml:space="preserve">   </w:t>
      </w:r>
    </w:p>
    <w:p>
      <w:pPr>
        <w:snapToGrid w:val="0"/>
        <w:spacing w:line="560" w:lineRule="exact"/>
        <w:ind w:firstLineChars="200" w:firstLine="480"/>
        <w:rPr>
          <w:rFonts w:ascii="楷体" w:eastAsia="楷体" w:hAnsi="楷体"/>
          <w:b/>
          <w:bCs/>
          <w:sz w:val="24"/>
        </w:rPr>
      </w:pPr>
      <w:r>
        <w:rPr>
          <w:rFonts w:ascii="楷体" w:eastAsia="楷体" w:hAnsi="楷体" w:hint="eastAsia"/>
          <w:b/>
          <w:bCs/>
          <w:sz w:val="24"/>
        </w:rPr>
        <w:t>采购方：</w:t>
      </w:r>
      <w:r>
        <w:rPr>
          <w:rFonts w:ascii="楷体" w:eastAsia="楷体" w:hAnsi="楷体" w:hint="eastAsia"/>
          <w:b/>
          <w:bCs/>
          <w:sz w:val="24"/>
          <w:u w:val="single"/>
          <w:lang w:val="en-US" w:eastAsia="zh-CN"/>
        </w:rPr>
        <w:t xml:space="preserve">                             </w:t>
      </w:r>
      <w:r>
        <w:rPr>
          <w:rFonts w:ascii="楷体" w:eastAsia="楷体" w:hAnsi="楷体"/>
          <w:b/>
          <w:bCs/>
          <w:sz w:val="24"/>
          <w:u w:val="single"/>
        </w:rPr>
        <w:t xml:space="preserve">    </w:t>
      </w:r>
      <w:r>
        <w:rPr>
          <w:rFonts w:ascii="楷体" w:eastAsia="楷体" w:hAnsi="楷体" w:hint="eastAsia"/>
          <w:b/>
          <w:bCs/>
          <w:sz w:val="24"/>
        </w:rPr>
        <w:t>（以下简称甲方）</w:t>
      </w:r>
    </w:p>
    <w:p>
      <w:pPr>
        <w:adjustRightInd w:val="0"/>
        <w:snapToGrid w:val="0"/>
        <w:spacing w:beforeLines="50" w:before="156" w:beforeAutospacing="0" w:afterLines="100" w:after="312" w:afterAutospacing="0" w:line="580" w:lineRule="exact"/>
        <w:ind w:firstLineChars="200" w:firstLine="480"/>
        <w:rPr>
          <w:rFonts w:ascii="楷体" w:eastAsia="楷体" w:hAnsi="楷体" w:hint="eastAsia"/>
          <w:b/>
          <w:bCs/>
          <w:sz w:val="24"/>
        </w:rPr>
      </w:pPr>
      <w:r>
        <w:rPr>
          <w:rFonts w:ascii="楷体" w:eastAsia="楷体" w:hAnsi="楷体" w:hint="eastAsia"/>
          <w:b/>
          <w:bCs/>
          <w:sz w:val="24"/>
        </w:rPr>
        <w:t>供应方：</w:t>
      </w:r>
      <w:r>
        <w:rPr>
          <w:rFonts w:ascii="楷体" w:eastAsia="楷体" w:hAnsi="楷体" w:hint="eastAsia"/>
          <w:b/>
          <w:bCs/>
          <w:sz w:val="24"/>
          <w:u w:val="single"/>
        </w:rPr>
        <w:t xml:space="preserve">                                </w:t>
      </w:r>
      <w:r>
        <w:rPr>
          <w:rFonts w:ascii="楷体" w:eastAsia="楷体" w:hAnsi="楷体" w:hint="eastAsia"/>
          <w:b/>
          <w:bCs/>
          <w:sz w:val="24"/>
        </w:rPr>
        <w:t>（以下简称乙方）</w:t>
      </w:r>
    </w:p>
    <w:p>
      <w:pPr>
        <w:spacing w:beforeAutospacing="0" w:afterAutospacing="0" w:line="360" w:lineRule="auto"/>
        <w:ind w:firstLineChars="200" w:firstLine="436"/>
        <w:rPr>
          <w:rFonts w:ascii="仿宋" w:eastAsia="仿宋" w:hAnsi="仿宋" w:hint="eastAsia"/>
          <w:spacing w:val="4"/>
          <w:szCs w:val="21"/>
        </w:rPr>
      </w:pPr>
      <w:r>
        <w:rPr>
          <w:rFonts w:ascii="仿宋" w:eastAsia="仿宋" w:hAnsi="仿宋" w:hint="eastAsia"/>
          <w:spacing w:val="4"/>
          <w:szCs w:val="21"/>
        </w:rPr>
        <w:t>甲乙双方根据      年    月    日2026年度白沙县35座小型水质自动监测站运维服务项目 （项目编号：   ）公开招标结果及招标文件的要求,遵照《中华人民共和国民法典》《中华人民共和国政府采购法》及相关法律法规规定，结合项目实际，本着平等互利的原则，经协商一致,签订以下合同条款，供双方共同遵守：</w:t>
      </w:r>
    </w:p>
    <w:p>
      <w:pPr>
        <w:pStyle w:val="4"/>
        <w:tabs>
          <w:tab w:val="left" w:pos="425"/>
          <w:tab w:val="left" w:pos="992"/>
        </w:tabs>
      </w:pPr>
      <w:r>
        <w:t>第一条 签订合同的依据及标的</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1.签订合同的依据</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（1）</w:t>
      </w:r>
      <w:r>
        <w:rPr>
          <w:rFonts w:ascii="仿宋" w:eastAsia="仿宋" w:hAnsi="仿宋" w:hint="eastAsia"/>
          <w:spacing w:val="4"/>
          <w:szCs w:val="21"/>
          <w:lang w:eastAsia="zh-CN"/>
        </w:rPr>
        <w:t>项目编号</w:t>
      </w:r>
      <w:r>
        <w:rPr>
          <w:rFonts w:ascii="仿宋" w:eastAsia="仿宋" w:hAnsi="仿宋" w:hint="eastAsia"/>
          <w:spacing w:val="4"/>
          <w:szCs w:val="21"/>
        </w:rPr>
        <w:t>：</w:t>
      </w:r>
      <w:r>
        <w:rPr>
          <w:rFonts w:ascii="仿宋" w:eastAsia="仿宋" w:hAnsi="仿宋" w:hint="eastAsia"/>
          <w:spacing w:val="4"/>
          <w:szCs w:val="21"/>
          <w:lang w:val="en-US" w:eastAsia="zh-CN"/>
        </w:rPr>
        <w:t xml:space="preserve">         </w:t>
      </w:r>
      <w:r>
        <w:rPr>
          <w:rFonts w:ascii="仿宋" w:eastAsia="仿宋" w:hAnsi="仿宋" w:hint="eastAsia"/>
          <w:spacing w:val="4"/>
          <w:szCs w:val="21"/>
        </w:rPr>
        <w:t>招标文件以及相关的补充文件；</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（2）乙方所提交的投标文件及相关资料；</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（3）中标通知书</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2.合同标的</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（1）本合同标的           系统的运维服务全部内容。</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（2）运维服务的详细内容见附件。</w:t>
      </w:r>
    </w:p>
    <w:p>
      <w:pPr>
        <w:pStyle w:val="4"/>
        <w:tabs>
          <w:tab w:val="left" w:pos="425"/>
          <w:tab w:val="left" w:pos="992"/>
        </w:tabs>
        <w:rPr>
          <w:rFonts w:hAnsi="黑体"/>
        </w:rPr>
      </w:pPr>
      <w:r>
        <w:rPr>
          <w:rFonts w:hAnsi="黑体"/>
        </w:rPr>
        <w:t>第二条 合同金额</w:t>
      </w:r>
    </w:p>
    <w:p>
      <w:pPr>
        <w:pStyle w:val="21"/>
        <w:spacing w:before="0" w:beforeAutospacing="0" w:after="0" w:line="580" w:lineRule="exact"/>
        <w:ind w:leftChars="270" w:left="567"/>
        <w:rPr>
          <w:rFonts w:ascii="仿宋" w:eastAsia="仿宋" w:hAnsi="仿宋" w:hint="eastAsia"/>
          <w:spacing w:val="4"/>
          <w:szCs w:val="21"/>
        </w:rPr>
      </w:pPr>
      <w:r>
        <w:rPr>
          <w:rFonts w:ascii="仿宋" w:eastAsia="仿宋" w:hAnsi="仿宋" w:hint="eastAsia"/>
          <w:spacing w:val="4"/>
          <w:szCs w:val="21"/>
        </w:rPr>
        <w:t>1.本合同总金额为人民币</w:t>
      </w:r>
      <w:r>
        <w:rPr>
          <w:rFonts w:ascii="仿宋" w:eastAsia="仿宋" w:hAnsi="仿宋" w:hint="eastAsia"/>
          <w:bCs/>
          <w:spacing w:val="4"/>
          <w:szCs w:val="21"/>
          <w:lang w:val="en-US" w:eastAsia="zh-CN"/>
        </w:rPr>
        <w:t xml:space="preserve">      </w:t>
      </w:r>
      <w:r>
        <w:rPr>
          <w:rFonts w:ascii="仿宋" w:eastAsia="仿宋" w:hAnsi="仿宋" w:hint="eastAsia"/>
          <w:bCs/>
          <w:spacing w:val="4"/>
          <w:szCs w:val="21"/>
        </w:rPr>
        <w:t>元整</w:t>
      </w:r>
      <w:r>
        <w:rPr>
          <w:rFonts w:ascii="仿宋" w:eastAsia="仿宋" w:hAnsi="仿宋" w:hint="eastAsia"/>
          <w:spacing w:val="4"/>
          <w:szCs w:val="21"/>
        </w:rPr>
        <w:t>（</w:t>
      </w:r>
      <w:r>
        <w:rPr>
          <w:rFonts w:ascii="仿宋" w:eastAsia="仿宋" w:hAnsi="仿宋" w:hint="eastAsia"/>
          <w:bCs/>
          <w:spacing w:val="4"/>
          <w:szCs w:val="21"/>
        </w:rPr>
        <w:t>￥</w:t>
      </w:r>
      <w:r>
        <w:rPr>
          <w:rFonts w:ascii="仿宋" w:eastAsia="仿宋" w:hAnsi="仿宋" w:hint="eastAsia"/>
          <w:spacing w:val="4"/>
          <w:szCs w:val="21"/>
          <w:lang w:val="en-US" w:eastAsia="zh-CN"/>
        </w:rPr>
        <w:t xml:space="preserve">     </w:t>
      </w:r>
      <w:r>
        <w:rPr>
          <w:rFonts w:ascii="仿宋" w:eastAsia="仿宋" w:hAnsi="仿宋" w:hint="eastAsia"/>
          <w:spacing w:val="4"/>
          <w:szCs w:val="21"/>
        </w:rPr>
        <w:t>.00</w:t>
      </w:r>
      <w:r>
        <w:rPr>
          <w:rFonts w:ascii="仿宋" w:eastAsia="仿宋" w:hAnsi="仿宋" w:hint="eastAsia"/>
          <w:bCs/>
          <w:spacing w:val="4"/>
          <w:szCs w:val="21"/>
        </w:rPr>
        <w:t>元</w:t>
      </w:r>
      <w:r>
        <w:rPr>
          <w:rFonts w:ascii="仿宋" w:eastAsia="仿宋" w:hAnsi="仿宋" w:hint="eastAsia"/>
          <w:spacing w:val="4"/>
          <w:szCs w:val="21"/>
        </w:rPr>
        <w:t>）。</w:t>
      </w:r>
    </w:p>
    <w:p>
      <w:pPr>
        <w:pStyle w:val="21"/>
        <w:spacing w:before="0" w:beforeAutospacing="0" w:after="0" w:line="580" w:lineRule="exact"/>
        <w:ind w:leftChars="0" w:left="0" w:firstLineChars="250" w:firstLine="545"/>
        <w:rPr>
          <w:rFonts w:ascii="仿宋" w:eastAsia="仿宋" w:hAnsi="仿宋" w:hint="eastAsia"/>
          <w:spacing w:val="4"/>
          <w:szCs w:val="21"/>
        </w:rPr>
      </w:pPr>
      <w:r>
        <w:rPr>
          <w:rFonts w:ascii="仿宋" w:eastAsia="仿宋" w:hAnsi="仿宋" w:hint="eastAsia"/>
          <w:spacing w:val="4"/>
          <w:szCs w:val="21"/>
        </w:rPr>
        <w:t>2.本合同金额为招标文件、中标人投标文件中12个月运维服务涵盖内容的全部费用。</w:t>
      </w:r>
    </w:p>
    <w:p>
      <w:pPr>
        <w:pStyle w:val="4"/>
        <w:tabs>
          <w:tab w:val="left" w:pos="425"/>
          <w:tab w:val="left" w:pos="992"/>
        </w:tabs>
        <w:spacing w:line="360" w:lineRule="auto"/>
        <w:outlineLvl w:val="3"/>
        <w:rPr>
          <w:rFonts w:hAnsi="黑体"/>
          <w:b/>
        </w:rPr>
      </w:pPr>
      <w:r>
        <w:rPr>
          <w:rFonts w:hAnsi="黑体"/>
          <w:b/>
        </w:rPr>
        <w:t>第三条 付款方式及结算</w:t>
      </w:r>
    </w:p>
    <w:p>
      <w:pPr>
        <w:snapToGrid w:val="0"/>
        <w:spacing w:line="580" w:lineRule="exact"/>
        <w:ind w:firstLineChars="200" w:firstLine="436"/>
        <w:rPr>
          <w:rFonts w:ascii="仿宋" w:eastAsia="仿宋" w:hAnsi="仿宋" w:hint="eastAsia"/>
          <w:spacing w:val="4"/>
          <w:szCs w:val="21"/>
        </w:rPr>
      </w:pPr>
      <w:r>
        <w:rPr>
          <w:rFonts w:ascii="仿宋" w:eastAsia="仿宋" w:hAnsi="仿宋" w:hint="eastAsia"/>
          <w:spacing w:val="4"/>
          <w:szCs w:val="21"/>
        </w:rPr>
        <w:t>双方约定运维服务费用平均按季度支付，自整套系统调试合格并通过验收交付之日起，每三个月运维服务工作完成后，由甲方按合同附件的标准核查乙方工作成果</w:t>
      </w:r>
      <w:r>
        <w:rPr>
          <w:rFonts w:ascii="仿宋" w:eastAsia="仿宋" w:hAnsi="仿宋" w:hint="eastAsia"/>
          <w:spacing w:val="4"/>
          <w:szCs w:val="21"/>
          <w:highlight w:val="none"/>
        </w:rPr>
        <w:t>，</w:t>
      </w:r>
      <w:r>
        <w:rPr>
          <w:rFonts w:ascii="仿宋" w:eastAsia="仿宋" w:hAnsi="仿宋" w:hint="eastAsia"/>
          <w:color w:val="FF0000"/>
          <w:spacing w:val="4"/>
          <w:szCs w:val="21"/>
          <w:highlight w:val="yellow"/>
        </w:rPr>
        <w:t>在下一个季度的第一个月内支付，支付金额按季度运维费减去应扣减的费用，</w:t>
      </w:r>
      <w:r>
        <w:rPr>
          <w:rFonts w:ascii="仿宋" w:eastAsia="仿宋" w:hAnsi="仿宋" w:hint="eastAsia"/>
          <w:color w:val="FF0000"/>
          <w:spacing w:val="4"/>
          <w:szCs w:val="21"/>
          <w:lang w:eastAsia="zh-CN"/>
          <w:highlight w:val="yellow"/>
        </w:rPr>
        <w:t>甲方收到乙方提供的完整付款申请材料及合法正规增值税发票且财政资金到位后</w:t>
      </w:r>
      <w:r>
        <w:rPr>
          <w:rFonts w:ascii="仿宋" w:eastAsia="仿宋" w:hAnsi="仿宋" w:hint="eastAsia"/>
          <w:color w:val="FF0000"/>
          <w:spacing w:val="4"/>
          <w:szCs w:val="21"/>
          <w:lang w:val="en-US" w:eastAsia="zh-CN"/>
          <w:highlight w:val="yellow"/>
        </w:rPr>
        <w:t>10个工作日内一次性支付</w:t>
      </w:r>
      <w:r>
        <w:rPr>
          <w:rFonts w:ascii="仿宋" w:eastAsia="仿宋" w:hAnsi="仿宋" w:hint="eastAsia"/>
          <w:color w:val="FF0000"/>
          <w:spacing w:val="4"/>
          <w:szCs w:val="21"/>
          <w:highlight w:val="yellow"/>
        </w:rPr>
        <w:t>。</w:t>
      </w:r>
      <w:r>
        <w:rPr>
          <w:rFonts w:ascii="仿宋" w:eastAsia="仿宋" w:hAnsi="仿宋" w:hint="eastAsia"/>
          <w:spacing w:val="4"/>
          <w:szCs w:val="21"/>
        </w:rPr>
        <w:t>每三个月运维服务工作完成后以此类推（运维服务费为合同总金额的），即：人民币</w:t>
      </w:r>
      <w:r>
        <w:rPr>
          <w:rFonts w:ascii="仿宋" w:eastAsia="仿宋" w:hAnsi="仿宋" w:hint="eastAsia"/>
          <w:spacing w:val="4"/>
          <w:szCs w:val="21"/>
          <w:lang w:val="en-US" w:eastAsia="zh-CN"/>
        </w:rPr>
        <w:t xml:space="preserve">     </w:t>
      </w:r>
      <w:r>
        <w:rPr>
          <w:rFonts w:ascii="仿宋" w:eastAsia="仿宋" w:hAnsi="仿宋" w:hint="eastAsia"/>
          <w:spacing w:val="4"/>
          <w:szCs w:val="21"/>
        </w:rPr>
        <w:t>。</w:t>
      </w:r>
    </w:p>
    <w:p>
      <w:pPr>
        <w:pStyle w:val="4"/>
        <w:tabs>
          <w:tab w:val="left" w:pos="425"/>
          <w:tab w:val="left" w:pos="992"/>
        </w:tabs>
        <w:spacing w:line="360" w:lineRule="auto"/>
        <w:outlineLvl w:val="3"/>
        <w:rPr>
          <w:rFonts w:hAnsi="黑体"/>
          <w:b/>
        </w:rPr>
      </w:pPr>
      <w:r>
        <w:rPr>
          <w:rFonts w:hAnsi="黑体"/>
          <w:b/>
        </w:rPr>
        <w:t>第四条 服务及相关资料</w:t>
      </w:r>
    </w:p>
    <w:p>
      <w:pPr>
        <w:snapToGrid w:val="0"/>
        <w:spacing w:line="580" w:lineRule="exact"/>
        <w:rPr>
          <w:rFonts w:ascii="仿宋" w:eastAsia="仿宋" w:hAnsi="仿宋" w:hint="eastAsia"/>
          <w:spacing w:val="4"/>
          <w:szCs w:val="21"/>
        </w:rPr>
      </w:pPr>
      <w:r>
        <w:rPr>
          <w:rFonts w:ascii="仿宋" w:eastAsia="仿宋" w:hAnsi="仿宋" w:hint="eastAsia"/>
          <w:sz w:val="28"/>
          <w:szCs w:val="28"/>
        </w:rPr>
        <w:t xml:space="preserve"> </w:t>
      </w:r>
      <w:r>
        <w:rPr>
          <w:rFonts w:ascii="仿宋" w:eastAsia="仿宋" w:hAnsi="仿宋" w:hint="eastAsia"/>
          <w:spacing w:val="4"/>
          <w:szCs w:val="21"/>
        </w:rPr>
        <w:t xml:space="preserve">   1.乙方所提供的运维服务内容需符合招投标文件中对运维服务所描述的全部内容。</w:t>
      </w:r>
    </w:p>
    <w:p>
      <w:pPr>
        <w:snapToGrid w:val="0"/>
        <w:spacing w:line="580" w:lineRule="exact"/>
        <w:ind w:firstLineChars="200" w:firstLine="436"/>
        <w:rPr>
          <w:rFonts w:ascii="仿宋" w:eastAsia="仿宋" w:hAnsi="仿宋" w:hint="eastAsia"/>
          <w:spacing w:val="4"/>
          <w:szCs w:val="21"/>
        </w:rPr>
      </w:pPr>
      <w:r>
        <w:rPr>
          <w:rFonts w:ascii="仿宋" w:eastAsia="仿宋" w:hAnsi="仿宋" w:hint="eastAsia"/>
          <w:spacing w:val="4"/>
          <w:szCs w:val="21"/>
        </w:rPr>
        <w:t>2.运维服务的全部档案资料由乙方填写、上报。</w:t>
      </w:r>
    </w:p>
    <w:p>
      <w:pPr>
        <w:snapToGrid w:val="0"/>
        <w:spacing w:line="580" w:lineRule="exact"/>
        <w:ind w:firstLineChars="200" w:firstLine="436"/>
        <w:rPr>
          <w:rFonts w:ascii="仿宋" w:eastAsia="仿宋" w:hAnsi="仿宋" w:hint="eastAsia"/>
          <w:spacing w:val="4"/>
          <w:szCs w:val="21"/>
        </w:rPr>
      </w:pPr>
      <w:r>
        <w:rPr>
          <w:rFonts w:ascii="仿宋" w:eastAsia="仿宋" w:hAnsi="仿宋" w:hint="eastAsia"/>
          <w:spacing w:val="4"/>
          <w:szCs w:val="21"/>
        </w:rPr>
        <w:t>3.运维相关的全部档案资料的所有权归甲方，乙方必须对数据资料严格保密，未经许可不得将甲方资料提供给与履行本合同无关的任何其他人或单位。</w:t>
      </w:r>
    </w:p>
    <w:p>
      <w:pPr>
        <w:pStyle w:val="4"/>
        <w:tabs>
          <w:tab w:val="left" w:pos="425"/>
          <w:tab w:val="left" w:pos="992"/>
        </w:tabs>
        <w:spacing w:line="360" w:lineRule="auto"/>
        <w:outlineLvl w:val="3"/>
        <w:rPr>
          <w:rFonts w:hAnsi="黑体"/>
          <w:b/>
        </w:rPr>
      </w:pPr>
      <w:r>
        <w:rPr>
          <w:rFonts w:hAnsi="黑体"/>
          <w:b/>
        </w:rPr>
        <w:t>第五条 服务方式、时间和地点</w:t>
      </w:r>
    </w:p>
    <w:p>
      <w:pPr>
        <w:spacing w:line="580" w:lineRule="exact"/>
        <w:ind w:firstLineChars="200" w:firstLine="420"/>
        <w:rPr>
          <w:rFonts w:ascii="仿宋" w:eastAsia="仿宋" w:hAnsi="仿宋" w:hint="eastAsia"/>
          <w:szCs w:val="21"/>
        </w:rPr>
      </w:pPr>
      <w:r>
        <w:rPr>
          <w:rFonts w:ascii="仿宋" w:eastAsia="仿宋" w:hAnsi="仿宋" w:hint="eastAsia"/>
          <w:szCs w:val="21"/>
        </w:rPr>
        <w:t>1.服务方式：</w:t>
      </w:r>
      <w:r>
        <w:rPr>
          <w:rFonts w:ascii="楷体" w:eastAsia="楷体" w:hAnsi="楷体" w:hint="eastAsia"/>
          <w:szCs w:val="21"/>
          <w:u w:val="single"/>
        </w:rPr>
        <w:t>乙方派遣运维工程师长驻白沙县</w:t>
      </w:r>
      <w:r>
        <w:rPr>
          <w:rFonts w:ascii="仿宋" w:eastAsia="仿宋" w:hAnsi="仿宋" w:hint="eastAsia"/>
          <w:szCs w:val="21"/>
        </w:rPr>
        <w:t>，提供35个水质监测站运维服务。乙方负责保障水质监测站的正常稳定运行，与运维有关的维修、维护、劳务、差旅等全部相关费用均由乙方承担。</w:t>
      </w:r>
    </w:p>
    <w:p>
      <w:pPr>
        <w:spacing w:line="580" w:lineRule="exact"/>
        <w:ind w:firstLineChars="200" w:firstLine="420"/>
        <w:rPr>
          <w:rFonts w:ascii="仿宋" w:eastAsia="仿宋" w:hAnsi="仿宋" w:hint="eastAsia"/>
          <w:szCs w:val="21"/>
        </w:rPr>
      </w:pPr>
      <w:r>
        <w:rPr>
          <w:rFonts w:ascii="仿宋" w:eastAsia="仿宋" w:hAnsi="仿宋" w:hint="eastAsia"/>
          <w:szCs w:val="21"/>
        </w:rPr>
        <w:t>2.服务时间：自</w:t>
      </w:r>
      <w:r>
        <w:rPr>
          <w:rFonts w:ascii="仿宋" w:eastAsia="仿宋" w:hAnsi="仿宋" w:hint="eastAsia"/>
          <w:spacing w:val="4"/>
          <w:szCs w:val="21"/>
        </w:rPr>
        <w:t>35个水质监测站完成安装调试并正式通过甲方组织的验收之日起</w:t>
      </w:r>
      <w:r>
        <w:rPr>
          <w:rFonts w:ascii="仿宋" w:eastAsia="仿宋" w:hAnsi="仿宋" w:hint="eastAsia"/>
          <w:szCs w:val="21"/>
        </w:rPr>
        <w:t>，全部设备设施交由</w:t>
      </w:r>
      <w:r>
        <w:rPr>
          <w:rFonts w:ascii="仿宋" w:eastAsia="仿宋" w:hAnsi="仿宋" w:hint="eastAsia"/>
          <w:spacing w:val="4"/>
          <w:szCs w:val="21"/>
        </w:rPr>
        <w:t>乙方接管，进入正常运维阶段，为期24个月</w:t>
      </w:r>
      <w:r>
        <w:rPr>
          <w:rFonts w:ascii="仿宋" w:eastAsia="仿宋" w:hAnsi="仿宋" w:hint="eastAsia"/>
          <w:szCs w:val="21"/>
        </w:rPr>
        <w:t>。</w:t>
      </w:r>
    </w:p>
    <w:p>
      <w:pPr>
        <w:spacing w:line="580" w:lineRule="exact"/>
        <w:ind w:firstLineChars="200" w:firstLine="420"/>
        <w:rPr>
          <w:rFonts w:ascii="仿宋" w:eastAsia="仿宋" w:hAnsi="仿宋" w:hint="eastAsia"/>
          <w:szCs w:val="21"/>
          <w:u w:val="single"/>
        </w:rPr>
      </w:pPr>
      <w:r>
        <w:rPr>
          <w:rFonts w:ascii="仿宋" w:eastAsia="仿宋" w:hAnsi="仿宋"/>
          <w:szCs w:val="21"/>
        </w:rPr>
        <w:t>3</w:t>
      </w:r>
      <w:r>
        <w:rPr>
          <w:rFonts w:ascii="仿宋" w:eastAsia="仿宋" w:hAnsi="仿宋" w:hint="eastAsia"/>
          <w:szCs w:val="21"/>
        </w:rPr>
        <w:t>.服务地点：</w:t>
      </w:r>
      <w:r>
        <w:rPr>
          <w:rFonts w:ascii="楷体" w:eastAsia="楷体" w:hAnsi="楷体" w:hint="eastAsia"/>
          <w:szCs w:val="21"/>
          <w:u w:val="single"/>
          <w:lang w:val="en-US" w:eastAsia="zh-CN"/>
        </w:rPr>
        <w:t xml:space="preserve">        </w:t>
      </w:r>
      <w:r>
        <w:rPr>
          <w:rFonts w:ascii="仿宋" w:eastAsia="仿宋" w:hAnsi="仿宋" w:hint="eastAsia"/>
          <w:szCs w:val="21"/>
        </w:rPr>
        <w:t>。</w:t>
      </w:r>
    </w:p>
    <w:p>
      <w:pPr>
        <w:pStyle w:val="4"/>
        <w:tabs>
          <w:tab w:val="left" w:pos="425"/>
          <w:tab w:val="left" w:pos="992"/>
        </w:tabs>
        <w:spacing w:line="360" w:lineRule="auto"/>
        <w:outlineLvl w:val="3"/>
        <w:rPr>
          <w:rFonts w:hAnsi="黑体"/>
          <w:b/>
        </w:rPr>
      </w:pPr>
      <w:r>
        <w:rPr>
          <w:rFonts w:hAnsi="黑体"/>
          <w:b/>
        </w:rPr>
        <w:t>第六条 双方责任</w:t>
      </w:r>
    </w:p>
    <w:p>
      <w:pPr>
        <w:spacing w:line="580" w:lineRule="exact"/>
        <w:ind w:firstLineChars="200" w:firstLine="420"/>
        <w:rPr>
          <w:rFonts w:ascii="仿宋" w:eastAsia="仿宋" w:hAnsi="仿宋" w:hint="eastAsia"/>
          <w:color w:val="auto"/>
          <w:szCs w:val="21"/>
        </w:rPr>
      </w:pPr>
      <w:r>
        <w:rPr>
          <w:rFonts w:ascii="仿宋" w:eastAsia="仿宋" w:hAnsi="仿宋" w:hint="eastAsia"/>
          <w:szCs w:val="21"/>
        </w:rPr>
        <w:t>1．甲</w:t>
      </w:r>
      <w:r>
        <w:rPr>
          <w:rFonts w:ascii="仿宋" w:eastAsia="仿宋" w:hAnsi="仿宋" w:hint="eastAsia"/>
          <w:color w:val="auto"/>
          <w:szCs w:val="21"/>
        </w:rPr>
        <w:t>方责任</w:t>
      </w:r>
    </w:p>
    <w:p>
      <w:pPr>
        <w:spacing w:line="580" w:lineRule="exact"/>
        <w:ind w:firstLineChars="200" w:firstLine="420"/>
        <w:rPr>
          <w:rFonts w:ascii="仿宋" w:eastAsia="仿宋" w:hAnsi="仿宋" w:hint="eastAsia"/>
          <w:color w:val="auto"/>
          <w:szCs w:val="21"/>
        </w:rPr>
      </w:pPr>
      <w:r>
        <w:rPr>
          <w:rFonts w:ascii="仿宋" w:eastAsia="仿宋" w:hAnsi="仿宋" w:hint="eastAsia"/>
          <w:color w:val="auto"/>
          <w:szCs w:val="21"/>
        </w:rPr>
        <w:t>（1）按合同规定向乙方支付运维服务款。</w:t>
      </w:r>
    </w:p>
    <w:p>
      <w:pPr>
        <w:spacing w:line="580" w:lineRule="exact"/>
        <w:ind w:firstLineChars="200" w:firstLine="420"/>
        <w:rPr>
          <w:rFonts w:ascii="仿宋" w:eastAsia="仿宋" w:hAnsi="仿宋" w:hint="eastAsia"/>
          <w:color w:val="auto"/>
          <w:szCs w:val="21"/>
        </w:rPr>
      </w:pPr>
      <w:r>
        <w:rPr>
          <w:rFonts w:ascii="仿宋" w:eastAsia="仿宋" w:hAnsi="仿宋" w:hint="eastAsia"/>
          <w:color w:val="auto"/>
          <w:szCs w:val="21"/>
        </w:rPr>
        <w:t>（2）提供保证系统正常运行的安全环境、站房外部三相稳定电源、自来水、通讯等。</w:t>
      </w:r>
    </w:p>
    <w:p>
      <w:pPr>
        <w:spacing w:line="580" w:lineRule="exact"/>
        <w:ind w:firstLineChars="200" w:firstLine="420"/>
        <w:rPr>
          <w:rFonts w:ascii="仿宋" w:eastAsia="仿宋" w:hAnsi="仿宋" w:hint="eastAsia"/>
          <w:color w:val="auto"/>
          <w:szCs w:val="21"/>
        </w:rPr>
      </w:pPr>
      <w:r>
        <w:rPr>
          <w:rFonts w:ascii="仿宋" w:eastAsia="仿宋" w:hAnsi="仿宋" w:hint="eastAsia"/>
          <w:color w:val="auto"/>
          <w:szCs w:val="21"/>
        </w:rPr>
        <w:t>（3）提供水站联网用网络宽带和中心站固定IP地址宽带，为发布系统建设提供县政府门户网站协调。</w:t>
      </w:r>
    </w:p>
    <w:p>
      <w:pPr>
        <w:spacing w:line="580" w:lineRule="exact"/>
        <w:ind w:firstLineChars="200" w:firstLine="420"/>
        <w:rPr>
          <w:rFonts w:ascii="仿宋" w:eastAsia="仿宋" w:hAnsi="仿宋" w:hint="eastAsia"/>
          <w:color w:val="auto"/>
          <w:szCs w:val="21"/>
        </w:rPr>
      </w:pPr>
      <w:r>
        <w:rPr>
          <w:rFonts w:ascii="仿宋" w:eastAsia="仿宋" w:hAnsi="仿宋" w:hint="eastAsia"/>
          <w:color w:val="auto"/>
          <w:szCs w:val="21"/>
        </w:rPr>
        <w:t>（</w:t>
      </w:r>
      <w:r>
        <w:rPr>
          <w:rFonts w:ascii="仿宋" w:eastAsia="仿宋" w:hAnsi="仿宋"/>
          <w:color w:val="auto"/>
          <w:szCs w:val="21"/>
        </w:rPr>
        <w:t>4</w:t>
      </w:r>
      <w:r>
        <w:rPr>
          <w:rFonts w:ascii="仿宋" w:eastAsia="仿宋" w:hAnsi="仿宋" w:hint="eastAsia"/>
          <w:color w:val="auto"/>
          <w:szCs w:val="21"/>
        </w:rPr>
        <w:t>）组织对乙方工作的质控检查和考核。</w:t>
      </w:r>
    </w:p>
    <w:p>
      <w:pPr>
        <w:spacing w:line="580" w:lineRule="exact"/>
        <w:ind w:firstLineChars="200" w:firstLine="420"/>
        <w:rPr>
          <w:rFonts w:ascii="仿宋" w:eastAsia="仿宋" w:hAnsi="仿宋" w:hint="eastAsia"/>
          <w:szCs w:val="21"/>
        </w:rPr>
      </w:pPr>
      <w:r>
        <w:rPr>
          <w:rFonts w:ascii="仿宋" w:eastAsia="仿宋" w:hAnsi="仿宋" w:hint="eastAsia"/>
          <w:szCs w:val="21"/>
        </w:rPr>
        <w:t>（5）提供必要的协助和指导。</w:t>
      </w:r>
    </w:p>
    <w:p>
      <w:pPr>
        <w:spacing w:line="580" w:lineRule="exact"/>
        <w:ind w:firstLineChars="200" w:firstLine="420"/>
        <w:rPr>
          <w:rFonts w:ascii="仿宋" w:eastAsia="仿宋" w:hAnsi="仿宋" w:hint="eastAsia"/>
          <w:szCs w:val="21"/>
        </w:rPr>
      </w:pPr>
      <w:r>
        <w:rPr>
          <w:rFonts w:ascii="仿宋" w:eastAsia="仿宋" w:hAnsi="仿宋" w:hint="eastAsia"/>
          <w:szCs w:val="21"/>
        </w:rPr>
        <w:t>2．乙方责任</w:t>
      </w:r>
    </w:p>
    <w:p>
      <w:pPr>
        <w:spacing w:line="580" w:lineRule="exact"/>
        <w:ind w:firstLineChars="200" w:firstLine="420"/>
        <w:rPr>
          <w:rFonts w:ascii="仿宋" w:eastAsia="仿宋" w:hAnsi="仿宋" w:hint="eastAsia"/>
          <w:szCs w:val="21"/>
        </w:rPr>
      </w:pPr>
      <w:r>
        <w:rPr>
          <w:rFonts w:ascii="仿宋" w:eastAsia="仿宋" w:hAnsi="仿宋" w:hint="eastAsia"/>
          <w:szCs w:val="21"/>
        </w:rPr>
        <w:t>（1）按照合同附件细则提供完善的运维服务，</w:t>
      </w:r>
      <w:r>
        <w:rPr>
          <w:rFonts w:ascii="仿宋" w:eastAsia="仿宋" w:hAnsi="仿宋"/>
          <w:szCs w:val="21"/>
        </w:rPr>
        <w:t>负责保证水站连续稳定运行、数据准确、记录完整。</w:t>
      </w:r>
    </w:p>
    <w:p>
      <w:pPr>
        <w:spacing w:line="580" w:lineRule="exact"/>
        <w:ind w:firstLineChars="200" w:firstLine="420"/>
        <w:rPr>
          <w:rFonts w:ascii="仿宋" w:eastAsia="仿宋" w:hAnsi="仿宋" w:hint="eastAsia"/>
          <w:szCs w:val="21"/>
        </w:rPr>
      </w:pPr>
      <w:r>
        <w:rPr>
          <w:rFonts w:ascii="仿宋" w:eastAsia="仿宋" w:hAnsi="仿宋" w:hint="eastAsia"/>
          <w:szCs w:val="21"/>
        </w:rPr>
        <w:t>（2）</w:t>
      </w:r>
      <w:r>
        <w:rPr>
          <w:rFonts w:ascii="仿宋" w:eastAsia="仿宋" w:hAnsi="仿宋"/>
          <w:szCs w:val="21"/>
        </w:rPr>
        <w:t>负责水站仪器设备以及整个自动监测系统的日常维护、故障维修和年度检修，</w:t>
      </w:r>
      <w:r>
        <w:rPr>
          <w:rFonts w:ascii="仿宋" w:eastAsia="仿宋" w:hAnsi="仿宋" w:hint="eastAsia"/>
          <w:color w:val="auto"/>
          <w:szCs w:val="21"/>
        </w:rPr>
        <w:t>及试剂更换等；</w:t>
      </w:r>
      <w:r>
        <w:rPr>
          <w:rFonts w:ascii="仿宋" w:eastAsia="仿宋" w:hAnsi="仿宋"/>
          <w:color w:val="auto"/>
          <w:szCs w:val="21"/>
        </w:rPr>
        <w:t>负责数据入库与发布的审核、周报的制作；同时负责水站站房、采水系统、供水</w:t>
      </w:r>
      <w:r>
        <w:rPr>
          <w:rFonts w:ascii="仿宋" w:eastAsia="仿宋" w:hAnsi="仿宋"/>
          <w:szCs w:val="21"/>
        </w:rPr>
        <w:t>供电通讯等基础设施的日常检修维护，为水站站房、监测仪器和其他配套设施等的安全提供保障</w:t>
      </w:r>
      <w:r>
        <w:rPr>
          <w:rFonts w:ascii="仿宋" w:eastAsia="仿宋" w:hAnsi="仿宋" w:hint="eastAsia"/>
          <w:szCs w:val="21"/>
        </w:rPr>
        <w:t>。</w:t>
      </w:r>
    </w:p>
    <w:p>
      <w:pPr>
        <w:spacing w:line="580" w:lineRule="exact"/>
        <w:ind w:firstLineChars="200" w:firstLine="420"/>
        <w:rPr>
          <w:rFonts w:ascii="仿宋" w:eastAsia="仿宋" w:hAnsi="仿宋" w:hint="eastAsia"/>
          <w:szCs w:val="21"/>
        </w:rPr>
      </w:pPr>
      <w:r>
        <w:rPr>
          <w:rFonts w:ascii="仿宋" w:eastAsia="仿宋" w:hAnsi="仿宋" w:hint="eastAsia"/>
          <w:szCs w:val="21"/>
        </w:rPr>
        <w:t>（3）</w:t>
      </w:r>
      <w:r>
        <w:rPr>
          <w:rFonts w:ascii="仿宋" w:eastAsia="仿宋" w:hAnsi="仿宋"/>
          <w:szCs w:val="21"/>
        </w:rPr>
        <w:t>接受</w:t>
      </w:r>
      <w:r>
        <w:rPr>
          <w:rFonts w:ascii="仿宋" w:eastAsia="仿宋" w:hAnsi="仿宋" w:hint="eastAsia"/>
          <w:szCs w:val="21"/>
        </w:rPr>
        <w:t>甲方及上级单位的</w:t>
      </w:r>
      <w:r>
        <w:rPr>
          <w:rFonts w:ascii="仿宋" w:eastAsia="仿宋" w:hAnsi="仿宋"/>
          <w:szCs w:val="21"/>
        </w:rPr>
        <w:t>质控检查和考核，确保水站各项监测仪器正常稳定运行并联网正常</w:t>
      </w:r>
      <w:r>
        <w:rPr>
          <w:rFonts w:ascii="仿宋" w:eastAsia="仿宋" w:hAnsi="仿宋" w:hint="eastAsia"/>
          <w:szCs w:val="21"/>
        </w:rPr>
        <w:t>。</w:t>
      </w:r>
    </w:p>
    <w:p>
      <w:pPr>
        <w:pStyle w:val="4"/>
        <w:tabs>
          <w:tab w:val="left" w:pos="425"/>
          <w:tab w:val="left" w:pos="992"/>
        </w:tabs>
        <w:spacing w:line="360" w:lineRule="auto"/>
        <w:outlineLvl w:val="3"/>
        <w:rPr>
          <w:rFonts w:hAnsi="黑体"/>
          <w:b/>
        </w:rPr>
      </w:pPr>
      <w:r>
        <w:rPr>
          <w:rFonts w:hAnsi="黑体"/>
          <w:b/>
        </w:rPr>
        <w:t>第七条  违约责任</w:t>
      </w:r>
    </w:p>
    <w:p>
      <w:pPr>
        <w:spacing w:line="580" w:lineRule="exact"/>
        <w:ind w:firstLineChars="171" w:firstLine="359"/>
        <w:rPr>
          <w:rFonts w:ascii="仿宋" w:eastAsia="仿宋" w:hAnsi="仿宋" w:hint="eastAsia"/>
          <w:color w:val="FF0000"/>
          <w:szCs w:val="21"/>
        </w:rPr>
      </w:pPr>
      <w:r>
        <w:rPr>
          <w:rFonts w:ascii="仿宋" w:eastAsia="仿宋" w:hAnsi="仿宋" w:hint="eastAsia"/>
          <w:szCs w:val="21"/>
        </w:rPr>
        <w:t>1</w:t>
      </w:r>
      <w:r>
        <w:rPr>
          <w:rFonts w:ascii="仿宋" w:eastAsia="仿宋" w:hAnsi="仿宋" w:hint="eastAsia"/>
          <w:color w:val="auto"/>
          <w:szCs w:val="21"/>
        </w:rPr>
        <w:t>．乙方未按合同要求提供合格的运维服务时，甲方有权拒绝支付运维款项并求乙方支付违约金，标准为每日按违约总金额的1.0‰累计，由此造成甲方的经济损失由乙方承担。</w:t>
      </w:r>
    </w:p>
    <w:p>
      <w:pPr>
        <w:adjustRightInd w:val="0"/>
        <w:snapToGrid w:val="0"/>
        <w:spacing w:line="580" w:lineRule="exact"/>
        <w:ind w:firstLineChars="200" w:firstLine="420"/>
        <w:rPr>
          <w:rFonts w:ascii="仿宋" w:eastAsia="仿宋" w:hAnsi="仿宋" w:hint="eastAsia"/>
          <w:szCs w:val="21"/>
        </w:rPr>
      </w:pPr>
      <w:r>
        <w:rPr>
          <w:rFonts w:ascii="仿宋" w:eastAsia="仿宋" w:hAnsi="仿宋" w:hint="eastAsia"/>
          <w:szCs w:val="21"/>
        </w:rPr>
        <w:t>2．甲方未按要求履行合同义务时，且无正当理拖延付款时，乙方有权要求甲方支付滞纳金，标准为每日按违约总金额的1.0‰累计，由此造成乙方的一切经济损失由甲方承担。</w:t>
      </w:r>
    </w:p>
    <w:p>
      <w:pPr>
        <w:pStyle w:val="4"/>
        <w:tabs>
          <w:tab w:val="left" w:pos="425"/>
          <w:tab w:val="left" w:pos="992"/>
        </w:tabs>
        <w:spacing w:line="360" w:lineRule="auto"/>
        <w:outlineLvl w:val="3"/>
        <w:rPr>
          <w:rFonts w:hAnsi="黑体"/>
          <w:b/>
        </w:rPr>
      </w:pPr>
      <w:r>
        <w:rPr>
          <w:rFonts w:hAnsi="黑体"/>
          <w:b/>
        </w:rPr>
        <w:t>第八条  不可抗力</w:t>
      </w:r>
    </w:p>
    <w:p>
      <w:pPr>
        <w:snapToGrid w:val="0"/>
        <w:spacing w:line="580" w:lineRule="exact"/>
        <w:ind w:firstLineChars="200" w:firstLine="420"/>
        <w:rPr>
          <w:rFonts w:ascii="仿宋" w:eastAsia="仿宋" w:hAnsi="仿宋" w:hint="eastAsia"/>
          <w:szCs w:val="21"/>
        </w:rPr>
      </w:pPr>
      <w:r>
        <w:rPr>
          <w:rFonts w:ascii="仿宋" w:eastAsia="仿宋" w:hAnsi="仿宋" w:hint="eastAsia"/>
          <w:szCs w:val="21"/>
        </w:rPr>
        <w:t>1．双方因不可抗力而导致合同实施延误或不能履行合同义务，在不可抗力影响的范围内不应该承担误期赔偿或终止合同的责任。</w:t>
      </w:r>
    </w:p>
    <w:p>
      <w:pPr>
        <w:snapToGrid w:val="0"/>
        <w:spacing w:line="580" w:lineRule="exact"/>
        <w:ind w:firstLineChars="200" w:firstLine="420"/>
        <w:rPr>
          <w:rFonts w:ascii="仿宋" w:eastAsia="仿宋" w:hAnsi="仿宋" w:hint="eastAsia"/>
          <w:szCs w:val="21"/>
        </w:rPr>
      </w:pPr>
      <w:r>
        <w:rPr>
          <w:rFonts w:ascii="仿宋" w:eastAsia="仿宋" w:hAnsi="仿宋" w:hint="eastAsia"/>
          <w:szCs w:val="21"/>
        </w:rPr>
        <w:t>2. 本条所述的“不可抗力”系指那些双方无法控制，不可预见的事件，但不包括自身的违约或疏忽。不可预见的事件包括战争、火灾、洪水、台风、地震、政策变化或上级部门统一部署、其他方人为破坏盗窃及其他法律法规规定的情况。</w:t>
      </w:r>
    </w:p>
    <w:p>
      <w:pPr>
        <w:snapToGrid w:val="0"/>
        <w:spacing w:line="580" w:lineRule="exact"/>
        <w:ind w:firstLineChars="200" w:firstLine="420"/>
        <w:rPr>
          <w:rFonts w:ascii="仿宋" w:eastAsia="仿宋" w:hAnsi="仿宋" w:hint="eastAsia"/>
          <w:szCs w:val="21"/>
        </w:rPr>
      </w:pPr>
      <w:r>
        <w:rPr>
          <w:rFonts w:ascii="仿宋" w:eastAsia="仿宋" w:hAnsi="仿宋" w:hint="eastAsia"/>
          <w:szCs w:val="21"/>
        </w:rPr>
        <w:t>3. 在不可抗力事件发生后，受损方应尽快以书面形式将不可抗力的情况和原因通知对方，除对方书面另行要求外，受损方应尽实际可能继续履行合同义务，以及采取合理的方案履行不受不可抗力影响的其他事项。如果不可抗力事件影响延续超过三十（30）天，双方应通过友好协商在合理的时间内就进一步实施合同达成新的协议。</w:t>
      </w:r>
    </w:p>
    <w:p>
      <w:pPr>
        <w:pStyle w:val="4"/>
        <w:tabs>
          <w:tab w:val="left" w:pos="425"/>
          <w:tab w:val="left" w:pos="992"/>
        </w:tabs>
        <w:spacing w:line="360" w:lineRule="auto"/>
        <w:outlineLvl w:val="3"/>
        <w:rPr>
          <w:rFonts w:hAnsi="黑体"/>
          <w:b/>
        </w:rPr>
      </w:pPr>
      <w:r>
        <w:rPr>
          <w:rFonts w:hAnsi="黑体"/>
          <w:b/>
        </w:rPr>
        <w:t>第九条 合同变更</w:t>
      </w:r>
    </w:p>
    <w:p>
      <w:pPr>
        <w:tabs>
          <w:tab w:val="left" w:pos="900"/>
        </w:tabs>
        <w:spacing w:line="580" w:lineRule="exact"/>
        <w:ind w:firstLineChars="200" w:firstLine="420"/>
        <w:rPr>
          <w:rFonts w:ascii="仿宋" w:eastAsia="仿宋" w:hAnsi="仿宋" w:hint="eastAsia"/>
          <w:szCs w:val="21"/>
        </w:rPr>
      </w:pPr>
      <w:r>
        <w:rPr>
          <w:rFonts w:ascii="仿宋" w:eastAsia="仿宋" w:hAnsi="仿宋"/>
          <w:szCs w:val="21"/>
        </w:rPr>
        <w:t>除非</w:t>
      </w:r>
      <w:r>
        <w:rPr>
          <w:rFonts w:ascii="仿宋" w:eastAsia="仿宋" w:hAnsi="仿宋" w:hint="eastAsia"/>
          <w:szCs w:val="21"/>
        </w:rPr>
        <w:t>甲乙</w:t>
      </w:r>
      <w:r>
        <w:rPr>
          <w:rFonts w:ascii="仿宋" w:eastAsia="仿宋" w:hAnsi="仿宋"/>
          <w:szCs w:val="21"/>
        </w:rPr>
        <w:t>双方签署书面修改，否则不能对合同条款进行任何修改。</w:t>
      </w:r>
    </w:p>
    <w:p>
      <w:pPr>
        <w:pStyle w:val="4"/>
        <w:tabs>
          <w:tab w:val="left" w:pos="425"/>
          <w:tab w:val="left" w:pos="992"/>
        </w:tabs>
        <w:spacing w:line="360" w:lineRule="auto"/>
        <w:outlineLvl w:val="3"/>
        <w:rPr>
          <w:rFonts w:hAnsi="黑体"/>
          <w:b/>
        </w:rPr>
      </w:pPr>
      <w:r>
        <w:rPr>
          <w:rFonts w:hAnsi="黑体"/>
          <w:b/>
        </w:rPr>
        <w:t>第十条 合同解除和终止</w:t>
      </w:r>
    </w:p>
    <w:p>
      <w:pPr>
        <w:spacing w:line="580" w:lineRule="exact"/>
        <w:ind w:firstLineChars="200" w:firstLine="420"/>
        <w:rPr>
          <w:rFonts w:ascii="仿宋" w:eastAsia="仿宋" w:hAnsi="仿宋" w:hint="eastAsia"/>
          <w:szCs w:val="21"/>
        </w:rPr>
      </w:pPr>
      <w:r>
        <w:rPr>
          <w:rFonts w:ascii="仿宋" w:eastAsia="仿宋" w:hAnsi="仿宋" w:hint="eastAsia"/>
          <w:szCs w:val="21"/>
        </w:rPr>
        <w:t>1．合同自然终止:甲乙双方各自完成合同规定的责任和义务，合同自然终止。</w:t>
      </w:r>
    </w:p>
    <w:p>
      <w:pPr>
        <w:spacing w:line="580" w:lineRule="exact"/>
        <w:ind w:firstLineChars="200" w:firstLine="420"/>
        <w:rPr>
          <w:rFonts w:ascii="仿宋" w:eastAsia="仿宋" w:hAnsi="仿宋" w:hint="eastAsia"/>
          <w:szCs w:val="21"/>
        </w:rPr>
      </w:pPr>
      <w:r>
        <w:rPr>
          <w:rFonts w:ascii="仿宋" w:eastAsia="仿宋" w:hAnsi="仿宋" w:hint="eastAsia"/>
          <w:szCs w:val="21"/>
        </w:rPr>
        <w:t>2．乙方有下列情形之一的，甲方</w:t>
      </w:r>
      <w:r>
        <w:rPr>
          <w:rFonts w:ascii="仿宋" w:eastAsia="仿宋" w:hAnsi="仿宋"/>
          <w:szCs w:val="21"/>
        </w:rPr>
        <w:t>有权</w:t>
      </w:r>
      <w:r>
        <w:rPr>
          <w:rFonts w:ascii="仿宋" w:eastAsia="仿宋" w:hAnsi="仿宋" w:hint="eastAsia"/>
          <w:szCs w:val="21"/>
        </w:rPr>
        <w:t>终止部分或全部合同:</w:t>
      </w:r>
    </w:p>
    <w:p>
      <w:pPr>
        <w:spacing w:line="580" w:lineRule="exact"/>
        <w:ind w:firstLineChars="200" w:firstLine="420"/>
        <w:rPr>
          <w:rFonts w:ascii="仿宋" w:eastAsia="仿宋" w:hAnsi="仿宋" w:hint="eastAsia"/>
          <w:szCs w:val="21"/>
        </w:rPr>
      </w:pPr>
      <w:r>
        <w:rPr>
          <w:rFonts w:ascii="仿宋" w:eastAsia="仿宋" w:hAnsi="仿宋" w:hint="eastAsia"/>
          <w:szCs w:val="21"/>
        </w:rPr>
        <w:t>(1)如果乙方未能按合同规定提供服务；</w:t>
      </w:r>
    </w:p>
    <w:p>
      <w:pPr>
        <w:spacing w:line="580" w:lineRule="exact"/>
        <w:ind w:firstLineChars="200" w:firstLine="420"/>
        <w:rPr>
          <w:rFonts w:ascii="仿宋" w:eastAsia="仿宋" w:hAnsi="仿宋"/>
          <w:szCs w:val="21"/>
        </w:rPr>
      </w:pPr>
      <w:r>
        <w:rPr>
          <w:rFonts w:ascii="仿宋" w:eastAsia="仿宋" w:hAnsi="仿宋" w:hint="eastAsia"/>
          <w:szCs w:val="21"/>
        </w:rPr>
        <w:t>(2)如果乙方</w:t>
      </w:r>
      <w:r>
        <w:rPr>
          <w:rFonts w:ascii="仿宋" w:eastAsia="仿宋" w:hAnsi="仿宋"/>
          <w:szCs w:val="21"/>
        </w:rPr>
        <w:t>拒绝或迟报审核数据</w:t>
      </w:r>
      <w:r>
        <w:rPr>
          <w:rFonts w:ascii="仿宋" w:eastAsia="仿宋" w:hAnsi="仿宋" w:hint="eastAsia"/>
          <w:szCs w:val="21"/>
        </w:rPr>
        <w:t>；</w:t>
      </w:r>
    </w:p>
    <w:p>
      <w:pPr>
        <w:spacing w:line="580" w:lineRule="exact"/>
        <w:ind w:firstLineChars="200" w:firstLine="420"/>
        <w:rPr>
          <w:rFonts w:ascii="仿宋" w:eastAsia="仿宋" w:hAnsi="仿宋"/>
          <w:szCs w:val="21"/>
        </w:rPr>
      </w:pPr>
      <w:r>
        <w:rPr>
          <w:rFonts w:ascii="仿宋" w:eastAsia="仿宋" w:hAnsi="仿宋" w:hint="eastAsia"/>
          <w:szCs w:val="21"/>
        </w:rPr>
        <w:t>(3)如果乙方</w:t>
      </w:r>
      <w:r>
        <w:rPr>
          <w:rFonts w:ascii="仿宋" w:eastAsia="仿宋" w:hAnsi="仿宋"/>
          <w:szCs w:val="21"/>
        </w:rPr>
        <w:t>拖延、阻碍、拒绝质量检查</w:t>
      </w:r>
      <w:r>
        <w:rPr>
          <w:rFonts w:ascii="仿宋" w:eastAsia="仿宋" w:hAnsi="仿宋" w:hint="eastAsia"/>
          <w:szCs w:val="21"/>
        </w:rPr>
        <w:t>；</w:t>
      </w:r>
    </w:p>
    <w:p>
      <w:pPr>
        <w:spacing w:line="580" w:lineRule="exact"/>
        <w:ind w:firstLineChars="200" w:firstLine="420"/>
        <w:rPr>
          <w:rFonts w:ascii="仿宋" w:eastAsia="仿宋" w:hAnsi="仿宋" w:hint="eastAsia"/>
          <w:szCs w:val="21"/>
        </w:rPr>
      </w:pPr>
      <w:r>
        <w:rPr>
          <w:rFonts w:ascii="仿宋" w:eastAsia="仿宋" w:hAnsi="仿宋" w:hint="eastAsia"/>
          <w:szCs w:val="21"/>
        </w:rPr>
        <w:t>(4)如果乙方存在</w:t>
      </w:r>
      <w:r>
        <w:rPr>
          <w:rFonts w:ascii="仿宋" w:eastAsia="仿宋" w:hAnsi="仿宋"/>
          <w:szCs w:val="21"/>
        </w:rPr>
        <w:t>《环境监测数据弄虚作假行为判定及处理办法》中规定的篡改、伪造或者指使篡改、伪造监测数据等行为</w:t>
      </w:r>
      <w:r>
        <w:rPr>
          <w:rFonts w:ascii="仿宋" w:eastAsia="仿宋" w:hAnsi="仿宋" w:hint="eastAsia"/>
          <w:szCs w:val="21"/>
        </w:rPr>
        <w:t>；</w:t>
      </w:r>
    </w:p>
    <w:p>
      <w:pPr>
        <w:spacing w:line="580" w:lineRule="exact"/>
        <w:ind w:firstLineChars="200" w:firstLine="420"/>
        <w:rPr>
          <w:rFonts w:ascii="仿宋" w:eastAsia="仿宋" w:hAnsi="仿宋" w:hint="eastAsia"/>
          <w:szCs w:val="21"/>
        </w:rPr>
      </w:pPr>
      <w:r>
        <w:rPr>
          <w:rFonts w:ascii="仿宋" w:eastAsia="仿宋" w:hAnsi="仿宋" w:hint="eastAsia"/>
          <w:szCs w:val="21"/>
        </w:rPr>
        <w:t>(</w:t>
      </w:r>
      <w:r>
        <w:rPr>
          <w:rFonts w:ascii="仿宋" w:eastAsia="仿宋" w:hAnsi="仿宋"/>
          <w:szCs w:val="21"/>
        </w:rPr>
        <w:t>5</w:t>
      </w:r>
      <w:r>
        <w:rPr>
          <w:rFonts w:ascii="仿宋" w:eastAsia="仿宋" w:hAnsi="仿宋" w:hint="eastAsia"/>
          <w:szCs w:val="21"/>
        </w:rPr>
        <w:t>)因乙方破产而终止合同。如果乙方破产或无清偿能力，甲方可在任何时候以书面形式通知乙方，提出终止合同而不给乙方补偿。该合同的终止将不损害或影响甲方已经采取或将要采取的任何行动或补救措施的权力。</w:t>
      </w:r>
    </w:p>
    <w:p>
      <w:pPr>
        <w:pStyle w:val="4"/>
        <w:tabs>
          <w:tab w:val="left" w:pos="425"/>
          <w:tab w:val="left" w:pos="992"/>
        </w:tabs>
        <w:rPr>
          <w:rFonts w:hAnsi="黑体"/>
        </w:rPr>
      </w:pPr>
      <w:r>
        <w:rPr>
          <w:rFonts w:hAnsi="黑体"/>
        </w:rPr>
        <w:t>第十一条  合同纠纷的解决</w:t>
      </w:r>
    </w:p>
    <w:p>
      <w:pPr>
        <w:adjustRightInd w:val="0"/>
        <w:snapToGrid w:val="0"/>
        <w:spacing w:line="580" w:lineRule="exact"/>
        <w:ind w:firstLineChars="200" w:firstLine="420"/>
        <w:rPr>
          <w:rFonts w:ascii="仿宋" w:eastAsia="仿宋" w:hAnsi="仿宋" w:hint="eastAsia"/>
          <w:szCs w:val="21"/>
        </w:rPr>
      </w:pPr>
      <w:r>
        <w:rPr>
          <w:rFonts w:ascii="仿宋" w:eastAsia="仿宋" w:hAnsi="仿宋" w:hint="eastAsia"/>
          <w:szCs w:val="21"/>
        </w:rPr>
        <w:t>合同实施或与合同有关的一切纠纷，甲乙双方首先应通过友好协商解决，如果协商仍得不到解决，可向甲方所在地人民法院提起诉讼。</w:t>
      </w:r>
    </w:p>
    <w:p>
      <w:pPr>
        <w:pStyle w:val="4"/>
        <w:tabs>
          <w:tab w:val="left" w:pos="425"/>
          <w:tab w:val="left" w:pos="992"/>
        </w:tabs>
        <w:spacing w:line="360" w:lineRule="auto"/>
        <w:outlineLvl w:val="3"/>
        <w:rPr>
          <w:rFonts w:hAnsi="黑体"/>
          <w:b/>
        </w:rPr>
      </w:pPr>
      <w:r>
        <w:rPr>
          <w:rFonts w:hAnsi="黑体"/>
          <w:b/>
        </w:rPr>
        <w:t>第十二条  合同生效及其他</w:t>
      </w:r>
    </w:p>
    <w:p>
      <w:pPr>
        <w:snapToGrid w:val="0"/>
        <w:spacing w:line="580" w:lineRule="exact"/>
        <w:ind w:firstLineChars="200" w:firstLine="420"/>
        <w:rPr>
          <w:rFonts w:ascii="仿宋" w:eastAsia="仿宋" w:hAnsi="仿宋" w:hint="eastAsia"/>
          <w:szCs w:val="21"/>
        </w:rPr>
      </w:pPr>
      <w:r>
        <w:rPr>
          <w:rFonts w:ascii="仿宋" w:eastAsia="仿宋" w:hAnsi="仿宋" w:hint="eastAsia"/>
          <w:szCs w:val="21"/>
        </w:rPr>
        <w:t>1．本合同于</w:t>
      </w:r>
      <w:r>
        <w:rPr>
          <w:rFonts w:ascii="楷体" w:eastAsia="楷体" w:hAnsi="楷体" w:hint="eastAsia"/>
          <w:szCs w:val="21"/>
          <w:u w:val="single"/>
          <w:lang w:val="en-US" w:eastAsia="zh-CN"/>
        </w:rPr>
        <w:t xml:space="preserve">     </w:t>
      </w:r>
      <w:r>
        <w:rPr>
          <w:rFonts w:ascii="楷体" w:eastAsia="楷体" w:hAnsi="楷体" w:hint="eastAsia"/>
          <w:szCs w:val="21"/>
          <w:u w:val="single"/>
        </w:rPr>
        <w:t>年</w:t>
      </w:r>
      <w:r>
        <w:rPr>
          <w:rFonts w:ascii="楷体" w:eastAsia="楷体" w:hAnsi="楷体" w:hint="eastAsia"/>
          <w:szCs w:val="21"/>
          <w:u w:val="single"/>
          <w:lang w:val="en-US" w:eastAsia="zh-CN"/>
        </w:rPr>
        <w:t xml:space="preserve">  </w:t>
      </w:r>
      <w:r>
        <w:rPr>
          <w:rFonts w:ascii="楷体" w:eastAsia="楷体" w:hAnsi="楷体" w:hint="eastAsia"/>
          <w:szCs w:val="21"/>
          <w:u w:val="single"/>
        </w:rPr>
        <w:t>月</w:t>
      </w:r>
      <w:r>
        <w:rPr>
          <w:rFonts w:ascii="楷体" w:eastAsia="楷体" w:hAnsi="楷体" w:hint="eastAsia"/>
          <w:szCs w:val="21"/>
          <w:u w:val="single"/>
          <w:lang w:val="en-US" w:eastAsia="zh-CN"/>
        </w:rPr>
        <w:t xml:space="preserve">   </w:t>
      </w:r>
      <w:r>
        <w:rPr>
          <w:rFonts w:ascii="楷体" w:eastAsia="楷体" w:hAnsi="楷体" w:hint="eastAsia"/>
          <w:szCs w:val="21"/>
          <w:u w:val="single"/>
        </w:rPr>
        <w:t>日</w:t>
      </w:r>
      <w:r>
        <w:rPr>
          <w:rFonts w:ascii="仿宋" w:eastAsia="仿宋" w:hAnsi="仿宋" w:hint="eastAsia"/>
          <w:szCs w:val="21"/>
        </w:rPr>
        <w:t>在</w:t>
      </w:r>
      <w:r>
        <w:rPr>
          <w:rFonts w:ascii="楷体" w:eastAsia="楷体" w:hAnsi="楷体" w:hint="eastAsia"/>
          <w:szCs w:val="21"/>
          <w:u w:val="single"/>
          <w:lang w:val="en-US" w:eastAsia="zh-CN"/>
        </w:rPr>
        <w:t xml:space="preserve">      </w:t>
      </w:r>
      <w:r>
        <w:rPr>
          <w:rFonts w:ascii="仿宋" w:eastAsia="仿宋" w:hAnsi="仿宋" w:hint="eastAsia"/>
          <w:szCs w:val="21"/>
        </w:rPr>
        <w:t>签订，经双方签字盖章后开始生效。</w:t>
      </w:r>
    </w:p>
    <w:p>
      <w:pPr>
        <w:snapToGrid w:val="0"/>
        <w:spacing w:line="580" w:lineRule="exact"/>
        <w:ind w:firstLineChars="200" w:firstLine="420"/>
        <w:rPr>
          <w:rFonts w:ascii="仿宋" w:eastAsia="仿宋" w:hAnsi="仿宋"/>
          <w:szCs w:val="21"/>
        </w:rPr>
      </w:pPr>
      <w:r>
        <w:rPr>
          <w:rFonts w:ascii="仿宋" w:eastAsia="仿宋" w:hAnsi="仿宋" w:hint="eastAsia"/>
          <w:szCs w:val="21"/>
        </w:rPr>
        <w:t>2．本合同一式六份，甲方执四份、乙方执二份。</w:t>
      </w:r>
      <w:r>
        <w:rPr>
          <w:rFonts w:ascii="仿宋" w:eastAsia="仿宋" w:hAnsi="仿宋"/>
          <w:szCs w:val="21"/>
        </w:rPr>
        <w:t xml:space="preserve"> </w:t>
      </w:r>
    </w:p>
    <w:p>
      <w:pPr>
        <w:snapToGrid w:val="0"/>
        <w:spacing w:line="580" w:lineRule="exact"/>
        <w:ind w:firstLineChars="200" w:firstLine="420"/>
        <w:rPr>
          <w:rFonts w:ascii="仿宋" w:eastAsia="仿宋" w:hAnsi="仿宋" w:hint="eastAsia"/>
          <w:szCs w:val="21"/>
        </w:rPr>
      </w:pPr>
      <w:r>
        <w:rPr>
          <w:rFonts w:ascii="仿宋" w:eastAsia="仿宋" w:hAnsi="仿宋" w:hint="eastAsia"/>
          <w:szCs w:val="21"/>
        </w:rPr>
        <w:t>3．合同附件、本项目的招标文件、乙方的投标文件均作为本项目合同书的组成部分，互为补充，以最高要求为准。</w:t>
      </w:r>
    </w:p>
    <w:p>
      <w:pPr>
        <w:snapToGrid w:val="0"/>
        <w:spacing w:line="580" w:lineRule="exact"/>
        <w:ind w:firstLineChars="200" w:firstLine="420"/>
        <w:rPr>
          <w:rFonts w:ascii="仿宋" w:eastAsia="仿宋" w:hAnsi="仿宋" w:hint="eastAsia"/>
          <w:szCs w:val="21"/>
        </w:rPr>
      </w:pPr>
      <w:r>
        <w:rPr>
          <w:rFonts w:ascii="仿宋" w:eastAsia="仿宋" w:hAnsi="仿宋"/>
          <w:szCs w:val="21"/>
        </w:rPr>
        <w:t>4</w:t>
      </w:r>
      <w:r>
        <w:rPr>
          <w:rFonts w:ascii="仿宋" w:eastAsia="仿宋" w:hAnsi="仿宋" w:hint="eastAsia"/>
          <w:szCs w:val="21"/>
        </w:rPr>
        <w:t>，如需补充合同内容，经双方协商签署补充协议，作为本合同的一个组成部分，具有同等法律效力。</w:t>
      </w:r>
    </w:p>
    <w:p>
      <w:pPr>
        <w:adjustRightInd w:val="0"/>
        <w:snapToGrid w:val="0"/>
        <w:spacing w:line="600" w:lineRule="exact"/>
        <w:ind w:left="0"/>
        <w:rPr>
          <w:rFonts w:ascii="楷体" w:eastAsia="楷体" w:hAnsi="楷体" w:hint="eastAsia"/>
          <w:szCs w:val="21"/>
        </w:rPr>
      </w:pPr>
      <w:r>
        <w:rPr>
          <w:rFonts w:ascii="楷体" w:eastAsia="楷体" w:hAnsi="楷体" w:hint="eastAsia"/>
          <w:szCs w:val="21"/>
        </w:rPr>
        <w:t>甲方（公章）：</w:t>
      </w:r>
      <w:r>
        <w:rPr>
          <w:rFonts w:ascii="楷体" w:eastAsia="楷体" w:hAnsi="楷体"/>
          <w:szCs w:val="21"/>
        </w:rPr>
        <w:t xml:space="preserve">                 </w:t>
      </w:r>
      <w:r>
        <w:rPr>
          <w:rFonts w:ascii="楷体" w:eastAsia="楷体" w:hAnsi="楷体" w:hint="eastAsia"/>
          <w:szCs w:val="21"/>
        </w:rPr>
        <w:t xml:space="preserve"> </w:t>
      </w:r>
      <w:r>
        <w:rPr>
          <w:rFonts w:ascii="楷体" w:eastAsia="楷体" w:hAnsi="楷体"/>
          <w:szCs w:val="21"/>
        </w:rPr>
        <w:t xml:space="preserve">  </w:t>
      </w:r>
      <w:r>
        <w:rPr>
          <w:rFonts w:ascii="楷体" w:eastAsia="楷体" w:hAnsi="楷体" w:hint="eastAsia"/>
          <w:szCs w:val="21"/>
        </w:rPr>
        <w:t>乙方（公章）：</w:t>
      </w:r>
    </w:p>
    <w:p>
      <w:pPr>
        <w:adjustRightInd w:val="0"/>
        <w:snapToGrid w:val="0"/>
        <w:spacing w:line="600" w:lineRule="exact"/>
        <w:rPr>
          <w:rFonts w:ascii="楷体" w:eastAsia="楷体" w:hAnsi="楷体"/>
          <w:szCs w:val="21"/>
        </w:rPr>
      </w:pPr>
      <w:r>
        <w:rPr>
          <w:rFonts w:ascii="楷体" w:eastAsia="楷体" w:hAnsi="楷体" w:hint="eastAsia"/>
          <w:szCs w:val="21"/>
        </w:rPr>
        <w:t>法定代表人或</w:t>
      </w:r>
      <w:r>
        <w:rPr>
          <w:rFonts w:ascii="楷体" w:eastAsia="楷体" w:hAnsi="楷体"/>
          <w:szCs w:val="21"/>
        </w:rPr>
        <w:t xml:space="preserve">                      </w:t>
      </w:r>
      <w:r>
        <w:rPr>
          <w:rFonts w:ascii="楷体" w:eastAsia="楷体" w:hAnsi="楷体" w:hint="eastAsia"/>
          <w:szCs w:val="21"/>
        </w:rPr>
        <w:t>法定代表人或</w:t>
      </w:r>
    </w:p>
    <w:p>
      <w:pPr>
        <w:adjustRightInd w:val="0"/>
        <w:snapToGrid w:val="0"/>
        <w:spacing w:line="600" w:lineRule="exact"/>
        <w:rPr>
          <w:rFonts w:ascii="楷体" w:eastAsia="楷体" w:hAnsi="楷体"/>
          <w:szCs w:val="21"/>
        </w:rPr>
      </w:pPr>
      <w:r>
        <w:rPr>
          <w:rFonts w:ascii="楷体" w:eastAsia="楷体" w:hAnsi="楷体" w:hint="eastAsia"/>
          <w:szCs w:val="21"/>
        </w:rPr>
        <w:t>委托代理人（签字）：</w:t>
      </w:r>
      <w:r>
        <w:rPr>
          <w:rFonts w:ascii="楷体" w:eastAsia="楷体" w:hAnsi="楷体"/>
          <w:szCs w:val="21"/>
          <w:u w:val="single"/>
        </w:rPr>
        <w:t xml:space="preserve">         </w:t>
      </w:r>
      <w:r>
        <w:rPr>
          <w:rFonts w:ascii="楷体" w:eastAsia="楷体" w:hAnsi="楷体"/>
          <w:szCs w:val="21"/>
        </w:rPr>
        <w:t xml:space="preserve">     </w:t>
      </w:r>
      <w:r>
        <w:rPr>
          <w:rFonts w:ascii="楷体" w:eastAsia="楷体" w:hAnsi="楷体" w:hint="eastAsia"/>
          <w:szCs w:val="21"/>
        </w:rPr>
        <w:t>委托代理人（签字）：</w:t>
      </w:r>
      <w:r>
        <w:rPr>
          <w:rFonts w:ascii="楷体" w:eastAsia="楷体" w:hAnsi="楷体"/>
          <w:szCs w:val="21"/>
          <w:u w:val="single"/>
        </w:rPr>
        <w:t xml:space="preserve">      </w:t>
      </w:r>
      <w:r>
        <w:rPr>
          <w:rFonts w:ascii="楷体" w:eastAsia="楷体" w:hAnsi="楷体" w:hint="eastAsia"/>
          <w:szCs w:val="21"/>
          <w:u w:val="single"/>
        </w:rPr>
        <w:t xml:space="preserve">    </w:t>
      </w:r>
      <w:r>
        <w:rPr>
          <w:rFonts w:ascii="楷体" w:eastAsia="楷体" w:hAnsi="楷体"/>
          <w:szCs w:val="21"/>
          <w:u w:val="single"/>
        </w:rPr>
        <w:t xml:space="preserve">   </w:t>
      </w:r>
    </w:p>
    <w:p>
      <w:pPr>
        <w:adjustRightInd w:val="0"/>
        <w:snapToGrid w:val="0"/>
        <w:spacing w:line="600" w:lineRule="exact"/>
        <w:rPr>
          <w:rFonts w:ascii="楷体" w:eastAsia="楷体" w:hAnsi="楷体"/>
          <w:szCs w:val="21"/>
          <w:u w:val="single"/>
        </w:rPr>
      </w:pPr>
      <w:r>
        <w:rPr>
          <w:rFonts w:ascii="楷体" w:eastAsia="楷体" w:hAnsi="楷体" w:hint="eastAsia"/>
          <w:szCs w:val="21"/>
        </w:rPr>
        <w:t>联系电话：</w:t>
      </w:r>
      <w:r>
        <w:rPr>
          <w:rFonts w:ascii="楷体" w:eastAsia="楷体" w:hAnsi="楷体" w:hint="eastAsia"/>
          <w:szCs w:val="21"/>
          <w:u w:val="single"/>
          <w:lang w:val="en-US" w:eastAsia="zh-CN"/>
        </w:rPr>
        <w:t xml:space="preserve">             </w:t>
      </w:r>
      <w:r>
        <w:rPr>
          <w:rFonts w:ascii="楷体" w:eastAsia="楷体" w:hAnsi="楷体"/>
          <w:szCs w:val="21"/>
        </w:rPr>
        <w:t xml:space="preserve">           </w:t>
      </w:r>
      <w:r>
        <w:rPr>
          <w:rFonts w:ascii="楷体" w:eastAsia="楷体" w:hAnsi="楷体" w:hint="eastAsia"/>
          <w:szCs w:val="21"/>
        </w:rPr>
        <w:t>联系电话：</w:t>
      </w:r>
      <w:r>
        <w:rPr>
          <w:rFonts w:ascii="楷体" w:eastAsia="楷体" w:hAnsi="楷体"/>
          <w:szCs w:val="21"/>
        </w:rPr>
        <w:t xml:space="preserve"> </w:t>
      </w:r>
      <w:r>
        <w:rPr>
          <w:rFonts w:ascii="楷体" w:eastAsia="楷体" w:hAnsi="楷体" w:hint="eastAsia"/>
          <w:szCs w:val="21"/>
          <w:u w:val="single"/>
          <w:lang w:val="en-US" w:eastAsia="zh-CN"/>
        </w:rPr>
        <w:t xml:space="preserve">    </w:t>
      </w:r>
      <w:r>
        <w:rPr>
          <w:rFonts w:ascii="楷体" w:eastAsia="楷体" w:hAnsi="楷体" w:hint="eastAsia"/>
          <w:szCs w:val="21"/>
          <w:u w:val="single"/>
        </w:rPr>
        <w:t xml:space="preserve">            </w:t>
      </w:r>
      <w:r>
        <w:rPr>
          <w:rFonts w:ascii="楷体" w:eastAsia="楷体" w:hAnsi="楷体"/>
          <w:szCs w:val="21"/>
          <w:u w:val="single"/>
        </w:rPr>
        <w:tab/>
      </w:r>
    </w:p>
    <w:p>
      <w:pPr>
        <w:adjustRightInd w:val="0"/>
        <w:snapToGrid w:val="0"/>
        <w:spacing w:line="600" w:lineRule="exact"/>
        <w:ind w:left="4307" w:hangingChars="2051" w:hanging="4307"/>
        <w:rPr>
          <w:rFonts w:ascii="楷体" w:eastAsia="楷体" w:hAnsi="楷体"/>
          <w:kern w:val="0"/>
          <w:szCs w:val="21"/>
          <w:u w:val="single"/>
        </w:rPr>
      </w:pPr>
      <w:r>
        <w:rPr>
          <w:rFonts w:ascii="楷体" w:eastAsia="楷体" w:hAnsi="楷体" w:hint="eastAsia"/>
          <w:szCs w:val="21"/>
        </w:rPr>
        <w:t>地</w:t>
      </w:r>
      <w:r>
        <w:rPr>
          <w:rFonts w:ascii="楷体" w:eastAsia="楷体" w:hAnsi="楷体"/>
          <w:szCs w:val="21"/>
        </w:rPr>
        <w:t xml:space="preserve">    </w:t>
      </w:r>
      <w:r>
        <w:rPr>
          <w:rFonts w:ascii="楷体" w:eastAsia="楷体" w:hAnsi="楷体" w:hint="eastAsia"/>
          <w:szCs w:val="21"/>
        </w:rPr>
        <w:t>址：</w:t>
      </w:r>
      <w:r>
        <w:rPr>
          <w:rFonts w:ascii="楷体" w:eastAsia="楷体" w:hAnsi="楷体" w:hint="eastAsia"/>
          <w:szCs w:val="21"/>
          <w:u w:val="single"/>
          <w:lang w:val="en-US" w:eastAsia="zh-CN"/>
        </w:rPr>
        <w:t xml:space="preserve">              </w:t>
      </w:r>
      <w:r>
        <w:rPr>
          <w:rFonts w:ascii="楷体" w:eastAsia="楷体" w:hAnsi="楷体"/>
          <w:szCs w:val="21"/>
        </w:rPr>
        <w:t xml:space="preserve">      </w:t>
      </w:r>
      <w:r>
        <w:rPr>
          <w:rFonts w:ascii="楷体" w:eastAsia="楷体" w:hAnsi="楷体" w:hint="eastAsia"/>
          <w:szCs w:val="21"/>
          <w:lang w:val="en-US" w:eastAsia="zh-CN"/>
        </w:rPr>
        <w:t xml:space="preserve">    </w:t>
      </w:r>
      <w:r>
        <w:rPr>
          <w:rFonts w:ascii="楷体" w:eastAsia="楷体" w:hAnsi="楷体" w:hint="eastAsia"/>
          <w:szCs w:val="21"/>
        </w:rPr>
        <w:t>地</w:t>
      </w:r>
      <w:r>
        <w:rPr>
          <w:rFonts w:ascii="楷体" w:eastAsia="楷体" w:hAnsi="楷体"/>
          <w:szCs w:val="21"/>
        </w:rPr>
        <w:t xml:space="preserve">    </w:t>
      </w:r>
      <w:r>
        <w:rPr>
          <w:rFonts w:ascii="楷体" w:eastAsia="楷体" w:hAnsi="楷体" w:hint="eastAsia"/>
          <w:szCs w:val="21"/>
        </w:rPr>
        <w:t>址：</w:t>
      </w:r>
      <w:r>
        <w:rPr>
          <w:rFonts w:ascii="楷体" w:eastAsia="楷体" w:hAnsi="楷体" w:hint="eastAsia"/>
          <w:kern w:val="0"/>
          <w:szCs w:val="21"/>
          <w:u w:val="single"/>
          <w:lang w:val="en-US" w:eastAsia="zh-CN"/>
        </w:rPr>
        <w:t xml:space="preserve">        </w:t>
      </w:r>
      <w:r>
        <w:rPr>
          <w:rFonts w:ascii="楷体" w:eastAsia="楷体" w:hAnsi="楷体" w:hint="eastAsia"/>
          <w:kern w:val="0"/>
          <w:szCs w:val="21"/>
          <w:u w:val="single"/>
        </w:rPr>
        <w:t xml:space="preserve">           </w:t>
      </w:r>
    </w:p>
    <w:p>
      <w:pPr>
        <w:adjustRightInd w:val="0"/>
        <w:snapToGrid w:val="0"/>
        <w:spacing w:line="600" w:lineRule="exact"/>
        <w:rPr>
          <w:rFonts w:ascii="楷体" w:eastAsia="楷体" w:hAnsi="楷体"/>
          <w:szCs w:val="21"/>
        </w:rPr>
      </w:pPr>
      <w:r>
        <w:rPr>
          <w:rFonts w:ascii="楷体" w:eastAsia="楷体" w:hAnsi="楷体" w:hint="eastAsia"/>
          <w:spacing w:val="-11"/>
          <w:szCs w:val="21"/>
          <w:lang w:val="en-US" w:eastAsia="zh-CN"/>
        </w:rPr>
        <w:t xml:space="preserve">                   </w:t>
      </w:r>
      <w:r>
        <w:rPr>
          <w:rFonts w:ascii="楷体" w:eastAsia="楷体" w:hAnsi="楷体"/>
          <w:spacing w:val="-11"/>
          <w:szCs w:val="21"/>
        </w:rPr>
        <w:t xml:space="preserve"> </w:t>
      </w:r>
      <w:r>
        <w:rPr>
          <w:rFonts w:ascii="楷体" w:eastAsia="楷体" w:hAnsi="楷体"/>
          <w:szCs w:val="21"/>
        </w:rPr>
        <w:t xml:space="preserve"> </w:t>
      </w:r>
      <w:r>
        <w:rPr>
          <w:rFonts w:ascii="楷体" w:eastAsia="楷体" w:hAnsi="楷体"/>
          <w:spacing w:val="11"/>
          <w:szCs w:val="21"/>
        </w:rPr>
        <w:t xml:space="preserve">  </w:t>
      </w:r>
      <w:r>
        <w:rPr>
          <w:rFonts w:ascii="楷体" w:eastAsia="楷体" w:hAnsi="楷体" w:hint="eastAsia"/>
          <w:spacing w:val="11"/>
          <w:szCs w:val="21"/>
          <w:lang w:val="en-US" w:eastAsia="zh-CN"/>
        </w:rPr>
        <w:t xml:space="preserve">            </w:t>
      </w:r>
      <w:r>
        <w:rPr>
          <w:rFonts w:ascii="楷体" w:eastAsia="楷体" w:hAnsi="楷体" w:hint="eastAsia"/>
          <w:szCs w:val="21"/>
        </w:rPr>
        <w:t>开户银行：</w:t>
      </w:r>
      <w:r>
        <w:rPr>
          <w:rFonts w:ascii="楷体" w:eastAsia="楷体" w:hAnsi="楷体" w:hint="eastAsia"/>
          <w:kern w:val="0"/>
          <w:szCs w:val="21"/>
          <w:u w:val="single"/>
          <w:lang w:val="en-US" w:eastAsia="zh-CN"/>
        </w:rPr>
        <w:t xml:space="preserve">         </w:t>
      </w:r>
      <w:r>
        <w:rPr>
          <w:rFonts w:ascii="楷体" w:eastAsia="楷体" w:hAnsi="楷体" w:hint="eastAsia"/>
          <w:kern w:val="0"/>
          <w:szCs w:val="21"/>
          <w:u w:val="single"/>
        </w:rPr>
        <w:t xml:space="preserve">           </w:t>
      </w:r>
    </w:p>
    <w:p>
      <w:pPr>
        <w:adjustRightInd w:val="0"/>
        <w:snapToGrid w:val="0"/>
        <w:spacing w:line="600" w:lineRule="exact"/>
        <w:ind w:firstLineChars="1700" w:firstLine="3570"/>
        <w:rPr>
          <w:rFonts w:ascii="楷体" w:eastAsia="楷体" w:hAnsi="楷体"/>
          <w:kern w:val="0"/>
          <w:szCs w:val="21"/>
          <w:u w:val="single"/>
        </w:rPr>
      </w:pPr>
      <w:r>
        <w:rPr>
          <w:rFonts w:ascii="楷体" w:eastAsia="楷体" w:hAnsi="楷体" w:hint="eastAsia"/>
          <w:szCs w:val="21"/>
        </w:rPr>
        <w:t>账  号：</w:t>
      </w:r>
      <w:r>
        <w:rPr>
          <w:rFonts w:ascii="楷体" w:eastAsia="楷体" w:hAnsi="楷体" w:hint="eastAsia"/>
          <w:kern w:val="0"/>
          <w:szCs w:val="21"/>
          <w:u w:val="single"/>
          <w:lang w:val="en-US" w:eastAsia="zh-CN"/>
        </w:rPr>
        <w:t xml:space="preserve">                     </w:t>
      </w:r>
      <w:r>
        <w:rPr>
          <w:rFonts w:ascii="楷体" w:eastAsia="楷体" w:hAnsi="楷体" w:hint="eastAsia"/>
          <w:kern w:val="0"/>
          <w:szCs w:val="21"/>
          <w:u w:val="single"/>
        </w:rPr>
        <w:t xml:space="preserve"> </w:t>
      </w:r>
    </w:p>
    <w:p>
      <w:pPr>
        <w:widowControl/>
        <w:snapToGrid w:val="0"/>
        <w:spacing w:line="440" w:lineRule="exact"/>
        <w:ind w:firstLine="420"/>
        <w:jc w:val="left"/>
        <w:rPr>
          <w:rFonts w:ascii="楷体" w:eastAsia="楷体" w:hAnsi="楷体" w:hint="eastAsia"/>
          <w:kern w:val="0"/>
          <w:sz w:val="24"/>
          <w:szCs w:val="24"/>
        </w:rPr>
      </w:pPr>
    </w:p>
    <w:p>
      <w:pPr>
        <w:widowControl/>
        <w:spacing w:beforeLines="100" w:before="312"/>
        <w:jc w:val="left"/>
        <w:rPr>
          <w:rFonts w:ascii="楷体" w:eastAsia="楷体" w:cs="宋体" w:hAnsi="楷体"/>
          <w:b/>
          <w:bCs/>
          <w:sz w:val="28"/>
          <w:szCs w:val="28"/>
        </w:rPr>
        <w:sectPr>
          <w:footerReference w:type="default" r:id="rId6"/>
          <w:pgSz w:w="11906" w:h="16838"/>
          <w:pgMar w:top="1440" w:right="1474" w:bottom="1440" w:left="1588" w:header="720" w:footer="720" w:gutter="0"/>
          <w:cols w:num="1" w:space="720"/>
          <w:docGrid w:type="lines" w:linePitch="312" w:charSpace="0"/>
        </w:sectPr>
      </w:pPr>
    </w:p>
    <w:p>
      <w:pPr>
        <w:spacing w:beforeAutospacing="0" w:afterAutospacing="0" w:line="360" w:lineRule="auto"/>
        <w:rPr>
          <w:rFonts w:hint="eastAsia"/>
          <w:b/>
          <w:bCs/>
          <w:sz w:val="22"/>
          <w:szCs w:val="22"/>
        </w:rPr>
      </w:pPr>
      <w:r>
        <w:rPr>
          <w:rFonts w:hint="eastAsia"/>
          <w:b/>
          <w:bCs/>
          <w:sz w:val="22"/>
          <w:szCs w:val="22"/>
        </w:rPr>
        <w:t>附件：运维服务内容</w:t>
      </w:r>
      <w:bookmarkStart w:id="82" w:name="_Toc20348"/>
      <w:bookmarkStart w:id="83" w:name="_Toc529763287"/>
    </w:p>
    <w:p>
      <w:pPr>
        <w:spacing w:line="360" w:lineRule="auto"/>
        <w:ind w:firstLineChars="200" w:firstLine="480"/>
        <w:rPr>
          <w:rFonts w:ascii="宋体" w:cs="宋体" w:hAnsi="宋体" w:hint="eastAsia"/>
          <w:b/>
          <w:bCs/>
          <w:sz w:val="24"/>
          <w:szCs w:val="24"/>
        </w:rPr>
      </w:pPr>
      <w:bookmarkEnd w:id="82"/>
      <w:bookmarkEnd w:id="83"/>
      <w:r>
        <w:rPr>
          <w:rFonts w:ascii="宋体" w:cs="宋体" w:hAnsi="宋体" w:hint="eastAsia"/>
          <w:b/>
          <w:bCs/>
          <w:sz w:val="24"/>
          <w:szCs w:val="24"/>
        </w:rPr>
        <w:t>1.运维服务内容</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(1)定期更换水站仪表所需试剂。供应商对此供应能力需提供相应的承诺函。使用纯水和试剂须达到相关技术要求。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(2)提供并定期更换水站系统和仪表</w:t>
      </w:r>
      <w:r>
        <w:rPr>
          <w:rFonts w:ascii="宋体" w:cs="宋体" w:hAnsi="宋体" w:hint="eastAsia"/>
          <w:sz w:val="24"/>
          <w:szCs w:val="24"/>
          <w:lang w:val="en-US" w:eastAsia="zh-CN"/>
        </w:rPr>
        <w:t>常规易损</w:t>
      </w:r>
      <w:r>
        <w:rPr>
          <w:rFonts w:ascii="宋体" w:cs="宋体" w:hAnsi="宋体" w:hint="eastAsia"/>
          <w:sz w:val="24"/>
          <w:szCs w:val="24"/>
        </w:rPr>
        <w:t>耗材，关键部件不能超期使用，更换各类易损部件应重新标定仪器。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(3)对水站系统和仪表进行定期检修、保养。每月至少清洗</w:t>
      </w:r>
      <w:r>
        <w:rPr>
          <w:rFonts w:ascii="宋体" w:cs="宋体" w:hAnsi="宋体" w:hint="eastAsia"/>
          <w:sz w:val="24"/>
          <w:szCs w:val="24"/>
          <w:lang w:val="en-US" w:eastAsia="zh-CN"/>
        </w:rPr>
        <w:t>2</w:t>
      </w:r>
      <w:r>
        <w:rPr>
          <w:rFonts w:ascii="宋体" w:cs="宋体" w:hAnsi="宋体" w:hint="eastAsia"/>
          <w:sz w:val="24"/>
          <w:szCs w:val="24"/>
        </w:rPr>
        <w:t>次取水管路、测量池、沉淀池、测量杯、过滤芯、配水管路</w:t>
      </w:r>
      <w:r>
        <w:rPr>
          <w:rFonts w:ascii="宋体" w:cs="宋体" w:hAnsi="宋体" w:hint="eastAsia"/>
          <w:sz w:val="24"/>
          <w:szCs w:val="24"/>
          <w:lang w:eastAsia="zh-CN"/>
        </w:rPr>
        <w:t>、</w:t>
      </w:r>
      <w:r>
        <w:rPr>
          <w:rFonts w:ascii="宋体" w:cs="宋体" w:hAnsi="宋体" w:hint="eastAsia"/>
          <w:sz w:val="24"/>
          <w:szCs w:val="24"/>
        </w:rPr>
        <w:t>测量</w:t>
      </w:r>
      <w:r>
        <w:rPr>
          <w:rFonts w:ascii="宋体" w:cs="宋体" w:hAnsi="宋体" w:hint="eastAsia"/>
          <w:sz w:val="24"/>
          <w:szCs w:val="24"/>
          <w:lang w:val="en-US" w:eastAsia="zh-CN"/>
        </w:rPr>
        <w:t>清洗</w:t>
      </w:r>
      <w:r>
        <w:rPr>
          <w:rFonts w:ascii="宋体" w:cs="宋体" w:hAnsi="宋体" w:hint="eastAsia"/>
          <w:sz w:val="24"/>
          <w:szCs w:val="24"/>
        </w:rPr>
        <w:t>电极或探头。</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(4)及时排除水站系统和仪表的故障(由于地震、洪水、战争等不可抗拒因素造成的水站系统及仪器损坏除外)</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(5)对水站仪表进行定期校准、核查、比对、性能测试。监测仪器每年应至少进行1次全面核查，每半年对监测仪器进行1次3-5个浓度点的多点校准。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(6)配合采购人进行水站质量保证和质量质控工作，随时接受采购人工作考核及质量考核。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(7)保证设备仪器的清洁，整齐。</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(8)建立水质自动监测仪器操作规程，运行维护人员必须严格按规范操作，不得以任何理由弄虚作假、修改监测的原始数据和控制参数。</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(9)每两周应对各水站例行巡回检查至少1次，如果有异常情况发生应及时解决。认真、及时做好维护记录，汇总各水站每月巡检的作业情况、维护记录，每月以书面形式报采购人，书面报告作为运行维护考核依据之一，具体包括：</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①水站每月运行数据报表统计</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②水站现场维护记录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③水站仪器设备故障及排除情况登记表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④水站每月运行情况</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⑤水站备品备件管理登记表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⑥水站巡检作业情况</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2.负责前端通讯设备以及监控软件的维护和完善，确保从仪器到监控软件的存储，以及到中心站服务器数据传输稳定准确。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在运营维护及管理期间，运维人员应遵守国家有关法律、法规及其他规定，本着为采购人负责的精神，依照规范科学管理，使各监测监控系统运行达到国家及行业颁布的技术标准和采购人要求的考核指标要求，使水站运行真正发挥其效能和作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4.水、电、通讯网费及财产保护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运营期间所需水费、电费、通讯网费由供应商负责缴纳，委托运营维护及管理的全部资产(包括全部产权和建筑物、设备、软件、配套设施、水站和配套监控系统产生的各类数据信息及相关文档资料)属采购人所有。未经采购人同意，供应商不得以任何方式对各类财产进行出售、抵押或转移；同时，在委托运营及管理期间，供应商有责任保护上述全部资产的完整、安全并处于良好状态，遇到自然灾害等不可抗拒外部因素造成资产损害，供应商应及时向采购人申报，待采购人审批后将由市财政重新采购。</w:t>
      </w:r>
    </w:p>
    <w:p>
      <w:pPr>
        <w:tabs>
          <w:tab w:val="left" w:pos="301"/>
        </w:tabs>
        <w:spacing w:line="360" w:lineRule="auto"/>
        <w:ind w:firstLineChars="200" w:firstLine="480"/>
        <w:rPr>
          <w:rFonts w:ascii="宋体" w:cs="宋体" w:hAnsi="宋体" w:hint="eastAsia"/>
          <w:sz w:val="24"/>
          <w:szCs w:val="24"/>
        </w:rPr>
      </w:pPr>
      <w:r>
        <w:rPr>
          <w:rFonts w:ascii="宋体" w:cs="宋体" w:hAnsi="宋体" w:hint="eastAsia"/>
          <w:sz w:val="24"/>
          <w:szCs w:val="24"/>
        </w:rPr>
        <w:t>(1)点位环境管理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观察站点周边环境的变化，并进行记录。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查看站点外围的道路、供电、通讯、给排水设施等，并进行记录。</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如果发现影响站点代表性和监测正常运行的环境变化，应及时进行处理，并报告中心站。</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（2）站点巡检管理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查看站点的基础设施，包括消防、供电、通讯、给排水设施等。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检查站点外部状况，包括建筑物、站点防漏防渗和天线设施。</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注意站点内部异常气味和噪音，并排查。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检查站点内部设施，包括消防、照明、强弱电和接地、通讯网络、应急设施等。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（3）检查站点排风装置工作是否正常。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（4）保持站点内部卫生整洁。</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（5）记录巡检情况，如果发现影响水质自动监测站安全和不正常运行的情况，应及时进行处理并修复，同时报告环境监测站。</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5.质控要求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(1)更换试剂以后，应进行校准。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(2)当水质自动分析仪器关键部件更换后，应进行多点线性核查，必要时应开展实际水样比对。</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(3)当水质自动分析仪长时间停机应进行多点线性核查和标样核查。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(4)当水质自动分析仪相关质控核查结果数据接近质控要求限值时应及时进行预防性维护。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(5)当水质监测数据异常</w:t>
      </w:r>
      <w:r>
        <w:rPr>
          <w:rFonts w:ascii="宋体" w:cs="宋体" w:hAnsi="宋体" w:hint="eastAsia"/>
          <w:sz w:val="24"/>
          <w:szCs w:val="24"/>
          <w:lang w:val="en-US" w:eastAsia="zh-CN"/>
        </w:rPr>
        <w:t>需进行标样核查以确保设备数据准确度正常</w:t>
      </w:r>
      <w:r>
        <w:rPr>
          <w:rFonts w:ascii="宋体" w:cs="宋体" w:hAnsi="宋体" w:hint="eastAsia"/>
          <w:sz w:val="24"/>
          <w:szCs w:val="24"/>
        </w:rPr>
        <w:t>。</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6.其他要求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(1)基本要求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按采购人及相关文件、规范要求，配备足够的车辆、备品备件和合格的试剂，配齐站点值守人员、配足相应资质和技术技能的运行维护技术员和管理人员，具备符合要求的工作场所，制订覆盖运维全过程的管理制度和相应的作业指导书、日常运行维护维修工作记录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(2)运行维护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水质自动监测站运行维护包括系统设备运行维护、自动检测、月度巡检、远程巡视、定期巡检、</w:t>
      </w:r>
      <w:r>
        <w:rPr>
          <w:rFonts w:ascii="宋体" w:cs="宋体" w:hAnsi="宋体" w:hint="eastAsia"/>
          <w:sz w:val="24"/>
          <w:szCs w:val="24"/>
          <w:lang w:val="en-US" w:eastAsia="zh-CN"/>
        </w:rPr>
        <w:t>周常规</w:t>
      </w:r>
      <w:r>
        <w:rPr>
          <w:rFonts w:ascii="宋体" w:cs="宋体" w:hAnsi="宋体" w:hint="eastAsia"/>
          <w:sz w:val="24"/>
          <w:szCs w:val="24"/>
        </w:rPr>
        <w:t>保养与维护等。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(3)远程巡视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应配备水质自动监测平台专员</w:t>
      </w:r>
      <w:r>
        <w:rPr>
          <w:rFonts w:ascii="宋体" w:cs="宋体" w:hAnsi="宋体" w:hint="eastAsia"/>
          <w:sz w:val="24"/>
          <w:szCs w:val="24"/>
          <w:lang w:val="en-US" w:eastAsia="zh-CN"/>
        </w:rPr>
        <w:t>每周</w:t>
      </w:r>
      <w:r>
        <w:rPr>
          <w:rFonts w:ascii="宋体" w:cs="宋体" w:hAnsi="宋体" w:hint="eastAsia"/>
          <w:sz w:val="24"/>
          <w:szCs w:val="24"/>
        </w:rPr>
        <w:t>对水站运行条件及设备运行状况进行远程查看，并填写《水质自动监测站巡视记录表》,具体工作如下：</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检查数据采集与传输状况，确认是否获取了水站全部仪器的监测数据和过程日志。</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根据仪器质控结果、过程日志判断仪器运行情况及数据的可靠性。</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检查前一天数据上传情况，审核并对数据的真实准确性进行判定，对异常数据进行标记，填写数据审核日志。</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检查采水设施、水位以及站点内外情况，如发现异常，应及时上报。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查看是否存在非法入侵行为。</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当监测数据出现异常时，运维人员应及时远程发送必要的质控测试命令，根据测试结果综合判断数据有效性。一旦确定仪器设备故障或水质发生重大变化，要及时赴现场处理处置。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7.定期巡检</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安排技术人员进行进行定期巡检，巡检频次不少于每两周1次，检查内容应包括下列项目：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(1)检查站点保温措施，保持温度稳定；检查水泵及空压机固定情况，避免仪器振动；检查空压机、不间断电源(UPS)、除藻装置、纯水机等外部保障设施运行状态，及时更换耗材。</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(2)检查水站电路系统是否正常，接地线路是否可靠，检查采样和排水管路是否漏液或堵塞，排水装置工作是否正常。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(3)检查采配水单元是否正常，如采水浮筒固定情况，采水泵运行情况等；定期清洗采配水单元，包括采水头、泵体、沉淀池、过滤头、水样杯、阀门、相关管路等，对于无法清洗干净的应及时更换。</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(4)检查工控机运行状态和主要技术参数，有无中毒现象，至少</w:t>
      </w:r>
      <w:r>
        <w:rPr>
          <w:rFonts w:ascii="宋体" w:cs="宋体" w:hAnsi="宋体" w:hint="eastAsia"/>
          <w:sz w:val="24"/>
          <w:szCs w:val="24"/>
          <w:lang w:val="en-US" w:eastAsia="zh-CN"/>
        </w:rPr>
        <w:t>每季度</w:t>
      </w:r>
      <w:r>
        <w:rPr>
          <w:rFonts w:ascii="宋体" w:cs="宋体" w:hAnsi="宋体" w:hint="eastAsia"/>
          <w:sz w:val="24"/>
          <w:szCs w:val="24"/>
        </w:rPr>
        <w:t>备份一次现场数据。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(5)检查上传至平台的数据和现场数据的一致性；检查仪器与控制单元的通讯线路是否正常。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(6)查看水质自动分析仪及辅助设备的运行状态和主要技术参数，判断运行是否正常；检查有无漏液；进样管路、试剂管路中是否有气泡存在，并及时将气泡排出。</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(7)检查试剂状况，定期添加、更换试剂。所用纯水和试剂须达到相关技术要求，更换周期不得超过规定的试剂保质期。</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(8)及时清除站点周围的杂草和积水，</w:t>
      </w:r>
      <w:r>
        <w:rPr>
          <w:rFonts w:ascii="宋体" w:cs="宋体" w:hAnsi="宋体" w:hint="eastAsia"/>
          <w:sz w:val="24"/>
          <w:szCs w:val="24"/>
          <w:lang w:val="en-US" w:eastAsia="zh-CN"/>
        </w:rPr>
        <w:t>检查</w:t>
      </w:r>
      <w:r>
        <w:rPr>
          <w:rFonts w:ascii="宋体" w:cs="宋体" w:hAnsi="宋体" w:hint="eastAsia"/>
          <w:sz w:val="24"/>
          <w:szCs w:val="24"/>
        </w:rPr>
        <w:t>站点是否有漏水现象，站点外围的其他设施是否有损坏或被水淹。如遇到以上问题要及时处理，保证水站系统安全运行。</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(9)实验废液集中收集，详实记录废液产生、收集情况并留档备查；保持站点及各仪器干净整洁，及时关闭门窗，避免日光直射仪器设备。</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8.日常保养与维护</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分析单元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(1)应依据水质状况、水站环境条件和分析仪器的要求制定易耗品的更换周期，做到定期更换：对使用期限有规定的易耗品，应严格在有效期内使用。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(2)定期清洗和更换仪器进样管。</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(3)建立</w:t>
      </w:r>
      <w:r>
        <w:rPr>
          <w:rFonts w:ascii="宋体" w:cs="宋体" w:hAnsi="宋体" w:hint="eastAsia"/>
          <w:sz w:val="24"/>
          <w:szCs w:val="24"/>
          <w:lang w:val="en-US" w:eastAsia="zh-CN"/>
        </w:rPr>
        <w:t>1000元以内</w:t>
      </w:r>
      <w:r>
        <w:rPr>
          <w:rFonts w:ascii="宋体" w:cs="宋体" w:hAnsi="宋体" w:hint="eastAsia"/>
          <w:sz w:val="24"/>
          <w:szCs w:val="24"/>
        </w:rPr>
        <w:t>零配件和易耗件的</w:t>
      </w:r>
      <w:r>
        <w:rPr>
          <w:rFonts w:ascii="宋体" w:cs="宋体" w:hAnsi="宋体" w:hint="eastAsia"/>
          <w:sz w:val="24"/>
          <w:szCs w:val="24"/>
          <w:lang w:val="en-US" w:eastAsia="zh-CN"/>
        </w:rPr>
        <w:t>配件更换</w:t>
      </w:r>
      <w:r>
        <w:rPr>
          <w:rFonts w:ascii="宋体" w:cs="宋体" w:hAnsi="宋体" w:hint="eastAsia"/>
          <w:sz w:val="24"/>
          <w:szCs w:val="24"/>
        </w:rPr>
        <w:t>库，</w:t>
      </w:r>
      <w:r>
        <w:rPr>
          <w:rFonts w:ascii="宋体" w:cs="宋体" w:hAnsi="宋体" w:hint="eastAsia"/>
          <w:sz w:val="24"/>
          <w:szCs w:val="24"/>
          <w:lang w:val="en-US" w:eastAsia="zh-CN"/>
        </w:rPr>
        <w:t>需</w:t>
      </w:r>
      <w:r>
        <w:rPr>
          <w:rFonts w:ascii="宋体" w:cs="宋体" w:hAnsi="宋体" w:hint="eastAsia"/>
          <w:sz w:val="24"/>
          <w:szCs w:val="24"/>
        </w:rPr>
        <w:t>提前备货。</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(4)试剂更换</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a)水站仪器所用试剂的更换周期应根据试剂稳定性和保质期确定，试剂保温箱内温度较高时应缩短更换周期。</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b)试剂更换后，应进行一次自动监测仪器的校准和标液核查。</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c)试剂更换后应记录试剂更换日期，并给出下次试剂更换日期；根据试剂消耗量及下次更换日期，及时准备试剂。</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(5)保养检修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a)水站的监测仪器设备每年至少进行1次检修。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b)按维护手册的要求，根据使用寿命，更换监测仪器中的光源、电极、泵、阀、传感器等关键零部件。</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c)对仪器光路、液路、电路板和各种接头及插座等进行检查和清洁处理。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(6)根据废液产生量，进行集中归类存储。</w:t>
      </w:r>
    </w:p>
    <w:p>
      <w:pPr>
        <w:tabs>
          <w:tab w:val="left" w:pos="646"/>
        </w:tabs>
        <w:spacing w:line="360" w:lineRule="auto"/>
        <w:jc w:val="left"/>
        <w:rPr>
          <w:rFonts w:ascii="宋体" w:cs="宋体" w:hAnsi="宋体" w:hint="eastAsia"/>
          <w:sz w:val="24"/>
          <w:szCs w:val="24"/>
        </w:rPr>
      </w:pPr>
      <w:r>
        <w:rPr>
          <w:rFonts w:ascii="宋体" w:cs="宋体" w:hAnsi="宋体" w:hint="eastAsia"/>
          <w:sz w:val="24"/>
          <w:szCs w:val="24"/>
        </w:rPr>
        <w:tab/>
        <w:t>9.控制单元及通讯单元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(1)定期强制切断电源后复位，查看工控机是否可以自动启动，并运行操作系统、加载现场监控软件，以及串口通讯是否正常。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(2)定期对网络通讯设备进行断电重启，查看启动后是否通讯正常。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(3)每月检查开机过程中硬件自检过程是否有异常数据传输和报警。</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(4)每月对工控机进行杀毒，保证软件正常运行。</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10.其他站辅助设备</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(1)定期检查稳压电源及UPS的输出是否符合技术要求，异常情况须及时排查处理。</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(2)定期检查检查采样泵、采样分配单元、低温冷藏模块等的工作状况是否正常。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(3)按厂家提供的使用维修手册的规定及零部件的使用寿命，及时更换自动留样器中的泵、阀、传感器等关键零部件。</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(3)定期检查摄像头是否破损，视频设备功能是否正常，包括摄像机、视频存储、云台控制等。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11.其它</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(1)数据备份：每</w:t>
      </w:r>
      <w:r>
        <w:rPr>
          <w:rFonts w:ascii="宋体" w:cs="宋体" w:hAnsi="宋体" w:hint="eastAsia"/>
          <w:sz w:val="24"/>
          <w:szCs w:val="24"/>
          <w:lang w:val="en-US" w:eastAsia="zh-CN"/>
        </w:rPr>
        <w:t>季度</w:t>
      </w:r>
      <w:r>
        <w:rPr>
          <w:rFonts w:ascii="宋体" w:cs="宋体" w:hAnsi="宋体" w:hint="eastAsia"/>
          <w:sz w:val="24"/>
          <w:szCs w:val="24"/>
        </w:rPr>
        <w:t>对监测数据进行一次备份，备份数据单独存储。</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(2)长时间停机：当分析仪需要停机48小时或更长时间时，关闭电源和分析仪器、进样阀；用纯水清洗分析仪器的蠕动泵以及试剂管路，清洗检测池并排空。仪器再次运行时须重新校准</w:t>
      </w:r>
      <w:r>
        <w:rPr>
          <w:rFonts w:ascii="宋体" w:cs="宋体" w:hAnsi="宋体" w:hint="eastAsia"/>
          <w:sz w:val="24"/>
          <w:szCs w:val="24"/>
          <w:lang w:val="en-US" w:eastAsia="zh-CN"/>
        </w:rPr>
        <w:t>后进行标样核查</w:t>
      </w:r>
      <w:r>
        <w:rPr>
          <w:rFonts w:ascii="宋体" w:cs="宋体" w:hAnsi="宋体" w:hint="eastAsia"/>
          <w:sz w:val="24"/>
          <w:szCs w:val="24"/>
        </w:rPr>
        <w:t>。</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(3)当设备出现故障问题时，供应商需提供备用机以便维持传输数据正常上传平台。</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12.数据审核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运维单位对数据进行一级审核，包括：对系统自动预审核、自动标记结果进行初审确认，无效数据的标注并写明原因。因仪器设备故障导致的数据无效，须详细说明原因(如泵故障、采水故障等)。</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审核依据</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(1)数据规范性：查看系统过程日志，监测全过程是否运行正常。</w:t>
      </w:r>
    </w:p>
    <w:p>
      <w:pPr>
        <w:spacing w:line="360" w:lineRule="auto"/>
        <w:ind w:firstLineChars="200" w:firstLine="480"/>
        <w:rPr>
          <w:rFonts w:ascii="宋体" w:cs="宋体" w:hAnsi="宋体" w:hint="eastAsia"/>
          <w:sz w:val="24"/>
          <w:szCs w:val="24"/>
        </w:rPr>
      </w:pPr>
      <w:r>
        <w:rPr>
          <w:rFonts w:ascii="宋体" w:cs="宋体" w:hAnsi="宋体" w:hint="eastAsia"/>
          <w:sz w:val="24"/>
          <w:szCs w:val="24"/>
        </w:rPr>
        <w:t>(2)质控符合性：质控过程及手段是否符合相关质控要求，质控数据是否合格。</w:t>
      </w:r>
    </w:p>
    <w:p>
      <w:pPr>
        <w:spacing w:line="360" w:lineRule="auto"/>
        <w:ind w:firstLineChars="200" w:firstLine="480"/>
        <w:jc w:val="left"/>
        <w:rPr>
          <w:rFonts w:ascii="宋体" w:cs="宋体" w:hAnsi="宋体" w:hint="eastAsia"/>
          <w:sz w:val="24"/>
          <w:szCs w:val="24"/>
        </w:rPr>
      </w:pPr>
      <w:r>
        <w:rPr>
          <w:rFonts w:ascii="宋体" w:cs="宋体" w:hAnsi="宋体" w:hint="eastAsia"/>
          <w:sz w:val="24"/>
          <w:szCs w:val="24"/>
        </w:rPr>
        <w:t>(3)逻辑合理性：相关监测项目数据之间逻辑关系是否合理，上下游之间监测数据逻辑关系是否合理。</w:t>
      </w:r>
    </w:p>
    <w:p>
      <w:pPr>
        <w:spacing w:line="360" w:lineRule="auto"/>
        <w:ind w:firstLineChars="200" w:firstLine="480"/>
        <w:jc w:val="left"/>
        <w:rPr>
          <w:rFonts w:ascii="宋体" w:cs="宋体" w:hAnsi="宋体" w:hint="eastAsia"/>
          <w:sz w:val="24"/>
          <w:szCs w:val="24"/>
        </w:rPr>
      </w:pPr>
      <w:r>
        <w:rPr>
          <w:rFonts w:ascii="宋体" w:cs="宋体" w:hAnsi="宋体" w:hint="eastAsia"/>
          <w:sz w:val="24"/>
          <w:szCs w:val="24"/>
        </w:rPr>
        <w:t>(4)数据可比性：当前监测数据与历史数据、最近一次的手工监测数据是否可比。</w:t>
      </w:r>
    </w:p>
    <w:p>
      <w:pPr>
        <w:pStyle w:val="32"/>
        <w:spacing w:line="360" w:lineRule="auto"/>
        <w:rPr>
          <w:rFonts w:ascii="仿宋_GB2312" w:eastAsia="仿宋_GB2312" w:cs="仿宋_GB2312" w:hAnsi="仿宋_GB2312"/>
          <w:sz w:val="28"/>
          <w:szCs w:val="28"/>
        </w:rPr>
      </w:pPr>
      <w:r>
        <w:rPr>
          <w:rFonts w:ascii="宋体" w:cs="宋体" w:hAnsi="宋体" w:hint="eastAsia"/>
          <w:sz w:val="24"/>
          <w:szCs w:val="24"/>
        </w:rPr>
        <w:t>(5)样品代表性：由于降雨影响、水体藻类较多、上游断流、采样期间水体中有突发性污染团过境等原因，导致样品代表性存疑。</w:t>
      </w:r>
    </w:p>
    <w:p>
      <w:pPr>
        <w:widowControl/>
        <w:jc w:val="left"/>
        <w:rPr>
          <w:rFonts w:ascii="仿宋" w:eastAsia="仿宋" w:cs="仿宋" w:hAnsi="仿宋"/>
          <w:sz w:val="28"/>
          <w:szCs w:val="28"/>
          <w:lang w:bidi="zh-CN"/>
        </w:rPr>
      </w:pPr>
      <w:r>
        <w:rPr>
          <w:rFonts w:ascii="仿宋" w:eastAsia="仿宋" w:cs="仿宋" w:hAnsi="仿宋"/>
          <w:sz w:val="28"/>
          <w:szCs w:val="28"/>
          <w:lang w:bidi="zh-CN"/>
        </w:rPr>
        <w:br w:type="page"/>
      </w:r>
    </w:p>
    <w:p>
      <w:pPr>
        <w:pStyle w:val="1"/>
      </w:pPr>
      <w:bookmarkStart w:id="84" w:name="_Toc67843811"/>
      <w:r>
        <w:rPr>
          <w:rFonts w:hint="eastAsia"/>
        </w:rPr>
        <w:t>第五章 评审方法和标准</w:t>
      </w:r>
      <w:bookmarkEnd w:id="80"/>
      <w:bookmarkEnd w:id="81"/>
      <w:bookmarkEnd w:id="84"/>
    </w:p>
    <w:p>
      <w:pPr>
        <w:snapToGrid w:val="0"/>
        <w:spacing w:beforeLines="50" w:before="156" w:line="360" w:lineRule="auto"/>
        <w:ind w:firstLineChars="200" w:firstLine="420"/>
        <w:outlineLvl w:val="1"/>
        <w:rPr>
          <w:b/>
        </w:rPr>
      </w:pPr>
      <w:bookmarkStart w:id="85" w:name="_Toc20393"/>
      <w:bookmarkStart w:id="86" w:name="_Toc5802"/>
      <w:bookmarkStart w:id="87" w:name="_Toc317237623"/>
      <w:bookmarkStart w:id="88" w:name="_Toc3582"/>
      <w:bookmarkStart w:id="89" w:name="_Toc114068994"/>
      <w:bookmarkStart w:id="90" w:name="_Toc67843812"/>
      <w:r>
        <w:rPr>
          <w:rFonts w:hint="eastAsia"/>
          <w:b/>
        </w:rPr>
        <w:t>一、总则</w:t>
      </w:r>
      <w:bookmarkEnd w:id="85"/>
      <w:bookmarkEnd w:id="86"/>
      <w:bookmarkEnd w:id="87"/>
      <w:bookmarkEnd w:id="88"/>
      <w:bookmarkEnd w:id="89"/>
      <w:bookmarkEnd w:id="90"/>
    </w:p>
    <w:p>
      <w:pPr>
        <w:spacing w:line="360" w:lineRule="auto"/>
        <w:ind w:firstLineChars="200" w:firstLine="420"/>
      </w:pPr>
      <w:r>
        <w:rPr>
          <w:rFonts w:hint="eastAsia"/>
        </w:rPr>
        <w:t>1.1 根据《中华人民共和国政府采购法》、《中华人民共和国政府采购法实施条例》、《政府采购竞争性磋商采购方式管理暂行办法》等法律和规章，结合本采购项目特点制定本评审办法。</w:t>
      </w:r>
    </w:p>
    <w:p>
      <w:pPr>
        <w:spacing w:line="360" w:lineRule="auto"/>
        <w:ind w:firstLineChars="200" w:firstLine="420"/>
      </w:pPr>
      <w:r>
        <w:rPr>
          <w:rFonts w:hint="eastAsia"/>
        </w:rPr>
        <w:t>1.2 磋商工作由采购人、采购代理机构负责组织，评审由采购人、采购代理机构依法组建的磋商小组负责。磋商小组由有关技术、经济等方面的专家组成。</w:t>
      </w:r>
    </w:p>
    <w:p>
      <w:pPr>
        <w:spacing w:line="360" w:lineRule="auto"/>
        <w:ind w:firstLineChars="200" w:firstLine="420"/>
      </w:pPr>
      <w:r>
        <w:rPr>
          <w:rFonts w:hint="eastAsia"/>
        </w:rPr>
        <w:t>1.3 磋商小组成员应当按照客观、公正、审慎的原则，根据磋商文件规定的评审程序、评审方法和评审标准进行独立评审。未实质性响应磋商文件的响应文件按无效响应处理，磋商小组应当告知提交响应文件的供应商。</w:t>
      </w:r>
    </w:p>
    <w:p>
      <w:pPr>
        <w:spacing w:line="360" w:lineRule="auto"/>
        <w:ind w:firstLineChars="200" w:firstLine="420"/>
      </w:pPr>
      <w:r>
        <w:rPr>
          <w:rFonts w:hint="eastAsia"/>
        </w:rPr>
        <w:t>1.4 评审过程严格保密。供应商对磋商小组的评审过程或合同授予决定施加影响的任何行为都可能导致其响应文件被拒绝。</w:t>
      </w:r>
    </w:p>
    <w:p>
      <w:pPr>
        <w:spacing w:line="360" w:lineRule="auto"/>
        <w:ind w:firstLineChars="200" w:firstLine="420"/>
      </w:pPr>
      <w:r>
        <w:rPr>
          <w:rFonts w:hint="eastAsia"/>
        </w:rPr>
        <w:t>1.5 磋商小组发现磋商文件表述不明确或需要说明的事项，可提请采购人、采购代理机构书面解释说明。</w:t>
      </w:r>
    </w:p>
    <w:p>
      <w:pPr>
        <w:spacing w:line="360" w:lineRule="auto"/>
        <w:ind w:firstLineChars="200" w:firstLine="420"/>
      </w:pPr>
      <w:r>
        <w:rPr>
          <w:rFonts w:hint="eastAsia"/>
        </w:rPr>
        <w:t>1.6 磋商小组对响应文件的判定，只依据响应文件和磋商过程中认定的文件，不依据磋商后的任何外来证明。</w:t>
      </w:r>
    </w:p>
    <w:p>
      <w:pPr>
        <w:snapToGrid w:val="0"/>
        <w:spacing w:beforeLines="50" w:before="156" w:line="360" w:lineRule="auto"/>
        <w:ind w:firstLineChars="200" w:firstLine="420"/>
        <w:outlineLvl w:val="1"/>
        <w:rPr>
          <w:b/>
        </w:rPr>
      </w:pPr>
      <w:bookmarkStart w:id="91" w:name="_Toc24260"/>
      <w:bookmarkStart w:id="92" w:name="_Toc114068995"/>
      <w:bookmarkStart w:id="93" w:name="_Toc20027"/>
      <w:bookmarkStart w:id="94" w:name="_Toc13029"/>
      <w:bookmarkStart w:id="95" w:name="_Toc67843813"/>
      <w:r>
        <w:rPr>
          <w:rFonts w:hint="eastAsia"/>
          <w:b/>
        </w:rPr>
        <w:t>二、评审程序、评审方法和评审标准</w:t>
      </w:r>
      <w:bookmarkEnd w:id="91"/>
      <w:bookmarkEnd w:id="92"/>
      <w:bookmarkEnd w:id="93"/>
      <w:bookmarkEnd w:id="94"/>
      <w:bookmarkEnd w:id="95"/>
    </w:p>
    <w:p>
      <w:pPr>
        <w:spacing w:line="360" w:lineRule="auto"/>
        <w:ind w:firstLineChars="200" w:firstLine="420"/>
        <w:rPr>
          <w:b/>
        </w:rPr>
      </w:pPr>
      <w:r>
        <w:rPr>
          <w:rFonts w:hint="eastAsia"/>
          <w:b/>
        </w:rPr>
        <w:t>1、响应文件的有效性、完整性和响应程度审查（见附件1）</w:t>
      </w:r>
    </w:p>
    <w:p>
      <w:pPr>
        <w:spacing w:line="360" w:lineRule="auto"/>
        <w:ind w:firstLineChars="200" w:firstLine="420"/>
        <w:rPr>
          <w:bCs/>
        </w:rPr>
      </w:pPr>
      <w:r>
        <w:rPr>
          <w:rFonts w:hint="eastAsia"/>
          <w:bCs/>
        </w:rPr>
        <w:t>1.1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w:t>
      </w:r>
    </w:p>
    <w:p>
      <w:pPr>
        <w:spacing w:line="360" w:lineRule="auto"/>
        <w:ind w:firstLineChars="200" w:firstLine="420"/>
        <w:rPr>
          <w:b/>
        </w:rPr>
      </w:pPr>
      <w:r>
        <w:rPr>
          <w:rFonts w:hint="eastAsia"/>
          <w:b/>
        </w:rPr>
        <w:t>2、分别与单一供应商进行磋商</w:t>
      </w:r>
    </w:p>
    <w:p>
      <w:pPr>
        <w:spacing w:line="360" w:lineRule="auto"/>
        <w:ind w:firstLineChars="200" w:firstLine="420"/>
        <w:rPr>
          <w:bCs/>
        </w:rPr>
      </w:pPr>
      <w:r>
        <w:rPr>
          <w:rFonts w:hint="eastAsia"/>
          <w:bCs/>
        </w:rPr>
        <w:t>2.1 磋商小组所有成员应当集中与单一供应商分别进行磋商，并给予所有参加磋商的供应商平等的磋商机会。</w:t>
      </w:r>
    </w:p>
    <w:p>
      <w:pPr>
        <w:spacing w:line="360" w:lineRule="auto"/>
        <w:ind w:firstLineChars="200" w:firstLine="420"/>
        <w:rPr>
          <w:bCs/>
        </w:rPr>
      </w:pPr>
      <w:r>
        <w:rPr>
          <w:rFonts w:hint="eastAsia"/>
          <w:bCs/>
        </w:rPr>
        <w:t>2.2 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360" w:lineRule="auto"/>
        <w:ind w:firstLineChars="200" w:firstLine="420"/>
        <w:rPr>
          <w:b/>
        </w:rPr>
      </w:pPr>
      <w:r>
        <w:rPr>
          <w:rFonts w:hint="eastAsia"/>
          <w:b/>
        </w:rPr>
        <w:t>3、供应商提交最后报价</w:t>
      </w:r>
    </w:p>
    <w:p>
      <w:pPr>
        <w:spacing w:line="360" w:lineRule="auto"/>
        <w:ind w:firstLineChars="200" w:firstLine="420"/>
        <w:rPr>
          <w:bCs/>
        </w:rPr>
      </w:pPr>
      <w:r>
        <w:rPr>
          <w:rFonts w:hint="eastAsia"/>
          <w:bCs/>
        </w:rPr>
        <w:t>3.1 磋商文件能够详细列明采购标的的技术、服务要求的，磋商结束后，磋商小组应当要求所有实质性响应的供应商在规定时间内提交最后报价，提交最后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最后报价是供应商响应文件的有效组成部分。</w:t>
      </w:r>
    </w:p>
    <w:p>
      <w:pPr>
        <w:spacing w:line="360" w:lineRule="auto"/>
        <w:ind w:firstLineChars="200" w:firstLine="420"/>
        <w:rPr>
          <w:bCs/>
        </w:rPr>
      </w:pPr>
      <w:r>
        <w:rPr>
          <w:rFonts w:hint="eastAsia"/>
          <w:bCs/>
        </w:rPr>
        <w:t>3.2 已提交响应文件的供应商，在提交最后报价之前，可以根据磋商情况退出磋商。采购人、采购代理机构应当退还退出磋商的供应商的磋商保证金。</w:t>
      </w:r>
    </w:p>
    <w:p>
      <w:pPr>
        <w:spacing w:line="360" w:lineRule="auto"/>
        <w:ind w:firstLineChars="200" w:firstLine="420"/>
        <w:rPr>
          <w:b/>
        </w:rPr>
      </w:pPr>
      <w:r>
        <w:rPr>
          <w:rFonts w:hint="eastAsia"/>
          <w:b/>
        </w:rPr>
        <w:t>4、综合评分（见附件2）</w:t>
      </w:r>
    </w:p>
    <w:p>
      <w:pPr>
        <w:spacing w:line="360" w:lineRule="auto"/>
        <w:ind w:firstLineChars="200" w:firstLine="420"/>
        <w:rPr>
          <w:bCs/>
        </w:rPr>
      </w:pPr>
      <w:r>
        <w:rPr>
          <w:rFonts w:hint="eastAsia"/>
          <w:bCs/>
        </w:rPr>
        <w:t>4.1 经磋商确定最终采购需求和提交最后报价的供应商后，由磋商小组采用综合评分法对提交最后报价的供应商的响应文件和最后报价进行综合评分。</w:t>
      </w:r>
    </w:p>
    <w:p>
      <w:pPr>
        <w:spacing w:line="360" w:lineRule="auto"/>
        <w:ind w:firstLineChars="200" w:firstLine="420"/>
        <w:rPr>
          <w:bCs/>
        </w:rPr>
      </w:pPr>
      <w:r>
        <w:rPr>
          <w:rFonts w:hint="eastAsia"/>
          <w:bCs/>
        </w:rPr>
        <w:t>综合评分法，是指响应文件满足磋商文件全部实质性要求且按评审因素的量化指标评审得分最高的供应商为成交候选供应商的评审方法。</w:t>
      </w:r>
    </w:p>
    <w:p>
      <w:pPr>
        <w:spacing w:line="360" w:lineRule="auto"/>
        <w:ind w:firstLineChars="200" w:firstLine="420"/>
        <w:rPr>
          <w:bCs/>
        </w:rPr>
      </w:pPr>
      <w:r>
        <w:rPr>
          <w:rFonts w:hint="eastAsia"/>
          <w:bCs/>
        </w:rPr>
        <w:t>4.2 综合评分法评审标准中的分值设置应当与评审因素的量化指标相对应。磋商文件中没有规定的评审标准不得作为评审依据。</w:t>
      </w:r>
    </w:p>
    <w:p>
      <w:pPr>
        <w:spacing w:line="360" w:lineRule="auto"/>
        <w:ind w:firstLineChars="200" w:firstLine="420"/>
        <w:rPr>
          <w:bCs/>
        </w:rPr>
      </w:pPr>
      <w:r>
        <w:rPr>
          <w:rFonts w:hint="eastAsia"/>
          <w:bCs/>
        </w:rPr>
        <w:t>评审时，磋商小组各成员应当独立对每个有效响应的文件进行评价、打分，然后汇总每个供应商每项评分因素的得分。</w:t>
      </w:r>
    </w:p>
    <w:p>
      <w:pPr>
        <w:spacing w:line="360" w:lineRule="auto"/>
        <w:ind w:firstLineChars="200" w:firstLine="420"/>
        <w:rPr>
          <w:b/>
        </w:rPr>
      </w:pPr>
      <w:r>
        <w:rPr>
          <w:rFonts w:hint="eastAsia"/>
          <w:b/>
        </w:rPr>
        <w:t>5、政府采购政策要求</w:t>
      </w:r>
    </w:p>
    <w:p>
      <w:pPr>
        <w:widowControl/>
        <w:numPr>
          <w:ilvl w:val="0"/>
          <w:numId w:val="2"/>
        </w:numPr>
        <w:spacing w:line="360" w:lineRule="auto"/>
        <w:ind w:left="0" w:firstLineChars="200" w:firstLine="420"/>
        <w:jc w:val="left"/>
      </w:pPr>
      <w:r>
        <w:t>根据《关于印发中小企业划型标准规定的通知》（工信部联企业〔2011〕300号）</w:t>
      </w:r>
      <w:r>
        <w:rPr>
          <w:rFonts w:hint="eastAsia"/>
        </w:rPr>
        <w:t>、</w:t>
      </w:r>
      <w:r>
        <w:t>《政府采购促进中小 企业发展管理办法》（财库</w:t>
      </w:r>
      <w:r>
        <w:rPr>
          <w:rFonts w:hint="eastAsia"/>
        </w:rPr>
        <w:t>[</w:t>
      </w:r>
      <w:r>
        <w:t>2020]46 号）</w:t>
      </w:r>
      <w:r>
        <w:rPr>
          <w:rFonts w:hint="eastAsia"/>
        </w:rPr>
        <w:t>、《财政部 司法部关于政府采购支持监狱企业发展有关问题的通知》（财库[2014]68号）和《财政部 民政部 中国残疾人联合会关于促进残疾人就业政府采购政策的通知》（财库〔2017〕 141号）的文件规定</w:t>
      </w:r>
      <w:r>
        <w:t>，本项目对小型和微型企业、监狱企业及残疾人福利性单位的</w:t>
      </w:r>
      <w:r>
        <w:rPr>
          <w:rFonts w:hint="eastAsia"/>
        </w:rPr>
        <w:t>投标报价</w:t>
      </w:r>
      <w:r>
        <w:t>给予</w:t>
      </w:r>
      <w:r>
        <w:rPr>
          <w:u w:val="single"/>
          <w:shd w:val="clear" w:color="auto" w:fill="auto"/>
          <w:highlight w:val="lightGray"/>
        </w:rPr>
        <w:t>10%</w:t>
      </w:r>
      <w:r>
        <w:rPr>
          <w:shd w:val="clear" w:color="auto" w:fill="auto"/>
          <w:highlight w:val="lightGray"/>
        </w:rPr>
        <w:t>的</w:t>
      </w:r>
      <w:r>
        <w:rPr>
          <w:highlight w:val="lightGray"/>
        </w:rPr>
        <w:t>扣除</w:t>
      </w:r>
      <w:r>
        <w:t>，用扣除后的价格参与价格评审。</w:t>
      </w:r>
      <w:r>
        <w:rPr>
          <w:rFonts w:hint="eastAsia"/>
        </w:rPr>
        <w:t>供应商</w:t>
      </w:r>
      <w:r>
        <w:t>同时为小型和微型企业、监狱企业或残疾人福利性单位的，评审中只享受一次价格扣除，不重复进行价格扣除。</w:t>
      </w:r>
    </w:p>
    <w:p>
      <w:pPr>
        <w:widowControl/>
        <w:numPr>
          <w:ilvl w:val="0"/>
          <w:numId w:val="2"/>
        </w:numPr>
        <w:spacing w:line="360" w:lineRule="auto"/>
        <w:ind w:left="0" w:firstLineChars="200" w:firstLine="420"/>
        <w:jc w:val="left"/>
      </w:pPr>
      <w:r>
        <w:t>扣除后的价格仅用来计算价格得分，</w:t>
      </w:r>
      <w:r>
        <w:rPr>
          <w:rFonts w:hint="eastAsia"/>
        </w:rPr>
        <w:t>成交</w:t>
      </w:r>
      <w:r>
        <w:t>金额以原投标报价为准。</w:t>
      </w:r>
    </w:p>
    <w:p>
      <w:pPr>
        <w:widowControl/>
        <w:numPr>
          <w:ilvl w:val="0"/>
          <w:numId w:val="2"/>
        </w:numPr>
        <w:spacing w:line="360" w:lineRule="auto"/>
        <w:ind w:left="0" w:firstLineChars="200" w:firstLine="420"/>
        <w:jc w:val="left"/>
        <w:rPr>
          <w:u w:val="single"/>
        </w:rPr>
      </w:pPr>
      <w:r>
        <w:rPr>
          <w:rFonts w:hint="eastAsia"/>
        </w:rPr>
        <w:t>供应商</w:t>
      </w:r>
      <w:r>
        <w:t>须按要求提供相关材料（</w:t>
      </w:r>
      <w:r>
        <w:rPr>
          <w:rFonts w:hint="eastAsia"/>
        </w:rPr>
        <w:t>详见第六部分响应文件格式</w:t>
      </w:r>
      <w:r>
        <w:t>），否则将不进行价格扣除。</w:t>
      </w:r>
    </w:p>
    <w:p>
      <w:pPr>
        <w:widowControl/>
        <w:numPr>
          <w:ilvl w:val="0"/>
          <w:numId w:val="2"/>
        </w:numPr>
        <w:spacing w:line="360" w:lineRule="auto"/>
        <w:ind w:left="0" w:firstLineChars="200" w:firstLine="420"/>
        <w:jc w:val="left"/>
      </w:pPr>
      <w:r>
        <w:rPr>
          <w:rFonts w:hint="eastAsia"/>
        </w:rPr>
        <w:t>根据“关于印发《节能产品政府采购实施意见》的通知财库［2004］185号”的规定，本项目优先采购节能产品、环保标志产品。供应商所提供的货物为节能产品、环保标志产品的，须在响应文件中说明，并提供财政部颁布的最新一期的节能/环保标志产品政府采购清单及其他相关资料。</w:t>
      </w:r>
    </w:p>
    <w:p>
      <w:pPr>
        <w:widowControl/>
        <w:numPr>
          <w:ilvl w:val="0"/>
          <w:numId w:val="2"/>
        </w:numPr>
        <w:spacing w:line="360" w:lineRule="auto"/>
        <w:ind w:left="0" w:firstLineChars="200" w:firstLine="420"/>
        <w:jc w:val="left"/>
      </w:pPr>
      <w:r>
        <w:t>根据《政府采购促进中小企业发展管理办法》和《关于落实超常规举措加大对中小企业政府采购支持的通知》(琼财〔2020〕578 号)，专门面向中小企业采购的项目或者采购包，可不再执行小微企业价格评审优惠的扶持政策。</w:t>
      </w:r>
    </w:p>
    <w:p>
      <w:pPr>
        <w:spacing w:line="360" w:lineRule="auto"/>
        <w:ind w:firstLineChars="200" w:firstLine="420"/>
        <w:rPr>
          <w:b/>
        </w:rPr>
      </w:pPr>
      <w:r>
        <w:rPr>
          <w:rFonts w:hint="eastAsia"/>
          <w:b/>
        </w:rPr>
        <w:t>6、推荐成交候选供应商</w:t>
      </w:r>
    </w:p>
    <w:p>
      <w:pPr>
        <w:spacing w:line="360" w:lineRule="auto"/>
        <w:ind w:firstLineChars="200" w:firstLine="420"/>
        <w:rPr>
          <w:bCs/>
        </w:rPr>
      </w:pPr>
      <w:r>
        <w:rPr>
          <w:rFonts w:hint="eastAsia"/>
          <w:bCs/>
        </w:rPr>
        <w:t>6.1 磋商小组根据综合评分情况，按照评审得分由高到低顺序推荐3名以上成交候选供应商，并编写评审报告。</w:t>
      </w:r>
    </w:p>
    <w:p>
      <w:pPr>
        <w:spacing w:line="360" w:lineRule="auto"/>
        <w:ind w:firstLineChars="200" w:firstLine="420"/>
        <w:rPr>
          <w:bCs/>
        </w:rPr>
      </w:pPr>
      <w:r>
        <w:rPr>
          <w:rFonts w:hint="eastAsia"/>
          <w:bCs/>
        </w:rPr>
        <w:t>6.2符合《政府采购竞争性磋商采购方式管理暂行办法》第二十一条第三款情形的，可以推荐2家成交候选供应商。评审得分相同的，按照最后报价由低到高的顺序推荐。评审得分且最后报价相同的，按照技术指标优劣顺序推荐。</w:t>
      </w:r>
    </w:p>
    <w:p>
      <w:pPr>
        <w:spacing w:line="360" w:lineRule="auto"/>
        <w:ind w:firstLineChars="200" w:firstLine="420"/>
        <w:rPr>
          <w:b/>
        </w:rPr>
      </w:pPr>
      <w:r>
        <w:rPr>
          <w:rFonts w:hint="eastAsia"/>
          <w:b/>
        </w:rPr>
        <w:t>7、编写评审报告</w:t>
      </w:r>
    </w:p>
    <w:p>
      <w:pPr>
        <w:spacing w:line="360" w:lineRule="auto"/>
        <w:ind w:firstLineChars="200" w:firstLine="420"/>
        <w:rPr>
          <w:bCs/>
        </w:rPr>
      </w:pPr>
      <w:r>
        <w:rPr>
          <w:rFonts w:hint="eastAsia"/>
          <w:bCs/>
        </w:rPr>
        <w:t>评审报告应当包括以下主要内容：</w:t>
      </w:r>
    </w:p>
    <w:p>
      <w:pPr>
        <w:spacing w:line="360" w:lineRule="auto"/>
        <w:ind w:firstLineChars="200" w:firstLine="420"/>
        <w:rPr>
          <w:bCs/>
        </w:rPr>
      </w:pPr>
      <w:r>
        <w:rPr>
          <w:rFonts w:hint="eastAsia"/>
          <w:bCs/>
        </w:rPr>
        <w:t>（一）邀请供应商参加采购活动的具体方式和相关情况；</w:t>
      </w:r>
    </w:p>
    <w:p>
      <w:pPr>
        <w:spacing w:line="360" w:lineRule="auto"/>
        <w:ind w:firstLineChars="200" w:firstLine="420"/>
        <w:rPr>
          <w:bCs/>
        </w:rPr>
      </w:pPr>
      <w:r>
        <w:rPr>
          <w:rFonts w:hint="eastAsia"/>
          <w:bCs/>
        </w:rPr>
        <w:t>（二）响应文件开启日期和地点；</w:t>
      </w:r>
    </w:p>
    <w:p>
      <w:pPr>
        <w:spacing w:line="360" w:lineRule="auto"/>
        <w:ind w:firstLineChars="200" w:firstLine="420"/>
        <w:rPr>
          <w:bCs/>
        </w:rPr>
      </w:pPr>
      <w:r>
        <w:rPr>
          <w:rFonts w:hint="eastAsia"/>
          <w:bCs/>
        </w:rPr>
        <w:t>（三）获取磋商文件的供应商名单和磋商小组成员名单；</w:t>
      </w:r>
    </w:p>
    <w:p>
      <w:pPr>
        <w:spacing w:line="360" w:lineRule="auto"/>
        <w:ind w:firstLineChars="200" w:firstLine="420"/>
        <w:rPr>
          <w:bCs/>
        </w:rPr>
      </w:pPr>
      <w:r>
        <w:rPr>
          <w:rFonts w:hint="eastAsia"/>
          <w:bCs/>
        </w:rPr>
        <w:t>（四）评审情况记录和说明，包括对供应商的资格审查情况、供应商响应文件评审情况、磋商情况、报价情况等；</w:t>
      </w:r>
    </w:p>
    <w:p>
      <w:pPr>
        <w:spacing w:line="360" w:lineRule="auto"/>
        <w:ind w:firstLineChars="200" w:firstLine="420"/>
        <w:rPr>
          <w:bCs/>
        </w:rPr>
      </w:pPr>
      <w:r>
        <w:rPr>
          <w:rFonts w:hint="eastAsia"/>
          <w:bCs/>
        </w:rPr>
        <w:t>（五）提出的成交候选供应商的排序名单及理由。</w:t>
      </w:r>
    </w:p>
    <w:p>
      <w:pPr>
        <w:spacing w:line="360" w:lineRule="auto"/>
        <w:ind w:firstLineChars="200" w:firstLine="420"/>
        <w:rPr>
          <w:b/>
        </w:rPr>
      </w:pPr>
      <w:r>
        <w:rPr>
          <w:rFonts w:hint="eastAsia"/>
          <w:b/>
        </w:rPr>
        <w:t>8、终止采购</w:t>
      </w:r>
    </w:p>
    <w:p>
      <w:pPr>
        <w:spacing w:line="360" w:lineRule="auto"/>
        <w:ind w:firstLineChars="200" w:firstLine="420"/>
        <w:rPr>
          <w:bCs/>
        </w:rPr>
      </w:pPr>
      <w:r>
        <w:rPr>
          <w:rFonts w:hint="eastAsia"/>
          <w:bCs/>
        </w:rPr>
        <w:t>出现下列情形之一的，采购人或者采购代理机构应当终止竞争性磋商采购活动，发布项目终止公告并说明原因，重新开展采购活动：</w:t>
      </w:r>
    </w:p>
    <w:p>
      <w:pPr>
        <w:spacing w:line="360" w:lineRule="auto"/>
        <w:ind w:firstLineChars="200" w:firstLine="420"/>
        <w:rPr>
          <w:bCs/>
        </w:rPr>
      </w:pPr>
      <w:r>
        <w:rPr>
          <w:rFonts w:hint="eastAsia"/>
          <w:bCs/>
        </w:rPr>
        <w:t>（一）因情况变化，不再符合规定的竞争性磋商采购方式适用情形的；</w:t>
      </w:r>
    </w:p>
    <w:p>
      <w:pPr>
        <w:spacing w:line="360" w:lineRule="auto"/>
        <w:ind w:firstLineChars="200" w:firstLine="420"/>
        <w:rPr>
          <w:bCs/>
        </w:rPr>
      </w:pPr>
      <w:r>
        <w:rPr>
          <w:rFonts w:hint="eastAsia"/>
          <w:bCs/>
        </w:rPr>
        <w:t>（二）出现影响采购公正的违法、违规行为的；</w:t>
      </w:r>
    </w:p>
    <w:p>
      <w:pPr>
        <w:spacing w:line="360" w:lineRule="auto"/>
        <w:ind w:firstLineChars="200" w:firstLine="420"/>
        <w:rPr>
          <w:bCs/>
        </w:rPr>
      </w:pPr>
      <w:r>
        <w:rPr>
          <w:rFonts w:hint="eastAsia"/>
          <w:bCs/>
        </w:rPr>
        <w:t>（三）除《政府采购竞争性磋商采购方式管理暂行办法》第二十一条第三款规定的情形外，在采购过程中符合要求的供应商或者报价未超过采购预算的供应商不足3家的。</w:t>
      </w:r>
    </w:p>
    <w:p>
      <w:pPr>
        <w:spacing w:line="360" w:lineRule="auto"/>
        <w:ind w:firstLineChars="200" w:firstLine="420"/>
        <w:rPr>
          <w:bCs/>
        </w:rPr>
      </w:pPr>
      <w:r>
        <w:rPr>
          <w:rFonts w:hint="eastAsia"/>
          <w:bCs/>
        </w:rPr>
        <w:t>在采购活动中因重大变故，采购任务取消的，采购人或者采购代理机构应当终止采购活动，通知所有参加采购活动的供应商，并将项目实施情况和采购任务取消原因报送本级财政部门。</w:t>
      </w:r>
    </w:p>
    <w:p>
      <w:pPr>
        <w:pStyle w:val="3"/>
        <w:rPr>
          <w:rFonts w:ascii="宋体" w:hAnsi="宋体" w:hint="eastAsia"/>
          <w:bCs/>
          <w:kern w:val="0"/>
          <w:sz w:val="24"/>
        </w:rPr>
      </w:pPr>
      <w:bookmarkStart w:id="96" w:name="_Toc67843814"/>
      <w:r>
        <w:rPr>
          <w:rFonts w:ascii="宋体" w:hAnsi="宋体" w:hint="eastAsia"/>
          <w:bCs/>
          <w:kern w:val="0"/>
          <w:sz w:val="24"/>
        </w:rPr>
        <w:t>附表1、审查表</w:t>
      </w:r>
      <w:bookmarkEnd w:id="96"/>
    </w:p>
    <w:p>
      <w:pPr>
        <w:autoSpaceDN w:val="0"/>
        <w:spacing w:line="360" w:lineRule="auto"/>
        <w:jc w:val="center"/>
        <w:rPr>
          <w:b/>
          <w:bCs/>
          <w:sz w:val="28"/>
          <w:szCs w:val="28"/>
        </w:rPr>
      </w:pPr>
      <w:r>
        <w:rPr>
          <w:rFonts w:hint="eastAsia"/>
          <w:b/>
          <w:bCs/>
          <w:sz w:val="28"/>
          <w:szCs w:val="28"/>
        </w:rPr>
        <w:t>响应文件审查表</w:t>
      </w:r>
    </w:p>
    <w:tbl>
      <w:tblPr>
        <w:jc w:val="cente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712"/>
        <w:gridCol w:w="1701"/>
        <w:gridCol w:w="7583"/>
      </w:tblGrid>
      <w:tr>
        <w:trPr>
          <w:trHeight w:val="444"/>
        </w:trPr>
        <w:tc>
          <w:tcPr>
            <w:tcW w:w="712" w:type="dxa"/>
            <w:vAlign w:val="center"/>
          </w:tcPr>
          <w:p>
            <w:pPr>
              <w:jc w:val="center"/>
              <w:rPr>
                <w:b/>
                <w:szCs w:val="21"/>
              </w:rPr>
            </w:pPr>
            <w:bookmarkStart w:id="97" w:name="_Hlk47445104"/>
            <w:r>
              <w:rPr>
                <w:b/>
                <w:szCs w:val="21"/>
              </w:rPr>
              <w:t>序号</w:t>
            </w:r>
          </w:p>
        </w:tc>
        <w:tc>
          <w:tcPr>
            <w:tcW w:w="1701" w:type="dxa"/>
            <w:vAlign w:val="center"/>
          </w:tcPr>
          <w:p>
            <w:pPr>
              <w:jc w:val="center"/>
              <w:rPr>
                <w:b/>
                <w:szCs w:val="21"/>
              </w:rPr>
            </w:pPr>
            <w:r>
              <w:rPr>
                <w:b/>
                <w:szCs w:val="21"/>
              </w:rPr>
              <w:t>审查因素</w:t>
            </w:r>
          </w:p>
        </w:tc>
        <w:tc>
          <w:tcPr>
            <w:tcW w:w="7583" w:type="dxa"/>
            <w:vAlign w:val="center"/>
          </w:tcPr>
          <w:p>
            <w:pPr>
              <w:jc w:val="center"/>
              <w:rPr>
                <w:b/>
                <w:szCs w:val="21"/>
              </w:rPr>
            </w:pPr>
            <w:r>
              <w:rPr>
                <w:b/>
                <w:szCs w:val="21"/>
              </w:rPr>
              <w:t>审查标准</w:t>
            </w:r>
          </w:p>
        </w:tc>
      </w:tr>
      <w:tr>
        <w:trPr>
          <w:trHeight w:val="561"/>
        </w:trPr>
        <w:tc>
          <w:tcPr>
            <w:tcW w:w="9996" w:type="dxa"/>
            <w:gridSpan w:val="3"/>
            <w:vAlign w:val="center"/>
          </w:tcPr>
          <w:p>
            <w:pPr>
              <w:jc w:val="center"/>
              <w:rPr>
                <w:b/>
                <w:bCs/>
                <w:szCs w:val="21"/>
              </w:rPr>
            </w:pPr>
            <w:r>
              <w:rPr>
                <w:b/>
                <w:bCs/>
              </w:rPr>
              <w:t>资格性、符合性审查</w:t>
            </w:r>
          </w:p>
        </w:tc>
      </w:tr>
      <w:tr>
        <w:trPr>
          <w:trHeight w:val="1664"/>
        </w:trPr>
        <w:tc>
          <w:tcPr>
            <w:tcW w:w="712" w:type="dxa"/>
            <w:vAlign w:val="center"/>
          </w:tcPr>
          <w:p>
            <w:pPr>
              <w:jc w:val="center"/>
              <w:rPr>
                <w:szCs w:val="21"/>
              </w:rPr>
            </w:pPr>
            <w:r>
              <w:rPr>
                <w:szCs w:val="21"/>
              </w:rPr>
              <w:t>1</w:t>
            </w:r>
          </w:p>
        </w:tc>
        <w:tc>
          <w:tcPr>
            <w:tcW w:w="1701" w:type="dxa"/>
            <w:tcBorders>
              <w:left w:val="single" w:sz="4" w:space="0" w:color="auto"/>
            </w:tcBorders>
            <w:vAlign w:val="center"/>
          </w:tcPr>
          <w:p>
            <w:pPr>
              <w:jc w:val="center"/>
              <w:rPr>
                <w:szCs w:val="21"/>
              </w:rPr>
            </w:pPr>
            <w:r>
              <w:rPr>
                <w:szCs w:val="21"/>
              </w:rPr>
              <w:t>营业执照</w:t>
            </w:r>
          </w:p>
        </w:tc>
        <w:tc>
          <w:tcPr>
            <w:tcW w:w="7583" w:type="dxa"/>
            <w:tcBorders>
              <w:left w:val="single" w:sz="4" w:space="0" w:color="auto"/>
            </w:tcBorders>
            <w:vAlign w:val="center"/>
          </w:tcPr>
          <w:p>
            <w:pPr>
              <w:tabs>
                <w:tab w:val="left" w:pos="720"/>
                <w:tab w:val="left" w:pos="900"/>
              </w:tabs>
              <w:adjustRightInd w:val="0"/>
              <w:snapToGrid w:val="0"/>
              <w:spacing w:beforeLines="50" w:before="156" w:line="300" w:lineRule="auto"/>
              <w:rPr>
                <w:szCs w:val="21"/>
              </w:rPr>
            </w:pPr>
            <w:r>
              <w:rPr>
                <w:rFonts w:ascii="宋体" w:hAnsi="宋体" w:hint="eastAsia"/>
                <w:szCs w:val="21"/>
              </w:rPr>
              <w:t>供应商必须是在中华人民共和国注册的、具有独立承担民事责任能力的法人（需提供营业执照副本、组织机构代码证、税务登记证或三证合一的营业执照，复印件加盖公章）；</w:t>
            </w:r>
          </w:p>
        </w:tc>
      </w:tr>
      <w:tr>
        <w:trPr>
          <w:trHeight w:val="555"/>
        </w:trPr>
        <w:tc>
          <w:tcPr>
            <w:tcW w:w="712" w:type="dxa"/>
            <w:vAlign w:val="center"/>
          </w:tcPr>
          <w:p>
            <w:pPr>
              <w:jc w:val="center"/>
              <w:rPr>
                <w:szCs w:val="21"/>
              </w:rPr>
            </w:pPr>
            <w:r>
              <w:rPr>
                <w:szCs w:val="21"/>
              </w:rPr>
              <w:t>2</w:t>
            </w:r>
          </w:p>
        </w:tc>
        <w:tc>
          <w:tcPr>
            <w:tcW w:w="1701" w:type="dxa"/>
            <w:tcBorders>
              <w:left w:val="single" w:sz="4" w:space="0" w:color="auto"/>
            </w:tcBorders>
            <w:vAlign w:val="center"/>
          </w:tcPr>
          <w:p>
            <w:pPr>
              <w:jc w:val="center"/>
              <w:rPr>
                <w:szCs w:val="21"/>
              </w:rPr>
            </w:pPr>
            <w:r>
              <w:rPr>
                <w:szCs w:val="21"/>
              </w:rPr>
              <w:t>财务状况</w:t>
            </w:r>
          </w:p>
        </w:tc>
        <w:tc>
          <w:tcPr>
            <w:tcW w:w="7583" w:type="dxa"/>
            <w:tcBorders>
              <w:left w:val="single" w:sz="4" w:space="0" w:color="auto"/>
            </w:tcBorders>
            <w:vAlign w:val="center"/>
          </w:tcPr>
          <w:p>
            <w:pPr>
              <w:rPr>
                <w:szCs w:val="21"/>
              </w:rPr>
            </w:pPr>
            <w:r>
              <w:rPr>
                <w:rFonts w:ascii="宋体" w:hAnsi="宋体" w:hint="eastAsia"/>
                <w:szCs w:val="21"/>
              </w:rPr>
              <w:t>具有良好的商业信誉和健全的财务会计制度（提供承诺函，格式自拟）；</w:t>
            </w:r>
          </w:p>
        </w:tc>
      </w:tr>
      <w:tr>
        <w:trPr>
          <w:trHeight w:val="563"/>
        </w:trPr>
        <w:tc>
          <w:tcPr>
            <w:tcW w:w="712" w:type="dxa"/>
            <w:vAlign w:val="center"/>
          </w:tcPr>
          <w:p>
            <w:pPr>
              <w:snapToGrid w:val="0"/>
              <w:jc w:val="center"/>
              <w:rPr>
                <w:szCs w:val="21"/>
              </w:rPr>
            </w:pPr>
            <w:r>
              <w:rPr>
                <w:szCs w:val="21"/>
              </w:rPr>
              <w:t>3</w:t>
            </w:r>
          </w:p>
        </w:tc>
        <w:tc>
          <w:tcPr>
            <w:tcW w:w="1701" w:type="dxa"/>
            <w:tcBorders>
              <w:left w:val="single" w:sz="4" w:space="0" w:color="auto"/>
            </w:tcBorders>
            <w:vAlign w:val="center"/>
          </w:tcPr>
          <w:p>
            <w:pPr>
              <w:snapToGrid w:val="0"/>
              <w:jc w:val="center"/>
              <w:rPr>
                <w:szCs w:val="21"/>
              </w:rPr>
            </w:pPr>
            <w:r>
              <w:rPr>
                <w:szCs w:val="21"/>
              </w:rPr>
              <w:t>纳税和社保</w:t>
            </w:r>
          </w:p>
        </w:tc>
        <w:tc>
          <w:tcPr>
            <w:tcW w:w="7583" w:type="dxa"/>
            <w:tcBorders>
              <w:left w:val="single" w:sz="4" w:space="0" w:color="auto"/>
            </w:tcBorders>
            <w:vAlign w:val="center"/>
          </w:tcPr>
          <w:p>
            <w:pPr>
              <w:tabs>
                <w:tab w:val="left" w:pos="720"/>
                <w:tab w:val="left" w:pos="900"/>
              </w:tabs>
              <w:adjustRightInd w:val="0"/>
              <w:snapToGrid w:val="0"/>
              <w:rPr>
                <w:szCs w:val="21"/>
              </w:rPr>
            </w:pPr>
            <w:r>
              <w:rPr>
                <w:rFonts w:ascii="宋体" w:hAnsi="宋体" w:hint="eastAsia"/>
                <w:szCs w:val="21"/>
              </w:rPr>
              <w:t>有依法缴纳税收和社会保障资金的良好记录（提供承诺函，格式自拟）；</w:t>
            </w:r>
          </w:p>
        </w:tc>
      </w:tr>
      <w:tr>
        <w:trPr>
          <w:trHeight w:val="563"/>
        </w:trPr>
        <w:tc>
          <w:tcPr>
            <w:tcW w:w="712" w:type="dxa"/>
            <w:vAlign w:val="center"/>
          </w:tcPr>
          <w:p>
            <w:pPr>
              <w:snapToGrid w:val="0"/>
              <w:jc w:val="center"/>
              <w:rPr>
                <w:szCs w:val="21"/>
              </w:rPr>
            </w:pPr>
            <w:r>
              <w:rPr>
                <w:szCs w:val="21"/>
              </w:rPr>
              <w:t>4</w:t>
            </w:r>
          </w:p>
        </w:tc>
        <w:tc>
          <w:tcPr>
            <w:tcW w:w="1701" w:type="dxa"/>
            <w:tcBorders>
              <w:left w:val="single" w:sz="4" w:space="0" w:color="auto"/>
            </w:tcBorders>
            <w:vAlign w:val="center"/>
          </w:tcPr>
          <w:p>
            <w:pPr>
              <w:snapToGrid w:val="0"/>
              <w:jc w:val="center"/>
              <w:rPr>
                <w:szCs w:val="21"/>
              </w:rPr>
            </w:pPr>
            <w:r>
              <w:rPr>
                <w:rFonts w:ascii="宋体" w:hAnsi="宋体" w:hint="eastAsia"/>
                <w:szCs w:val="21"/>
              </w:rPr>
              <w:t>专业技术能力</w:t>
            </w:r>
          </w:p>
        </w:tc>
        <w:tc>
          <w:tcPr>
            <w:tcW w:w="7583" w:type="dxa"/>
            <w:tcBorders>
              <w:left w:val="single" w:sz="4" w:space="0" w:color="auto"/>
            </w:tcBorders>
            <w:vAlign w:val="center"/>
          </w:tcPr>
          <w:p>
            <w:pPr>
              <w:tabs>
                <w:tab w:val="left" w:pos="720"/>
                <w:tab w:val="left" w:pos="900"/>
              </w:tabs>
              <w:adjustRightInd w:val="0"/>
              <w:snapToGrid w:val="0"/>
              <w:rPr>
                <w:rFonts w:ascii="宋体" w:hAnsi="宋体"/>
                <w:szCs w:val="21"/>
              </w:rPr>
            </w:pPr>
            <w:r>
              <w:rPr>
                <w:rFonts w:ascii="宋体" w:hAnsi="宋体" w:hint="eastAsia"/>
                <w:szCs w:val="21"/>
              </w:rPr>
              <w:t>具有履行合同所必需的设备和专业技术能力（提供承诺函，格式自拟）；</w:t>
            </w:r>
          </w:p>
        </w:tc>
      </w:tr>
      <w:tr>
        <w:trPr>
          <w:trHeight w:val="837"/>
        </w:trPr>
        <w:tc>
          <w:tcPr>
            <w:tcW w:w="712" w:type="dxa"/>
            <w:tcBorders>
              <w:bottom w:val="single" w:sz="4" w:space="0" w:color="auto"/>
            </w:tcBorders>
            <w:vAlign w:val="center"/>
          </w:tcPr>
          <w:p>
            <w:pPr>
              <w:jc w:val="center"/>
              <w:rPr>
                <w:szCs w:val="21"/>
              </w:rPr>
            </w:pPr>
            <w:r>
              <w:rPr>
                <w:szCs w:val="21"/>
              </w:rPr>
              <w:t>5</w:t>
            </w:r>
          </w:p>
        </w:tc>
        <w:tc>
          <w:tcPr>
            <w:tcW w:w="1701" w:type="dxa"/>
            <w:tcBorders>
              <w:bottom w:val="single" w:sz="4" w:space="0" w:color="auto"/>
            </w:tcBorders>
            <w:vAlign w:val="center"/>
          </w:tcPr>
          <w:p>
            <w:pPr>
              <w:jc w:val="center"/>
              <w:rPr>
                <w:szCs w:val="21"/>
              </w:rPr>
            </w:pPr>
            <w:r>
              <w:rPr>
                <w:szCs w:val="21"/>
              </w:rPr>
              <w:t>声明</w:t>
            </w:r>
          </w:p>
        </w:tc>
        <w:tc>
          <w:tcPr>
            <w:tcW w:w="7583" w:type="dxa"/>
            <w:tcBorders>
              <w:bottom w:val="single" w:sz="4" w:space="0" w:color="auto"/>
            </w:tcBorders>
            <w:vAlign w:val="center"/>
          </w:tcPr>
          <w:p>
            <w:pPr>
              <w:tabs>
                <w:tab w:val="left" w:pos="720"/>
                <w:tab w:val="left" w:pos="900"/>
              </w:tabs>
              <w:adjustRightInd w:val="0"/>
              <w:snapToGrid w:val="0"/>
              <w:spacing w:beforeLines="50" w:before="156" w:line="300" w:lineRule="auto"/>
              <w:rPr>
                <w:szCs w:val="21"/>
              </w:rPr>
            </w:pPr>
            <w:r>
              <w:rPr>
                <w:szCs w:val="21"/>
              </w:rPr>
              <w:t>提供参加政府采购活动前三年内，在经营活动中没有重大违法记录的书面声明</w:t>
            </w:r>
            <w:r>
              <w:rPr>
                <w:rFonts w:hint="eastAsia"/>
                <w:szCs w:val="21"/>
              </w:rPr>
              <w:t>（成立不足三年的从成立之日起计算）</w:t>
            </w:r>
          </w:p>
        </w:tc>
      </w:tr>
      <w:tr>
        <w:trPr>
          <w:trHeight w:val="1124"/>
        </w:trPr>
        <w:tc>
          <w:tcPr>
            <w:tcW w:w="712"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6</w:t>
            </w:r>
          </w:p>
        </w:tc>
        <w:tc>
          <w:tcPr>
            <w:tcW w:w="1701"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信用查询</w:t>
            </w:r>
          </w:p>
        </w:tc>
        <w:tc>
          <w:tcPr>
            <w:tcW w:w="7583" w:type="dxa"/>
            <w:tcBorders>
              <w:top w:val="single" w:sz="4" w:space="0" w:color="auto"/>
              <w:left w:val="single" w:sz="4" w:space="0" w:color="auto"/>
              <w:bottom w:val="single" w:sz="4" w:space="0" w:color="auto"/>
              <w:right w:val="single" w:sz="4" w:space="0" w:color="auto"/>
            </w:tcBorders>
            <w:vAlign w:val="center"/>
          </w:tcPr>
          <w:p>
            <w:pPr>
              <w:tabs>
                <w:tab w:val="left" w:pos="720"/>
                <w:tab w:val="left" w:pos="900"/>
              </w:tabs>
              <w:adjustRightInd w:val="0"/>
              <w:snapToGrid w:val="0"/>
              <w:spacing w:beforeLines="50" w:before="156" w:line="300" w:lineRule="auto"/>
              <w:rPr>
                <w:szCs w:val="21"/>
              </w:rPr>
            </w:pPr>
            <w:r>
              <w:rPr>
                <w:szCs w:val="21"/>
              </w:rPr>
              <w:t>在“信用中国”网站（www.creditchina.gov.cn）、中国政府采购网（www.ccgp.gov.cn）没有列入失信被执行人、重大税收违法案件当事人名单、政府采购严重违法失信行为记录名单的</w:t>
            </w:r>
            <w:r>
              <w:rPr>
                <w:rFonts w:hint="eastAsia"/>
                <w:szCs w:val="21"/>
              </w:rPr>
              <w:t>供应商</w:t>
            </w:r>
            <w:r>
              <w:rPr>
                <w:szCs w:val="21"/>
              </w:rPr>
              <w:t>。</w:t>
            </w:r>
            <w:r>
              <w:rPr>
                <w:rFonts w:hint="eastAsia"/>
                <w:szCs w:val="21"/>
              </w:rPr>
              <w:t>（查询日期须为本项目采购公告发布之后日期）。提供承诺函（格式自拟，供应商承诺函不实的，将依照有关法律法规追究法律责任）</w:t>
            </w:r>
          </w:p>
        </w:tc>
      </w:tr>
      <w:tr>
        <w:trPr>
          <w:trHeight w:val="1124"/>
        </w:trPr>
        <w:tc>
          <w:tcPr>
            <w:tcW w:w="712"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7</w:t>
            </w:r>
          </w:p>
        </w:tc>
        <w:tc>
          <w:tcPr>
            <w:tcW w:w="1701" w:type="dxa"/>
            <w:tcBorders>
              <w:top w:val="single" w:sz="4" w:space="0" w:color="auto"/>
              <w:left w:val="single" w:sz="4" w:space="0" w:color="auto"/>
              <w:bottom w:val="single" w:sz="4" w:space="0" w:color="auto"/>
              <w:right w:val="single" w:sz="4" w:space="0" w:color="auto"/>
            </w:tcBorders>
            <w:vAlign w:val="center"/>
          </w:tcPr>
          <w:p>
            <w:pPr>
              <w:jc w:val="center"/>
              <w:rPr>
                <w:szCs w:val="21"/>
              </w:rPr>
            </w:pPr>
            <w:r>
              <w:t>无环保类行政处罚记录</w:t>
            </w:r>
          </w:p>
        </w:tc>
        <w:tc>
          <w:tcPr>
            <w:tcW w:w="7583" w:type="dxa"/>
            <w:tcBorders>
              <w:top w:val="single" w:sz="4" w:space="0" w:color="auto"/>
              <w:left w:val="single" w:sz="4" w:space="0" w:color="auto"/>
              <w:bottom w:val="single" w:sz="4" w:space="0" w:color="auto"/>
              <w:right w:val="single" w:sz="4" w:space="0" w:color="auto"/>
            </w:tcBorders>
            <w:vAlign w:val="center"/>
          </w:tcPr>
          <w:p>
            <w:pPr>
              <w:tabs>
                <w:tab w:val="left" w:pos="720"/>
                <w:tab w:val="left" w:pos="900"/>
              </w:tabs>
              <w:adjustRightInd w:val="0"/>
              <w:snapToGrid w:val="0"/>
              <w:spacing w:beforeLines="50" w:before="156" w:line="300" w:lineRule="auto"/>
              <w:rPr>
                <w:szCs w:val="21"/>
              </w:rPr>
            </w:pPr>
            <w:r>
              <w:t>参加政府采购活动前三年内，在经营活动中无环保类行政处罚记录（提供声明函 ）</w:t>
            </w:r>
          </w:p>
        </w:tc>
      </w:tr>
      <w:tr>
        <w:trPr>
          <w:trHeight w:val="838"/>
        </w:trPr>
        <w:tc>
          <w:tcPr>
            <w:tcW w:w="712"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8</w:t>
            </w:r>
          </w:p>
        </w:tc>
        <w:tc>
          <w:tcPr>
            <w:tcW w:w="1701"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1"/>
              </w:rPr>
              <w:t>其他要求</w:t>
            </w:r>
          </w:p>
        </w:tc>
        <w:tc>
          <w:tcPr>
            <w:tcW w:w="7583" w:type="dxa"/>
            <w:tcBorders>
              <w:top w:val="single" w:sz="4" w:space="0" w:color="auto"/>
              <w:left w:val="single" w:sz="4" w:space="0" w:color="auto"/>
              <w:bottom w:val="single" w:sz="4" w:space="0" w:color="auto"/>
              <w:right w:val="single" w:sz="4" w:space="0" w:color="auto"/>
            </w:tcBorders>
            <w:vAlign w:val="center"/>
          </w:tcPr>
          <w:p>
            <w:pPr>
              <w:tabs>
                <w:tab w:val="left" w:pos="720"/>
                <w:tab w:val="left" w:pos="900"/>
              </w:tabs>
              <w:adjustRightInd w:val="0"/>
              <w:snapToGrid w:val="0"/>
              <w:spacing w:beforeLines="50" w:before="156" w:line="300" w:lineRule="auto"/>
              <w:rPr>
                <w:szCs w:val="21"/>
              </w:rPr>
            </w:pPr>
            <w:r>
              <w:t xml:space="preserve">无其它符合磋商文件中无效投标认定条件 </w:t>
            </w:r>
          </w:p>
        </w:tc>
      </w:tr>
      <w:tr>
        <w:trPr>
          <w:trHeight w:val="838"/>
        </w:trPr>
        <w:tc>
          <w:tcPr>
            <w:tcW w:w="712"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9</w:t>
            </w:r>
          </w:p>
        </w:tc>
        <w:tc>
          <w:tcPr>
            <w:tcW w:w="1701"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非联合体响应</w:t>
            </w:r>
          </w:p>
        </w:tc>
        <w:tc>
          <w:tcPr>
            <w:tcW w:w="7583" w:type="dxa"/>
            <w:tcBorders>
              <w:top w:val="single" w:sz="4" w:space="0" w:color="auto"/>
              <w:left w:val="single" w:sz="4" w:space="0" w:color="auto"/>
              <w:bottom w:val="single" w:sz="4" w:space="0" w:color="auto"/>
              <w:right w:val="single" w:sz="4" w:space="0" w:color="auto"/>
            </w:tcBorders>
            <w:vAlign w:val="center"/>
          </w:tcPr>
          <w:p>
            <w:pPr>
              <w:tabs>
                <w:tab w:val="left" w:pos="720"/>
                <w:tab w:val="left" w:pos="900"/>
              </w:tabs>
              <w:adjustRightInd w:val="0"/>
              <w:snapToGrid w:val="0"/>
              <w:spacing w:beforeLines="50" w:before="156" w:line="300" w:lineRule="auto"/>
            </w:pPr>
            <w:r>
              <w:t>本次磋商不接受联合体 （提供</w:t>
            </w:r>
            <w:r>
              <w:rPr>
                <w:szCs w:val="21"/>
              </w:rPr>
              <w:t>非</w:t>
            </w:r>
            <w:r>
              <w:t>联合体声明函）</w:t>
            </w:r>
          </w:p>
        </w:tc>
      </w:tr>
      <w:tr>
        <w:trPr>
          <w:trHeight w:val="838"/>
        </w:trPr>
        <w:tc>
          <w:tcPr>
            <w:tcW w:w="712"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10</w:t>
            </w:r>
          </w:p>
        </w:tc>
        <w:tc>
          <w:tcPr>
            <w:tcW w:w="1701" w:type="dxa"/>
            <w:tcBorders>
              <w:top w:val="single" w:sz="4" w:space="0" w:color="auto"/>
              <w:left w:val="single" w:sz="4" w:space="0" w:color="auto"/>
              <w:bottom w:val="single" w:sz="4" w:space="0" w:color="auto"/>
              <w:right w:val="single" w:sz="4" w:space="0" w:color="auto"/>
            </w:tcBorders>
            <w:vAlign w:val="center"/>
          </w:tcPr>
          <w:p>
            <w:pPr>
              <w:jc w:val="center"/>
              <w:rPr>
                <w:szCs w:val="21"/>
              </w:rPr>
            </w:pPr>
            <w:r>
              <w:t>式样和签署</w:t>
            </w:r>
          </w:p>
        </w:tc>
        <w:tc>
          <w:tcPr>
            <w:tcW w:w="7583" w:type="dxa"/>
            <w:tcBorders>
              <w:top w:val="single" w:sz="4" w:space="0" w:color="auto"/>
              <w:left w:val="single" w:sz="4" w:space="0" w:color="auto"/>
              <w:bottom w:val="single" w:sz="4" w:space="0" w:color="auto"/>
              <w:right w:val="single" w:sz="4" w:space="0" w:color="auto"/>
            </w:tcBorders>
            <w:vAlign w:val="center"/>
          </w:tcPr>
          <w:p>
            <w:pPr>
              <w:tabs>
                <w:tab w:val="left" w:pos="720"/>
                <w:tab w:val="left" w:pos="900"/>
              </w:tabs>
              <w:adjustRightInd w:val="0"/>
              <w:snapToGrid w:val="0"/>
              <w:spacing w:beforeLines="50" w:before="156" w:line="300" w:lineRule="auto"/>
            </w:pPr>
            <w:r>
              <w:t>响应文件符合磋商文件的式样和签署要求，无重大缺漏</w:t>
            </w:r>
          </w:p>
        </w:tc>
      </w:tr>
    </w:tbl>
    <w:p>
      <w:bookmarkEnd w:id="97"/>
      <w:r>
        <w:rPr>
          <w:rFonts w:hint="eastAsia"/>
          <w:b/>
          <w:bCs/>
          <w:u w:val="single"/>
        </w:rPr>
        <w:t>“响应文件审查表”中的每一项条款均为实质性要求，供应商必须满足，有任何一项不满足都将会导致磋商失败，请供应商认真对待。证明材料需附于响应文件中。</w:t>
      </w:r>
    </w:p>
    <w:p>
      <w:pPr>
        <w:pStyle w:val="3"/>
        <w:rPr>
          <w:rFonts w:ascii="宋体" w:hAnsi="宋体"/>
          <w:bCs/>
          <w:kern w:val="0"/>
          <w:sz w:val="24"/>
        </w:rPr>
      </w:pPr>
      <w:r>
        <w:rPr>
          <w:rFonts w:ascii="宋体" w:hAnsi="宋体" w:hint="eastAsia"/>
          <w:bCs/>
          <w:kern w:val="0"/>
          <w:szCs w:val="21"/>
        </w:rPr>
        <w:br w:type="page"/>
      </w:r>
      <w:bookmarkStart w:id="98" w:name="_Toc67843815"/>
      <w:r>
        <w:rPr>
          <w:rFonts w:ascii="宋体" w:hAnsi="宋体" w:hint="eastAsia"/>
          <w:bCs/>
          <w:kern w:val="0"/>
          <w:sz w:val="24"/>
        </w:rPr>
        <w:t>附表2、评审标准和方法</w:t>
      </w:r>
      <w:bookmarkEnd w:id="98"/>
    </w:p>
    <w:p>
      <w:bookmarkStart w:id="99" w:name="_Toc20787"/>
      <w:bookmarkStart w:id="100" w:name="_Toc317237629"/>
      <w:bookmarkStart w:id="101" w:name="_Toc212102881"/>
    </w:p>
    <w:tbl>
      <w:tblPr>
        <w:jc w:val="cente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4A0" w:firstRow="1" w:lastRow="0" w:firstColumn="1" w:lastColumn="0" w:noHBand="0" w:noVBand="1"/>
      </w:tblPr>
      <w:tblGrid>
        <w:gridCol w:w="752"/>
        <w:gridCol w:w="1273"/>
        <w:gridCol w:w="6762"/>
        <w:gridCol w:w="903"/>
      </w:tblGrid>
      <w:tr>
        <w:tc>
          <w:tcPr>
            <w:tcW w:w="752" w:type="dxa"/>
            <w:vAlign w:val="center"/>
          </w:tcPr>
          <w:p>
            <w:pPr>
              <w:jc w:val="center"/>
              <w:rPr>
                <w:rFonts w:ascii="宋体" w:cs="宋体" w:hAnsi="宋体" w:hint="eastAsia"/>
                <w:szCs w:val="21"/>
              </w:rPr>
            </w:pPr>
            <w:r>
              <w:rPr>
                <w:rFonts w:ascii="宋体" w:cs="宋体" w:hAnsi="宋体" w:hint="eastAsia"/>
                <w:b/>
                <w:bCs/>
                <w:kern w:val="0"/>
                <w:szCs w:val="21"/>
              </w:rPr>
              <w:t>序号</w:t>
            </w:r>
          </w:p>
        </w:tc>
        <w:tc>
          <w:tcPr>
            <w:tcW w:w="1273" w:type="dxa"/>
            <w:vAlign w:val="center"/>
          </w:tcPr>
          <w:p>
            <w:pPr>
              <w:jc w:val="center"/>
              <w:rPr>
                <w:rFonts w:ascii="宋体" w:cs="宋体" w:hAnsi="宋体" w:hint="eastAsia"/>
                <w:szCs w:val="21"/>
              </w:rPr>
            </w:pPr>
            <w:r>
              <w:rPr>
                <w:rFonts w:ascii="宋体" w:cs="宋体" w:hAnsi="宋体" w:hint="eastAsia"/>
                <w:b/>
                <w:bCs/>
                <w:kern w:val="0"/>
                <w:szCs w:val="21"/>
              </w:rPr>
              <w:t>考核内容</w:t>
            </w:r>
          </w:p>
        </w:tc>
        <w:tc>
          <w:tcPr>
            <w:tcW w:w="6762" w:type="dxa"/>
            <w:vAlign w:val="center"/>
          </w:tcPr>
          <w:p>
            <w:pPr>
              <w:jc w:val="center"/>
              <w:rPr>
                <w:rFonts w:ascii="宋体" w:cs="宋体" w:hAnsi="宋体" w:hint="eastAsia"/>
                <w:szCs w:val="21"/>
              </w:rPr>
            </w:pPr>
            <w:r>
              <w:rPr>
                <w:rFonts w:ascii="宋体" w:cs="宋体" w:hAnsi="宋体" w:hint="eastAsia"/>
                <w:b/>
                <w:bCs/>
                <w:kern w:val="0"/>
                <w:szCs w:val="21"/>
              </w:rPr>
              <w:t>评分标准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b/>
                <w:bCs/>
                <w:kern w:val="0"/>
                <w:sz w:val="24"/>
                <w:szCs w:val="24"/>
              </w:rPr>
              <w:t>最高分值</w:t>
            </w:r>
          </w:p>
        </w:tc>
      </w:tr>
      <w:tr>
        <w:trPr>
          <w:trHeight w:val="191"/>
        </w:trPr>
        <w:tc>
          <w:tcPr>
            <w:tcW w:w="9690" w:type="dxa"/>
            <w:gridSpan w:val="4"/>
          </w:tcPr>
          <w:p>
            <w:pPr>
              <w:spacing w:beforeLines="100" w:before="312" w:afterLines="100" w:after="312"/>
              <w:jc w:val="center"/>
              <w:rPr>
                <w:rFonts w:ascii="宋体" w:cs="宋体" w:hAnsi="宋体" w:hint="eastAsia"/>
                <w:szCs w:val="21"/>
              </w:rPr>
            </w:pPr>
            <w:r>
              <w:rPr>
                <w:rFonts w:ascii="宋体" w:cs="宋体" w:hAnsi="宋体" w:hint="eastAsia"/>
                <w:b/>
                <w:bCs/>
                <w:kern w:val="0"/>
                <w:szCs w:val="21"/>
              </w:rPr>
              <w:t>价格部分（10分）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1</w:t>
            </w:r>
          </w:p>
        </w:tc>
        <w:tc>
          <w:tcPr>
            <w:tcW w:w="1273" w:type="dxa"/>
            <w:vAlign w:val="center"/>
          </w:tcPr>
          <w:p>
            <w:pPr>
              <w:widowControl/>
              <w:jc w:val="center"/>
              <w:rPr>
                <w:rFonts w:ascii="宋体" w:cs="宋体" w:hAnsi="宋体" w:hint="eastAsia"/>
                <w:kern w:val="0"/>
                <w:szCs w:val="21"/>
              </w:rPr>
            </w:pPr>
            <w:r>
              <w:rPr>
                <w:rFonts w:ascii="宋体" w:cs="宋体" w:hAnsi="宋体" w:hint="eastAsia"/>
                <w:kern w:val="0"/>
                <w:szCs w:val="21"/>
              </w:rPr>
              <w:t>磋商报价</w:t>
            </w:r>
          </w:p>
          <w:p>
            <w:pPr>
              <w:jc w:val="center"/>
              <w:rPr>
                <w:rFonts w:ascii="宋体" w:cs="宋体" w:hAnsi="宋体" w:hint="eastAsia"/>
                <w:szCs w:val="21"/>
              </w:rPr>
            </w:pPr>
            <w:r>
              <w:rPr>
                <w:rFonts w:ascii="宋体" w:cs="宋体" w:hAnsi="宋体" w:hint="eastAsia"/>
                <w:kern w:val="0"/>
                <w:szCs w:val="21"/>
              </w:rPr>
              <w:t>（10分）</w:t>
            </w:r>
          </w:p>
        </w:tc>
        <w:tc>
          <w:tcPr>
            <w:tcW w:w="6762" w:type="dxa"/>
            <w:vAlign w:val="center"/>
          </w:tcPr>
          <w:p>
            <w:pPr>
              <w:rPr>
                <w:rFonts w:ascii="宋体" w:cs="宋体" w:hAnsi="宋体" w:hint="eastAsia"/>
                <w:szCs w:val="21"/>
              </w:rPr>
            </w:pPr>
            <w:r>
              <w:rPr>
                <w:rFonts w:ascii="宋体" w:cs="宋体" w:hAnsi="宋体" w:hint="eastAsia"/>
                <w:kern w:val="0"/>
                <w:szCs w:val="21"/>
              </w:rPr>
              <w:t>①综合评分法中的价格分统一采用低价优先法计算，即满足磋商文件要求且最后报价最低的供应商的价格为磋商基准价，其价格分为满分。其他供应商的价格分统一按照下列公式计算：</w:t>
            </w:r>
          </w:p>
          <w:p>
            <w:pPr>
              <w:rPr>
                <w:rFonts w:ascii="宋体" w:cs="宋体" w:hAnsi="宋体" w:hint="eastAsia"/>
                <w:szCs w:val="21"/>
              </w:rPr>
            </w:pPr>
            <w:r>
              <w:rPr>
                <w:rFonts w:ascii="宋体" w:cs="宋体" w:hAnsi="宋体" w:hint="eastAsia"/>
                <w:kern w:val="0"/>
                <w:szCs w:val="21"/>
              </w:rPr>
              <w:t>②磋商报价得分=（磋商基准价/最后磋商报价）×10%×100</w:t>
            </w:r>
          </w:p>
          <w:p>
            <w:pPr>
              <w:rPr>
                <w:rFonts w:ascii="宋体" w:cs="宋体" w:hAnsi="宋体" w:hint="eastAsia"/>
                <w:szCs w:val="21"/>
              </w:rPr>
            </w:pPr>
            <w:r>
              <w:rPr>
                <w:rFonts w:ascii="宋体" w:cs="宋体" w:hAnsi="宋体" w:hint="eastAsia"/>
                <w:kern w:val="0"/>
                <w:szCs w:val="21"/>
              </w:rPr>
              <w:t>③磋商小组认为供应商的最后报价明显低于其他通过符合性审查供应商的报价，有可能影响诚信履约的，应当要求其在评审现场合理的时间内提供书面说明，必要时提交相关证明材料；供应商不能证明其报价合理性的，磋商小组应当将其作为无效投标处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kern w:val="0"/>
                <w:sz w:val="24"/>
                <w:szCs w:val="24"/>
              </w:rPr>
              <w:t>10分</w:t>
            </w:r>
          </w:p>
        </w:tc>
      </w:tr>
      <w:tr>
        <w:trPr>
          <w:trHeight w:val="90"/>
        </w:trPr>
        <w:tc>
          <w:tcPr>
            <w:tcW w:w="9690" w:type="dxa"/>
            <w:gridSpan w:val="4"/>
          </w:tcPr>
          <w:p>
            <w:pPr>
              <w:spacing w:beforeLines="100" w:before="312" w:afterLines="100" w:after="312"/>
              <w:jc w:val="center"/>
              <w:rPr>
                <w:rFonts w:ascii="宋体" w:cs="宋体" w:hAnsi="宋体" w:hint="eastAsia"/>
                <w:szCs w:val="21"/>
              </w:rPr>
            </w:pPr>
            <w:r>
              <w:rPr>
                <w:rFonts w:ascii="宋体" w:cs="宋体" w:hAnsi="宋体" w:hint="eastAsia"/>
                <w:b/>
                <w:bCs/>
                <w:kern w:val="0"/>
                <w:szCs w:val="21"/>
              </w:rPr>
              <w:t>商务部分（20分）</w:t>
            </w:r>
          </w:p>
        </w:tc>
      </w:tr>
      <w:tr>
        <w:tc>
          <w:tcPr>
            <w:tcW w:w="752" w:type="dxa"/>
            <w:vAlign w:val="center"/>
          </w:tcPr>
          <w:p>
            <w:pPr>
              <w:jc w:val="center"/>
              <w:rPr>
                <w:rFonts w:ascii="宋体" w:cs="宋体" w:hAnsi="宋体" w:hint="eastAsia"/>
                <w:szCs w:val="21"/>
              </w:rPr>
            </w:pPr>
            <w:r>
              <w:rPr>
                <w:rFonts w:ascii="宋体" w:cs="宋体" w:hAnsi="宋体" w:hint="eastAsia"/>
                <w:b/>
                <w:bCs/>
                <w:kern w:val="0"/>
                <w:szCs w:val="21"/>
              </w:rPr>
              <w:t>序号</w:t>
            </w:r>
          </w:p>
        </w:tc>
        <w:tc>
          <w:tcPr>
            <w:tcW w:w="1273" w:type="dxa"/>
            <w:vAlign w:val="center"/>
          </w:tcPr>
          <w:p>
            <w:pPr>
              <w:jc w:val="center"/>
              <w:rPr>
                <w:rFonts w:ascii="宋体" w:cs="宋体" w:hAnsi="宋体" w:hint="eastAsia"/>
                <w:szCs w:val="21"/>
              </w:rPr>
            </w:pPr>
            <w:r>
              <w:rPr>
                <w:rFonts w:ascii="宋体" w:cs="宋体" w:hAnsi="宋体" w:hint="eastAsia"/>
                <w:b/>
                <w:bCs/>
                <w:kern w:val="0"/>
                <w:szCs w:val="21"/>
              </w:rPr>
              <w:t>考核内容</w:t>
            </w:r>
          </w:p>
        </w:tc>
        <w:tc>
          <w:tcPr>
            <w:tcW w:w="6762" w:type="dxa"/>
            <w:vAlign w:val="center"/>
          </w:tcPr>
          <w:p>
            <w:pPr>
              <w:jc w:val="center"/>
              <w:rPr>
                <w:rFonts w:ascii="宋体" w:cs="宋体" w:hAnsi="宋体" w:hint="eastAsia"/>
                <w:szCs w:val="21"/>
              </w:rPr>
            </w:pPr>
            <w:r>
              <w:rPr>
                <w:rFonts w:ascii="宋体" w:cs="宋体" w:hAnsi="宋体" w:hint="eastAsia"/>
                <w:b/>
                <w:bCs/>
                <w:kern w:val="0"/>
                <w:szCs w:val="21"/>
              </w:rPr>
              <w:t>评分标准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b/>
                <w:bCs/>
                <w:kern w:val="0"/>
                <w:sz w:val="24"/>
                <w:szCs w:val="24"/>
              </w:rPr>
              <w:t>最高分值</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1</w:t>
            </w:r>
          </w:p>
        </w:tc>
        <w:tc>
          <w:tcPr>
            <w:tcW w:w="1273" w:type="dxa"/>
            <w:vAlign w:val="center"/>
          </w:tcPr>
          <w:p>
            <w:pPr>
              <w:jc w:val="center"/>
              <w:rPr>
                <w:rFonts w:ascii="宋体" w:cs="宋体" w:hAnsi="宋体" w:hint="eastAsia"/>
                <w:szCs w:val="21"/>
              </w:rPr>
            </w:pPr>
            <w:r>
              <w:rPr>
                <w:rFonts w:ascii="宋体" w:cs="宋体" w:hAnsi="宋体" w:hint="eastAsia"/>
                <w:kern w:val="0"/>
                <w:szCs w:val="21"/>
              </w:rPr>
              <w:t>项目业绩</w:t>
            </w:r>
          </w:p>
        </w:tc>
        <w:tc>
          <w:tcPr>
            <w:tcW w:w="6762" w:type="dxa"/>
            <w:vAlign w:val="center"/>
          </w:tcPr>
          <w:p>
            <w:pPr>
              <w:rPr>
                <w:rFonts w:ascii="宋体" w:cs="宋体" w:hAnsi="宋体" w:hint="eastAsia"/>
                <w:szCs w:val="21"/>
              </w:rPr>
            </w:pPr>
            <w:r>
              <w:rPr>
                <w:rFonts w:ascii="宋体" w:cs="宋体" w:hAnsi="宋体" w:hint="eastAsia"/>
                <w:kern w:val="0"/>
                <w:szCs w:val="21"/>
              </w:rPr>
              <w:t>供应商需提供自2022年至今，同类项目业绩（项目合同内容须包含技术服务项目），每项得1分，最高得4分。</w:t>
            </w:r>
          </w:p>
          <w:p>
            <w:pPr>
              <w:rPr>
                <w:rFonts w:ascii="宋体" w:cs="宋体" w:hAnsi="宋体" w:hint="eastAsia"/>
                <w:szCs w:val="21"/>
              </w:rPr>
            </w:pPr>
            <w:r>
              <w:rPr>
                <w:rFonts w:ascii="宋体" w:cs="宋体" w:hAnsi="宋体" w:hint="eastAsia"/>
                <w:kern w:val="0"/>
                <w:szCs w:val="21"/>
              </w:rPr>
              <w:t>证明材料：须提供项目合同复印件及用户好评书并加盖公章，未提供不得分。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kern w:val="0"/>
                <w:sz w:val="24"/>
                <w:szCs w:val="24"/>
              </w:rPr>
              <w:t>4分</w:t>
            </w:r>
          </w:p>
        </w:tc>
      </w:tr>
      <w:tr>
        <w:trPr>
          <w:trHeight w:val="90"/>
        </w:trPr>
        <w:tc>
          <w:tcPr>
            <w:tcW w:w="752" w:type="dxa"/>
            <w:vAlign w:val="center"/>
          </w:tcPr>
          <w:p>
            <w:pPr>
              <w:jc w:val="center"/>
              <w:rPr>
                <w:rFonts w:ascii="宋体" w:cs="宋体" w:hAnsi="宋体" w:hint="eastAsia"/>
                <w:szCs w:val="21"/>
              </w:rPr>
            </w:pPr>
            <w:r>
              <w:rPr>
                <w:rFonts w:ascii="宋体" w:cs="宋体" w:hAnsi="宋体" w:hint="eastAsia"/>
                <w:kern w:val="0"/>
                <w:szCs w:val="21"/>
              </w:rPr>
              <w:t>2</w:t>
            </w:r>
          </w:p>
        </w:tc>
        <w:tc>
          <w:tcPr>
            <w:tcW w:w="1273" w:type="dxa"/>
            <w:vAlign w:val="center"/>
          </w:tcPr>
          <w:p>
            <w:pPr>
              <w:jc w:val="center"/>
              <w:rPr>
                <w:rFonts w:ascii="宋体" w:cs="宋体" w:hAnsi="宋体" w:hint="eastAsia"/>
                <w:szCs w:val="21"/>
              </w:rPr>
            </w:pPr>
            <w:r>
              <w:rPr>
                <w:rFonts w:ascii="宋体" w:cs="宋体" w:hAnsi="宋体" w:hint="eastAsia"/>
                <w:kern w:val="0"/>
                <w:szCs w:val="21"/>
              </w:rPr>
              <w:t>技术团队</w:t>
            </w:r>
          </w:p>
        </w:tc>
        <w:tc>
          <w:tcPr>
            <w:tcW w:w="6762" w:type="dxa"/>
            <w:vAlign w:val="center"/>
          </w:tcPr>
          <w:p>
            <w:pPr>
              <w:rPr>
                <w:rFonts w:ascii="宋体" w:cs="宋体" w:hAnsi="宋体" w:hint="eastAsia"/>
                <w:color w:val="000000"/>
                <w:szCs w:val="21"/>
              </w:rPr>
            </w:pPr>
            <w:r>
              <w:rPr>
                <w:rFonts w:ascii="宋体" w:cs="宋体" w:hAnsi="宋体" w:hint="eastAsia"/>
                <w:color w:val="000000"/>
                <w:kern w:val="0"/>
                <w:szCs w:val="21"/>
              </w:rPr>
              <w:t>供应商应具备专业技术团队，团队成员具有中国环境监测总站颁发的</w:t>
            </w:r>
            <w:r>
              <w:rPr>
                <w:rFonts w:ascii="宋体" w:cs="宋体" w:hAnsi="宋体"/>
                <w:color w:val="000000"/>
                <w:kern w:val="0"/>
                <w:szCs w:val="21"/>
              </w:rPr>
              <w:t>相关</w:t>
            </w:r>
            <w:r>
              <w:rPr>
                <w:rFonts w:ascii="宋体" w:cs="宋体" w:hAnsi="宋体" w:hint="eastAsia"/>
                <w:color w:val="000000"/>
                <w:kern w:val="0"/>
                <w:szCs w:val="21"/>
              </w:rPr>
              <w:t>水质监测运维上岗证，每人得2分，最高得4分，未提供不得分。</w:t>
            </w:r>
          </w:p>
          <w:p>
            <w:pPr>
              <w:rPr>
                <w:rFonts w:ascii="宋体" w:cs="宋体" w:hAnsi="宋体" w:hint="eastAsia"/>
                <w:color w:val="000000"/>
                <w:szCs w:val="21"/>
              </w:rPr>
            </w:pPr>
            <w:r>
              <w:rPr>
                <w:rFonts w:ascii="宋体" w:cs="宋体" w:hAnsi="宋体" w:hint="eastAsia"/>
                <w:color w:val="000000"/>
                <w:kern w:val="0"/>
                <w:szCs w:val="21"/>
              </w:rPr>
              <w:t>证明材料：须提供团队成员的证书以及</w:t>
            </w:r>
            <w:r>
              <w:rPr>
                <w:rFonts w:ascii="宋体" w:cs="宋体" w:hAnsi="宋体"/>
                <w:color w:val="000000"/>
                <w:kern w:val="0"/>
                <w:szCs w:val="21"/>
              </w:rPr>
              <w:t>2025年6月至今任意</w:t>
            </w:r>
            <w:r>
              <w:rPr>
                <w:rFonts w:ascii="宋体" w:cs="宋体" w:hAnsi="宋体" w:hint="eastAsia"/>
                <w:color w:val="000000"/>
                <w:kern w:val="0"/>
                <w:szCs w:val="21"/>
              </w:rPr>
              <w:t>三个月该员工社保缴费证明复印件并加盖公章，未提供不得分。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kern w:val="0"/>
                <w:sz w:val="24"/>
                <w:szCs w:val="24"/>
              </w:rPr>
              <w:t>4分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3</w:t>
            </w:r>
          </w:p>
        </w:tc>
        <w:tc>
          <w:tcPr>
            <w:tcW w:w="1273" w:type="dxa"/>
            <w:vAlign w:val="center"/>
          </w:tcPr>
          <w:p>
            <w:pPr>
              <w:jc w:val="center"/>
              <w:rPr>
                <w:rFonts w:ascii="宋体" w:cs="宋体" w:hAnsi="宋体" w:hint="eastAsia"/>
                <w:szCs w:val="21"/>
              </w:rPr>
            </w:pPr>
            <w:r>
              <w:rPr>
                <w:rFonts w:ascii="宋体" w:cs="宋体" w:hAnsi="宋体" w:hint="eastAsia"/>
                <w:kern w:val="0"/>
                <w:szCs w:val="21"/>
              </w:rPr>
              <w:t>车辆配置</w:t>
            </w:r>
          </w:p>
        </w:tc>
        <w:tc>
          <w:tcPr>
            <w:tcW w:w="6762" w:type="dxa"/>
            <w:vAlign w:val="center"/>
          </w:tcPr>
          <w:p>
            <w:pPr>
              <w:rPr>
                <w:rFonts w:ascii="宋体" w:cs="宋体" w:hAnsi="宋体" w:hint="eastAsia"/>
                <w:color w:val="000000"/>
                <w:szCs w:val="21"/>
              </w:rPr>
            </w:pPr>
            <w:r>
              <w:rPr>
                <w:rFonts w:ascii="宋体" w:cs="宋体" w:hAnsi="宋体" w:hint="eastAsia"/>
                <w:color w:val="000000"/>
                <w:kern w:val="0"/>
                <w:szCs w:val="21"/>
              </w:rPr>
              <w:t>供应商能在项目实施地内</w:t>
            </w:r>
            <w:r>
              <w:rPr>
                <w:rFonts w:ascii="宋体" w:cs="宋体" w:hAnsi="宋体"/>
                <w:color w:val="000000"/>
                <w:kern w:val="0"/>
                <w:szCs w:val="21"/>
              </w:rPr>
              <w:t>每</w:t>
            </w:r>
            <w:r>
              <w:rPr>
                <w:rFonts w:ascii="宋体" w:cs="宋体" w:hAnsi="宋体" w:hint="eastAsia"/>
                <w:color w:val="000000"/>
                <w:kern w:val="0"/>
                <w:szCs w:val="21"/>
              </w:rPr>
              <w:t>配备</w:t>
            </w:r>
            <w:r>
              <w:rPr>
                <w:rFonts w:ascii="宋体" w:cs="宋体" w:hAnsi="宋体"/>
                <w:color w:val="000000"/>
                <w:kern w:val="0"/>
                <w:szCs w:val="21"/>
              </w:rPr>
              <w:t>1</w:t>
            </w:r>
            <w:r>
              <w:rPr>
                <w:rFonts w:ascii="宋体" w:cs="宋体" w:hAnsi="宋体" w:hint="eastAsia"/>
                <w:color w:val="000000"/>
                <w:kern w:val="0"/>
                <w:szCs w:val="21"/>
              </w:rPr>
              <w:t>辆专用巡检车辆（车辆登记在供应商名下或者</w:t>
            </w:r>
            <w:r>
              <w:rPr>
                <w:rFonts w:ascii="宋体" w:cs="仿宋_GB2312" w:hAnsi="宋体" w:hint="eastAsia"/>
                <w:kern w:val="0"/>
                <w:szCs w:val="21"/>
              </w:rPr>
              <w:t>或租期不少于项目实施期限的租赁车辆</w:t>
            </w:r>
            <w:r>
              <w:rPr>
                <w:rFonts w:ascii="宋体" w:cs="宋体" w:hAnsi="宋体" w:hint="eastAsia"/>
                <w:color w:val="000000"/>
                <w:kern w:val="0"/>
                <w:szCs w:val="21"/>
              </w:rPr>
              <w:t>）的得2分，</w:t>
            </w:r>
            <w:r>
              <w:rPr>
                <w:rFonts w:ascii="宋体" w:cs="宋体" w:hAnsi="宋体" w:hint="eastAsia"/>
                <w:kern w:val="0"/>
                <w:szCs w:val="21"/>
              </w:rPr>
              <w:t>最高得</w:t>
            </w:r>
            <w:r>
              <w:rPr>
                <w:rFonts w:ascii="宋体" w:cs="宋体" w:hAnsi="宋体"/>
                <w:kern w:val="0"/>
                <w:szCs w:val="21"/>
              </w:rPr>
              <w:t>6</w:t>
            </w:r>
            <w:r>
              <w:rPr>
                <w:rFonts w:ascii="宋体" w:cs="宋体" w:hAnsi="宋体" w:hint="eastAsia"/>
                <w:kern w:val="0"/>
                <w:szCs w:val="21"/>
              </w:rPr>
              <w:t>分</w:t>
            </w:r>
            <w:r>
              <w:rPr>
                <w:rFonts w:ascii="宋体" w:cs="宋体" w:hAnsi="宋体" w:hint="eastAsia"/>
                <w:color w:val="000000"/>
                <w:kern w:val="0"/>
                <w:szCs w:val="21"/>
              </w:rPr>
              <w:t>。</w:t>
            </w:r>
          </w:p>
          <w:p>
            <w:pPr>
              <w:rPr>
                <w:rFonts w:ascii="宋体" w:cs="宋体" w:hAnsi="宋体" w:hint="eastAsia"/>
                <w:color w:val="000000"/>
                <w:szCs w:val="21"/>
              </w:rPr>
            </w:pPr>
            <w:r>
              <w:rPr>
                <w:rFonts w:ascii="宋体" w:cs="宋体" w:hAnsi="宋体" w:hint="eastAsia"/>
                <w:color w:val="000000"/>
                <w:kern w:val="0"/>
                <w:szCs w:val="21"/>
              </w:rPr>
              <w:t>证明材料：须提供运维车辆行驶证复印件，如非自购车辆还需提供租赁合同复印件及车辆图片并加盖公章，不提供不得分。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kern w:val="0"/>
                <w:sz w:val="24"/>
                <w:szCs w:val="24"/>
              </w:rPr>
              <w:t>6分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4</w:t>
            </w:r>
          </w:p>
        </w:tc>
        <w:tc>
          <w:tcPr>
            <w:tcW w:w="1273" w:type="dxa"/>
            <w:vAlign w:val="center"/>
          </w:tcPr>
          <w:p>
            <w:pPr>
              <w:jc w:val="center"/>
              <w:rPr>
                <w:rFonts w:ascii="宋体" w:cs="宋体" w:hAnsi="宋体" w:hint="eastAsia"/>
                <w:szCs w:val="21"/>
              </w:rPr>
            </w:pPr>
            <w:r>
              <w:rPr>
                <w:rFonts w:ascii="宋体" w:cs="宋体" w:hAnsi="宋体" w:hint="eastAsia"/>
                <w:kern w:val="0"/>
                <w:szCs w:val="21"/>
              </w:rPr>
              <w:t>驻地办事处</w:t>
            </w:r>
          </w:p>
        </w:tc>
        <w:tc>
          <w:tcPr>
            <w:tcW w:w="6762" w:type="dxa"/>
            <w:vAlign w:val="center"/>
          </w:tcPr>
          <w:p>
            <w:pPr>
              <w:rPr>
                <w:rFonts w:ascii="宋体" w:cs="宋体" w:hAnsi="宋体" w:hint="eastAsia"/>
                <w:color w:val="000000"/>
                <w:szCs w:val="21"/>
              </w:rPr>
            </w:pPr>
            <w:r>
              <w:rPr>
                <w:rFonts w:ascii="宋体" w:cs="宋体" w:hAnsi="宋体" w:hint="eastAsia"/>
                <w:color w:val="000000"/>
                <w:kern w:val="0"/>
                <w:szCs w:val="21"/>
              </w:rPr>
              <w:t>供应商在白沙</w:t>
            </w:r>
            <w:r>
              <w:rPr>
                <w:rFonts w:ascii="宋体" w:cs="宋体" w:hAnsi="宋体"/>
                <w:color w:val="000000"/>
                <w:kern w:val="0"/>
                <w:szCs w:val="21"/>
              </w:rPr>
              <w:t>黎族自治县</w:t>
            </w:r>
            <w:r>
              <w:rPr>
                <w:rFonts w:ascii="宋体" w:cs="宋体" w:hAnsi="宋体" w:hint="eastAsia"/>
                <w:color w:val="000000"/>
                <w:kern w:val="0"/>
                <w:szCs w:val="21"/>
              </w:rPr>
              <w:t>内设立1个驻地办事处，并安排项目驻点人员。办事处布局合理，满足人员办公、培训及运维物资储存要求。此项得6分。</w:t>
            </w:r>
          </w:p>
          <w:p>
            <w:pPr>
              <w:rPr>
                <w:rFonts w:ascii="宋体" w:cs="宋体" w:hAnsi="宋体" w:hint="eastAsia"/>
                <w:color w:val="000000"/>
                <w:szCs w:val="21"/>
              </w:rPr>
            </w:pPr>
            <w:r>
              <w:rPr>
                <w:rFonts w:ascii="宋体" w:cs="宋体" w:hAnsi="宋体" w:hint="eastAsia"/>
                <w:color w:val="000000"/>
                <w:kern w:val="0"/>
                <w:szCs w:val="21"/>
              </w:rPr>
              <w:t>证明材料：须提供房屋租赁合同复印件并加盖公章，不提供不得分。</w:t>
            </w:r>
          </w:p>
        </w:tc>
        <w:tc>
          <w:tcPr>
            <w:tcW w:w="903" w:type="dxa"/>
            <w:vAlign w:val="center"/>
          </w:tcPr>
          <w:p>
            <w:pPr>
              <w:spacing w:line="360" w:lineRule="exact"/>
              <w:jc w:val="center"/>
              <w:rPr>
                <w:rFonts w:ascii="宋体" w:cs="宋体" w:hAnsi="宋体" w:hint="eastAsia"/>
                <w:sz w:val="24"/>
                <w:szCs w:val="24"/>
              </w:rPr>
            </w:pPr>
            <w:r>
              <w:rPr>
                <w:rFonts w:ascii="宋体" w:cs="宋体" w:hAnsi="宋体" w:hint="eastAsia"/>
                <w:kern w:val="0"/>
                <w:sz w:val="24"/>
                <w:szCs w:val="24"/>
              </w:rPr>
              <w:t>6分</w:t>
            </w:r>
          </w:p>
        </w:tc>
      </w:tr>
      <w:tr>
        <w:tc>
          <w:tcPr>
            <w:tcW w:w="9690" w:type="dxa"/>
            <w:gridSpan w:val="4"/>
          </w:tcPr>
          <w:p>
            <w:pPr>
              <w:spacing w:beforeLines="100" w:before="312" w:afterLines="100" w:after="312"/>
              <w:jc w:val="center"/>
              <w:rPr>
                <w:rFonts w:ascii="宋体" w:cs="宋体" w:hAnsi="宋体" w:hint="eastAsia"/>
                <w:szCs w:val="21"/>
              </w:rPr>
            </w:pPr>
            <w:r>
              <w:rPr>
                <w:rFonts w:ascii="宋体" w:cs="宋体" w:hAnsi="宋体" w:hint="eastAsia"/>
                <w:b/>
                <w:kern w:val="0"/>
                <w:szCs w:val="21"/>
              </w:rPr>
              <w:t>技术部分（70分）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1</w:t>
            </w:r>
          </w:p>
        </w:tc>
        <w:tc>
          <w:tcPr>
            <w:tcW w:w="1273" w:type="dxa"/>
            <w:vAlign w:val="center"/>
          </w:tcPr>
          <w:p>
            <w:pPr>
              <w:jc w:val="center"/>
              <w:rPr>
                <w:rFonts w:ascii="宋体" w:cs="宋体" w:hAnsi="宋体" w:hint="eastAsia"/>
                <w:szCs w:val="21"/>
              </w:rPr>
            </w:pPr>
            <w:r>
              <w:rPr>
                <w:rFonts w:ascii="宋体" w:cs="宋体" w:hAnsi="宋体" w:hint="eastAsia"/>
                <w:kern w:val="0"/>
                <w:szCs w:val="21"/>
              </w:rPr>
              <w:t>项目运维实施方案</w:t>
            </w:r>
          </w:p>
        </w:tc>
        <w:tc>
          <w:tcPr>
            <w:tcW w:w="6762" w:type="dxa"/>
            <w:vAlign w:val="center"/>
          </w:tcPr>
          <w:p>
            <w:pPr>
              <w:rPr>
                <w:rFonts w:ascii="宋体" w:cs="宋体" w:hAnsi="宋体" w:hint="eastAsia"/>
                <w:kern w:val="0"/>
                <w:szCs w:val="21"/>
              </w:rPr>
            </w:pPr>
            <w:r>
              <w:rPr>
                <w:rFonts w:ascii="宋体" w:cs="宋体" w:hAnsi="宋体" w:hint="eastAsia"/>
                <w:kern w:val="0"/>
                <w:szCs w:val="21"/>
              </w:rPr>
              <w:t>供应商根据用户需求书的要求编制项目运维实施方案，从方案制定详细、实施流程规范度、针对性、科学合理及可操作性等方面进行综合评审赋分：</w:t>
            </w:r>
          </w:p>
          <w:p>
            <w:pPr>
              <w:rPr>
                <w:rFonts w:ascii="宋体" w:cs="宋体" w:hAnsi="宋体" w:hint="eastAsia"/>
                <w:kern w:val="0"/>
                <w:szCs w:val="21"/>
              </w:rPr>
            </w:pPr>
            <w:r>
              <w:rPr>
                <w:rFonts w:ascii="宋体" w:cs="宋体" w:hAnsi="宋体" w:hint="eastAsia"/>
                <w:kern w:val="0"/>
                <w:szCs w:val="21"/>
              </w:rPr>
              <w:t>①项目运维实施方案编制内容详细、明确，能够根据实际情况制订，考虑问题全面完整，实施流程规范程度高，切合项目实际情况，针对性及可行性高，各项内容具体，措施得力，得10分；</w:t>
            </w:r>
          </w:p>
          <w:p>
            <w:pPr>
              <w:rPr>
                <w:rFonts w:ascii="宋体" w:cs="宋体" w:hAnsi="宋体" w:hint="eastAsia"/>
                <w:kern w:val="0"/>
                <w:szCs w:val="21"/>
              </w:rPr>
            </w:pPr>
            <w:r>
              <w:rPr>
                <w:rFonts w:ascii="宋体" w:cs="宋体" w:hAnsi="宋体" w:hint="eastAsia"/>
                <w:kern w:val="0"/>
                <w:szCs w:val="21"/>
              </w:rPr>
              <w:t>②项目运维实施方案提供了文案大纲及基础内容，思路较为清晰，考虑问题较为周全，针对性较强，具备一定可行性，得7分；</w:t>
            </w:r>
          </w:p>
          <w:p>
            <w:pPr>
              <w:rPr>
                <w:rFonts w:ascii="宋体" w:cs="宋体" w:hAnsi="宋体" w:hint="eastAsia"/>
                <w:kern w:val="0"/>
                <w:szCs w:val="21"/>
              </w:rPr>
            </w:pPr>
            <w:r>
              <w:rPr>
                <w:rFonts w:ascii="宋体" w:cs="宋体" w:hAnsi="宋体" w:hint="eastAsia"/>
                <w:kern w:val="0"/>
                <w:szCs w:val="21"/>
              </w:rPr>
              <w:t>③项目运维实施方案提供了文案大纲，思路不够清晰，考虑问题不够周全，实施流程规范程度一般、可行性一般得5分；</w:t>
            </w:r>
          </w:p>
          <w:p>
            <w:pPr>
              <w:rPr>
                <w:rFonts w:ascii="宋体" w:cs="宋体" w:hAnsi="宋体" w:hint="eastAsia"/>
                <w:kern w:val="0"/>
                <w:szCs w:val="21"/>
              </w:rPr>
            </w:pPr>
            <w:r>
              <w:rPr>
                <w:rFonts w:ascii="宋体" w:cs="宋体" w:hAnsi="宋体" w:hint="eastAsia"/>
                <w:kern w:val="0"/>
                <w:szCs w:val="21"/>
              </w:rPr>
              <w:t>④项目运维实施方案内容简单，考虑问题不周全,实施流程规范程度较差，缺乏针对性,操作性可行性差，得1分；</w:t>
            </w:r>
          </w:p>
          <w:p>
            <w:pPr>
              <w:rPr>
                <w:rFonts w:ascii="宋体" w:cs="宋体" w:hAnsi="宋体" w:hint="eastAsia"/>
                <w:kern w:val="0"/>
                <w:szCs w:val="21"/>
              </w:rPr>
            </w:pPr>
            <w:r>
              <w:rPr>
                <w:rFonts w:ascii="宋体" w:cs="宋体" w:hAnsi="宋体" w:hint="eastAsia"/>
                <w:kern w:val="0"/>
                <w:szCs w:val="21"/>
              </w:rPr>
              <w:t>⑤不提供相应方案得0分。</w:t>
            </w:r>
          </w:p>
        </w:tc>
        <w:tc>
          <w:tcPr>
            <w:tcW w:w="903" w:type="dxa"/>
            <w:vAlign w:val="center"/>
          </w:tcPr>
          <w:p>
            <w:pPr>
              <w:spacing w:line="440" w:lineRule="exact"/>
              <w:jc w:val="center"/>
              <w:rPr>
                <w:rFonts w:ascii="宋体" w:cs="宋体" w:hAnsi="宋体" w:hint="eastAsia"/>
                <w:sz w:val="24"/>
                <w:szCs w:val="24"/>
              </w:rPr>
            </w:pPr>
            <w:r>
              <w:rPr>
                <w:rFonts w:ascii="宋体" w:cs="宋体" w:hAnsi="宋体" w:hint="eastAsia"/>
                <w:kern w:val="0"/>
                <w:sz w:val="24"/>
                <w:szCs w:val="24"/>
              </w:rPr>
              <w:t>10分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2</w:t>
            </w:r>
          </w:p>
        </w:tc>
        <w:tc>
          <w:tcPr>
            <w:tcW w:w="1273" w:type="dxa"/>
            <w:vAlign w:val="center"/>
          </w:tcPr>
          <w:p>
            <w:pPr>
              <w:jc w:val="center"/>
              <w:rPr>
                <w:rFonts w:ascii="宋体" w:cs="宋体" w:hAnsi="宋体" w:hint="eastAsia"/>
                <w:szCs w:val="21"/>
              </w:rPr>
            </w:pPr>
            <w:r>
              <w:rPr>
                <w:rFonts w:ascii="宋体" w:cs="宋体" w:hAnsi="宋体" w:hint="eastAsia"/>
                <w:kern w:val="0"/>
                <w:szCs w:val="21"/>
              </w:rPr>
              <w:t>服务条款响应</w:t>
            </w:r>
          </w:p>
        </w:tc>
        <w:tc>
          <w:tcPr>
            <w:tcW w:w="6762" w:type="dxa"/>
            <w:vAlign w:val="center"/>
          </w:tcPr>
          <w:p>
            <w:pPr>
              <w:jc w:val="left"/>
              <w:rPr>
                <w:rFonts w:ascii="宋体" w:cs="宋体" w:hAnsi="宋体" w:hint="eastAsia"/>
                <w:szCs w:val="21"/>
              </w:rPr>
            </w:pPr>
            <w:r>
              <w:rPr>
                <w:rFonts w:ascii="宋体" w:cs="宋体" w:hAnsi="宋体" w:hint="eastAsia"/>
                <w:kern w:val="0"/>
                <w:szCs w:val="21"/>
              </w:rPr>
              <w:t>①标注“▲”代表重要技术参数加重扣分项指标，每个负偏离扣2分；非标注“▲”项为一般性指标，每个负偏离扣1分，扣完为止，全部完全响应得10分</w:t>
            </w:r>
            <w:r>
              <w:rPr>
                <w:rFonts w:ascii="宋体" w:cs="宋体" w:hAnsi="宋体" w:hint="eastAsia"/>
                <w:kern w:val="0"/>
                <w:szCs w:val="21"/>
                <w:lang w:val="zh-CN"/>
              </w:rPr>
              <w:t>。</w:t>
            </w:r>
          </w:p>
        </w:tc>
        <w:tc>
          <w:tcPr>
            <w:tcW w:w="903" w:type="dxa"/>
            <w:vAlign w:val="center"/>
          </w:tcPr>
          <w:p>
            <w:pPr>
              <w:spacing w:line="440" w:lineRule="exact"/>
              <w:jc w:val="center"/>
              <w:rPr>
                <w:rFonts w:ascii="宋体" w:cs="宋体" w:hAnsi="宋体" w:hint="eastAsia"/>
                <w:sz w:val="24"/>
                <w:szCs w:val="24"/>
              </w:rPr>
            </w:pPr>
            <w:r>
              <w:rPr>
                <w:rFonts w:ascii="宋体" w:cs="宋体" w:hAnsi="宋体" w:hint="eastAsia"/>
                <w:kern w:val="0"/>
                <w:sz w:val="24"/>
                <w:szCs w:val="24"/>
              </w:rPr>
              <w:t>10分</w:t>
            </w:r>
          </w:p>
        </w:tc>
      </w:tr>
      <w:tr>
        <w:trPr>
          <w:trHeight w:val="1617"/>
        </w:trPr>
        <w:tc>
          <w:tcPr>
            <w:tcW w:w="752" w:type="dxa"/>
            <w:vAlign w:val="center"/>
          </w:tcPr>
          <w:p>
            <w:pPr>
              <w:jc w:val="center"/>
              <w:rPr>
                <w:rFonts w:ascii="宋体" w:cs="宋体" w:hAnsi="宋体" w:hint="eastAsia"/>
                <w:szCs w:val="21"/>
              </w:rPr>
            </w:pPr>
            <w:r>
              <w:rPr>
                <w:rFonts w:ascii="宋体" w:cs="宋体" w:hAnsi="宋体" w:hint="eastAsia"/>
                <w:kern w:val="0"/>
                <w:szCs w:val="21"/>
              </w:rPr>
              <w:t>3</w:t>
            </w:r>
          </w:p>
        </w:tc>
        <w:tc>
          <w:tcPr>
            <w:tcW w:w="1273" w:type="dxa"/>
            <w:vAlign w:val="center"/>
          </w:tcPr>
          <w:p>
            <w:pPr>
              <w:jc w:val="center"/>
              <w:rPr>
                <w:rFonts w:ascii="宋体" w:cs="宋体" w:hAnsi="宋体" w:hint="eastAsia"/>
                <w:szCs w:val="21"/>
              </w:rPr>
            </w:pPr>
            <w:r>
              <w:rPr>
                <w:rFonts w:ascii="宋体" w:cs="宋体" w:hAnsi="宋体" w:hint="eastAsia"/>
                <w:kern w:val="0"/>
                <w:szCs w:val="21"/>
              </w:rPr>
              <w:t>项目重难点分析及合理化建议</w:t>
            </w:r>
          </w:p>
        </w:tc>
        <w:tc>
          <w:tcPr>
            <w:tcW w:w="6762" w:type="dxa"/>
            <w:vAlign w:val="center"/>
          </w:tcPr>
          <w:p>
            <w:pPr>
              <w:jc w:val="left"/>
              <w:rPr>
                <w:rFonts w:ascii="宋体" w:cs="宋体" w:hAnsi="宋体" w:hint="eastAsia"/>
                <w:kern w:val="0"/>
                <w:szCs w:val="21"/>
              </w:rPr>
            </w:pPr>
            <w:r>
              <w:rPr>
                <w:rFonts w:ascii="宋体" w:cs="宋体" w:hAnsi="宋体" w:hint="eastAsia"/>
                <w:kern w:val="0"/>
                <w:szCs w:val="21"/>
              </w:rPr>
              <w:t>根据供应商对项目认识与理解程度，剖析设计中存在的重点难点，并提出相应的应对举措及解决的合理化建议因素进行评审：</w:t>
            </w:r>
          </w:p>
          <w:p>
            <w:pPr>
              <w:jc w:val="left"/>
              <w:rPr>
                <w:rFonts w:ascii="宋体" w:cs="宋体" w:hAnsi="宋体" w:hint="eastAsia"/>
                <w:kern w:val="0"/>
                <w:szCs w:val="21"/>
              </w:rPr>
            </w:pPr>
            <w:r>
              <w:rPr>
                <w:rFonts w:ascii="宋体" w:cs="宋体" w:hAnsi="宋体" w:hint="eastAsia"/>
                <w:kern w:val="0"/>
                <w:szCs w:val="21"/>
              </w:rPr>
              <w:t>①对本项目实施内容充分理解,对重难点分析精确,结合需求特点提出应对举措及有效合理化建议,完全满足或优于项目要求,得10分；</w:t>
            </w:r>
          </w:p>
          <w:p>
            <w:pPr>
              <w:jc w:val="left"/>
              <w:rPr>
                <w:rFonts w:ascii="宋体" w:cs="宋体" w:hAnsi="宋体" w:hint="eastAsia"/>
                <w:kern w:val="0"/>
                <w:szCs w:val="21"/>
              </w:rPr>
            </w:pPr>
            <w:r>
              <w:rPr>
                <w:rFonts w:ascii="宋体" w:cs="宋体" w:hAnsi="宋体" w:hint="eastAsia"/>
                <w:kern w:val="0"/>
                <w:szCs w:val="21"/>
              </w:rPr>
              <w:t xml:space="preserve">②对本项目实施内容相对理解，提出实施过程的重难点，并根据特点提供大体的解决方案，基本满足项目整体要求，得7分； </w:t>
            </w:r>
          </w:p>
          <w:p>
            <w:pPr>
              <w:jc w:val="left"/>
              <w:rPr>
                <w:rFonts w:ascii="宋体" w:cs="宋体" w:hAnsi="宋体" w:hint="eastAsia"/>
                <w:kern w:val="0"/>
                <w:szCs w:val="21"/>
              </w:rPr>
            </w:pPr>
            <w:r>
              <w:rPr>
                <w:rFonts w:ascii="宋体" w:cs="宋体" w:hAnsi="宋体" w:hint="eastAsia"/>
                <w:kern w:val="0"/>
                <w:szCs w:val="21"/>
              </w:rPr>
              <w:t>③对本项目实施内容大致了解，对重难点分析相对简略，以及应对策略及解决方案较粗略，或对项目要求存在较小偏离的，得5分；</w:t>
            </w:r>
          </w:p>
          <w:p>
            <w:pPr>
              <w:jc w:val="left"/>
              <w:rPr>
                <w:rFonts w:ascii="宋体" w:cs="宋体" w:hAnsi="宋体" w:hint="eastAsia"/>
                <w:kern w:val="0"/>
                <w:szCs w:val="21"/>
              </w:rPr>
            </w:pPr>
            <w:r>
              <w:rPr>
                <w:rFonts w:ascii="宋体" w:cs="宋体" w:hAnsi="宋体" w:hint="eastAsia"/>
                <w:kern w:val="0"/>
                <w:szCs w:val="21"/>
              </w:rPr>
              <w:t>④对本项目实施内容大致了解，对重难点分析简略，以及应对策略及解决方案较粗略，或对项目要求存在大偏离的，得1分；</w:t>
            </w:r>
          </w:p>
          <w:p>
            <w:pPr>
              <w:jc w:val="left"/>
              <w:rPr>
                <w:rFonts w:ascii="宋体" w:cs="宋体" w:hAnsi="宋体" w:hint="eastAsia"/>
                <w:szCs w:val="21"/>
              </w:rPr>
            </w:pPr>
            <w:r>
              <w:rPr>
                <w:rFonts w:ascii="宋体" w:cs="宋体" w:hAnsi="宋体" w:hint="eastAsia"/>
                <w:kern w:val="0"/>
                <w:szCs w:val="21"/>
              </w:rPr>
              <w:t>⑤不提供相应方案得0分。</w:t>
            </w:r>
          </w:p>
        </w:tc>
        <w:tc>
          <w:tcPr>
            <w:tcW w:w="903" w:type="dxa"/>
            <w:vAlign w:val="center"/>
          </w:tcPr>
          <w:p>
            <w:pPr>
              <w:spacing w:line="440" w:lineRule="exact"/>
              <w:jc w:val="center"/>
              <w:rPr>
                <w:rFonts w:ascii="宋体" w:cs="宋体" w:hAnsi="宋体" w:hint="eastAsia"/>
                <w:kern w:val="0"/>
                <w:sz w:val="24"/>
                <w:szCs w:val="24"/>
              </w:rPr>
            </w:pPr>
            <w:r>
              <w:rPr>
                <w:rFonts w:ascii="宋体" w:cs="宋体" w:hAnsi="宋体" w:hint="eastAsia"/>
                <w:kern w:val="0"/>
                <w:sz w:val="24"/>
                <w:szCs w:val="24"/>
              </w:rPr>
              <w:t>15分</w:t>
            </w:r>
          </w:p>
        </w:tc>
      </w:tr>
      <w:tr>
        <w:trPr>
          <w:trHeight w:val="2176"/>
        </w:trPr>
        <w:tc>
          <w:tcPr>
            <w:tcW w:w="752" w:type="dxa"/>
            <w:vAlign w:val="center"/>
          </w:tcPr>
          <w:p>
            <w:pPr>
              <w:jc w:val="center"/>
              <w:rPr>
                <w:rFonts w:ascii="宋体" w:cs="宋体" w:hAnsi="宋体" w:hint="eastAsia"/>
                <w:szCs w:val="21"/>
              </w:rPr>
            </w:pPr>
            <w:r>
              <w:rPr>
                <w:rFonts w:ascii="宋体" w:cs="宋体" w:hAnsi="宋体" w:hint="eastAsia"/>
                <w:kern w:val="0"/>
                <w:szCs w:val="21"/>
              </w:rPr>
              <w:t>4</w:t>
            </w:r>
          </w:p>
        </w:tc>
        <w:tc>
          <w:tcPr>
            <w:tcW w:w="1273" w:type="dxa"/>
            <w:vAlign w:val="center"/>
          </w:tcPr>
          <w:p>
            <w:pPr>
              <w:jc w:val="center"/>
              <w:rPr>
                <w:rFonts w:ascii="宋体" w:cs="宋体" w:hAnsi="宋体" w:hint="eastAsia"/>
                <w:szCs w:val="21"/>
              </w:rPr>
            </w:pPr>
            <w:r>
              <w:rPr>
                <w:rFonts w:ascii="宋体" w:cs="宋体" w:hAnsi="宋体" w:hint="eastAsia"/>
                <w:kern w:val="0"/>
                <w:szCs w:val="21"/>
              </w:rPr>
              <w:t>售后服务保障方案</w:t>
            </w:r>
          </w:p>
        </w:tc>
        <w:tc>
          <w:tcPr>
            <w:tcW w:w="6762" w:type="dxa"/>
            <w:vAlign w:val="center"/>
          </w:tcPr>
          <w:p>
            <w:pPr>
              <w:jc w:val="left"/>
              <w:rPr>
                <w:rFonts w:ascii="宋体" w:cs="宋体" w:hAnsi="宋体" w:hint="eastAsia"/>
                <w:kern w:val="0"/>
                <w:szCs w:val="21"/>
              </w:rPr>
            </w:pPr>
            <w:r>
              <w:rPr>
                <w:rFonts w:ascii="宋体" w:cs="宋体" w:hAnsi="宋体" w:hint="eastAsia"/>
                <w:kern w:val="0"/>
                <w:szCs w:val="21"/>
              </w:rPr>
              <w:t>根据供应商提供的售后服务保障方案以及制定对水站系统和仪表制定每年保养检修计划并按期进行。保养检修须包括系统的全面清洗和检修、仪器管路清洗、主要备件的更换、仪器的性能测试检查等内容进行比较赋分：</w:t>
            </w:r>
          </w:p>
          <w:p>
            <w:pPr>
              <w:jc w:val="left"/>
              <w:rPr>
                <w:rFonts w:ascii="宋体" w:cs="宋体" w:hAnsi="宋体" w:hint="eastAsia"/>
                <w:kern w:val="0"/>
                <w:szCs w:val="21"/>
              </w:rPr>
            </w:pPr>
            <w:r>
              <w:rPr>
                <w:rFonts w:ascii="宋体" w:cs="宋体" w:hAnsi="宋体" w:hint="eastAsia"/>
                <w:kern w:val="0"/>
                <w:szCs w:val="21"/>
              </w:rPr>
              <w:t>①售后服务保障方案编制内容详细、明确，能够根据实际情况制订，考虑问题全面完整，实施流程规范程度高，切合项目实际情况，针对性及可行性高，各项内容具体，措施得力，得10分；</w:t>
            </w:r>
          </w:p>
          <w:p>
            <w:pPr>
              <w:jc w:val="left"/>
              <w:rPr>
                <w:rFonts w:ascii="宋体" w:cs="宋体" w:hAnsi="宋体" w:hint="eastAsia"/>
                <w:kern w:val="0"/>
                <w:szCs w:val="21"/>
              </w:rPr>
            </w:pPr>
            <w:r>
              <w:rPr>
                <w:rFonts w:ascii="宋体" w:cs="宋体" w:hAnsi="宋体" w:hint="eastAsia"/>
                <w:kern w:val="0"/>
                <w:szCs w:val="21"/>
              </w:rPr>
              <w:t>②售后服务保障方案提供了文案大纲及基础内容，思路较为清晰，考虑问题较为周全，针对性较强，具备一定可行性，得7分；</w:t>
            </w:r>
          </w:p>
          <w:p>
            <w:pPr>
              <w:jc w:val="left"/>
              <w:rPr>
                <w:rFonts w:ascii="宋体" w:cs="宋体" w:hAnsi="宋体" w:hint="eastAsia"/>
                <w:kern w:val="0"/>
                <w:szCs w:val="21"/>
              </w:rPr>
            </w:pPr>
            <w:r>
              <w:rPr>
                <w:rFonts w:ascii="宋体" w:cs="宋体" w:hAnsi="宋体" w:hint="eastAsia"/>
                <w:kern w:val="0"/>
                <w:szCs w:val="21"/>
              </w:rPr>
              <w:t>③售后服务保障方案提供了文案大纲，思路不够清晰，考虑问题不够周全，实施流程规范程度一般、可行性一般得5分；</w:t>
            </w:r>
          </w:p>
          <w:p>
            <w:pPr>
              <w:jc w:val="left"/>
              <w:rPr>
                <w:rFonts w:ascii="宋体" w:cs="宋体" w:hAnsi="宋体" w:hint="eastAsia"/>
                <w:kern w:val="0"/>
                <w:szCs w:val="21"/>
              </w:rPr>
            </w:pPr>
            <w:r>
              <w:rPr>
                <w:rFonts w:ascii="宋体" w:cs="宋体" w:hAnsi="宋体" w:hint="eastAsia"/>
                <w:kern w:val="0"/>
                <w:szCs w:val="21"/>
              </w:rPr>
              <w:t>④售后服务保障方案内容简单，考虑问题不周全,实施流程规范程度较差，缺乏针对性,操作性可行性差，得1分；</w:t>
            </w:r>
          </w:p>
          <w:p>
            <w:pPr>
              <w:jc w:val="left"/>
              <w:rPr>
                <w:rFonts w:ascii="宋体" w:cs="宋体" w:hAnsi="宋体" w:hint="eastAsia"/>
                <w:szCs w:val="21"/>
              </w:rPr>
            </w:pPr>
            <w:r>
              <w:rPr>
                <w:rFonts w:ascii="宋体" w:cs="宋体" w:hAnsi="宋体" w:hint="eastAsia"/>
                <w:kern w:val="0"/>
                <w:szCs w:val="21"/>
              </w:rPr>
              <w:t>⑤不提供相应方案得0分。</w:t>
            </w:r>
          </w:p>
        </w:tc>
        <w:tc>
          <w:tcPr>
            <w:tcW w:w="903" w:type="dxa"/>
            <w:vAlign w:val="center"/>
          </w:tcPr>
          <w:p>
            <w:pPr>
              <w:spacing w:line="440" w:lineRule="exact"/>
              <w:jc w:val="center"/>
              <w:rPr>
                <w:rFonts w:ascii="宋体" w:cs="宋体" w:hAnsi="宋体" w:hint="eastAsia"/>
                <w:kern w:val="0"/>
                <w:sz w:val="24"/>
                <w:szCs w:val="24"/>
              </w:rPr>
            </w:pPr>
            <w:r>
              <w:rPr>
                <w:rFonts w:ascii="宋体" w:cs="宋体" w:hAnsi="宋体" w:hint="eastAsia"/>
                <w:kern w:val="0"/>
                <w:sz w:val="24"/>
                <w:szCs w:val="24"/>
              </w:rPr>
              <w:t>10分</w:t>
            </w:r>
          </w:p>
        </w:tc>
      </w:tr>
      <w:tr>
        <w:tc>
          <w:tcPr>
            <w:tcW w:w="752" w:type="dxa"/>
            <w:vAlign w:val="center"/>
          </w:tcPr>
          <w:p>
            <w:pPr>
              <w:jc w:val="center"/>
              <w:rPr>
                <w:rFonts w:ascii="宋体" w:cs="宋体" w:hAnsi="宋体" w:hint="eastAsia"/>
                <w:szCs w:val="21"/>
              </w:rPr>
            </w:pPr>
            <w:r>
              <w:rPr>
                <w:rFonts w:ascii="宋体" w:cs="宋体" w:hAnsi="宋体" w:hint="eastAsia"/>
                <w:kern w:val="0"/>
                <w:szCs w:val="21"/>
              </w:rPr>
              <w:t>5</w:t>
            </w:r>
          </w:p>
        </w:tc>
        <w:tc>
          <w:tcPr>
            <w:tcW w:w="1273" w:type="dxa"/>
            <w:vAlign w:val="center"/>
          </w:tcPr>
          <w:p>
            <w:pPr>
              <w:jc w:val="center"/>
              <w:rPr>
                <w:rFonts w:ascii="宋体" w:cs="宋体" w:hAnsi="宋体" w:hint="eastAsia"/>
                <w:szCs w:val="21"/>
              </w:rPr>
            </w:pPr>
            <w:r>
              <w:rPr>
                <w:rFonts w:ascii="宋体" w:cs="宋体" w:hAnsi="宋体" w:hint="eastAsia"/>
                <w:kern w:val="0"/>
                <w:szCs w:val="21"/>
              </w:rPr>
              <w:t>项目运维质控方案</w:t>
            </w:r>
          </w:p>
        </w:tc>
        <w:tc>
          <w:tcPr>
            <w:tcW w:w="6762" w:type="dxa"/>
            <w:vAlign w:val="center"/>
          </w:tcPr>
          <w:p>
            <w:pPr>
              <w:rPr>
                <w:rFonts w:ascii="宋体" w:cs="宋体" w:hAnsi="宋体" w:hint="eastAsia"/>
                <w:kern w:val="0"/>
                <w:szCs w:val="21"/>
              </w:rPr>
            </w:pPr>
            <w:r>
              <w:rPr>
                <w:rFonts w:ascii="宋体" w:cs="宋体" w:hAnsi="宋体" w:hint="eastAsia"/>
                <w:kern w:val="0"/>
                <w:szCs w:val="21"/>
              </w:rPr>
              <w:t>根据供应商针对技术要求并结合项目地域、人员、仪器设备和水质等情况提供水质自动监测站质控方案。质控方案中须包括标样核查、加标回收率测试及其他满足质控目标的质控措施，质控工作安排科学合理，数据审核方法明确项目运维质控方案科学合理，适用性强，思路清晰，内容全面，能够根据实际情况制订，满足采购人的需要，考虑问题周全，实施过程务实，各项指标均能完成等情况进行综合评审：</w:t>
            </w:r>
          </w:p>
          <w:p>
            <w:pPr>
              <w:rPr>
                <w:rFonts w:ascii="宋体" w:cs="宋体" w:hAnsi="宋体" w:hint="eastAsia"/>
                <w:kern w:val="0"/>
                <w:szCs w:val="21"/>
              </w:rPr>
            </w:pPr>
            <w:r>
              <w:rPr>
                <w:rFonts w:ascii="宋体" w:cs="宋体" w:hAnsi="宋体" w:hint="eastAsia"/>
                <w:kern w:val="0"/>
                <w:szCs w:val="21"/>
              </w:rPr>
              <w:t>①项目运维质控方案编制内容详细、明确，能够根据实际情况制订，考虑问题全面完整，实施流程规范程度高，切合项目实际情况，针对性及可行性高，各项内容具体，措施得力，得15分；</w:t>
            </w:r>
          </w:p>
          <w:p>
            <w:pPr>
              <w:rPr>
                <w:rFonts w:ascii="宋体" w:cs="宋体" w:hAnsi="宋体" w:hint="eastAsia"/>
                <w:kern w:val="0"/>
                <w:szCs w:val="21"/>
              </w:rPr>
            </w:pPr>
            <w:r>
              <w:rPr>
                <w:rFonts w:ascii="宋体" w:cs="宋体" w:hAnsi="宋体" w:hint="eastAsia"/>
                <w:kern w:val="0"/>
                <w:szCs w:val="21"/>
              </w:rPr>
              <w:t>②项目运维质控方案提供了文案大纲及基础内容，思路较为清晰，考虑问题较为周全，针对性较强，具备一定可行性，得10分；</w:t>
            </w:r>
          </w:p>
          <w:p>
            <w:pPr>
              <w:rPr>
                <w:rFonts w:ascii="宋体" w:cs="宋体" w:hAnsi="宋体" w:hint="eastAsia"/>
                <w:kern w:val="0"/>
                <w:szCs w:val="21"/>
              </w:rPr>
            </w:pPr>
            <w:r>
              <w:rPr>
                <w:rFonts w:ascii="宋体" w:cs="宋体" w:hAnsi="宋体" w:hint="eastAsia"/>
                <w:kern w:val="0"/>
                <w:szCs w:val="21"/>
              </w:rPr>
              <w:t>③项目运维质控方案提供了文案大纲，思路不够清晰，考虑问题不够周全，实施流程规范程度一般、可行性一般得5分；</w:t>
            </w:r>
          </w:p>
          <w:p>
            <w:pPr>
              <w:rPr>
                <w:rFonts w:ascii="宋体" w:cs="宋体" w:hAnsi="宋体" w:hint="eastAsia"/>
                <w:kern w:val="0"/>
                <w:szCs w:val="21"/>
              </w:rPr>
            </w:pPr>
            <w:r>
              <w:rPr>
                <w:rFonts w:ascii="宋体" w:cs="宋体" w:hAnsi="宋体" w:hint="eastAsia"/>
                <w:kern w:val="0"/>
                <w:szCs w:val="21"/>
              </w:rPr>
              <w:t>④项目运维质控方案内容简单，考虑问题不周全,实施流程规范程度较差，缺乏针对性,操作性可行性差，得1分；</w:t>
            </w:r>
          </w:p>
          <w:p>
            <w:pPr>
              <w:rPr>
                <w:rFonts w:ascii="宋体" w:cs="宋体" w:hAnsi="宋体" w:hint="eastAsia"/>
                <w:szCs w:val="21"/>
              </w:rPr>
            </w:pPr>
            <w:r>
              <w:rPr>
                <w:rFonts w:ascii="宋体" w:cs="宋体" w:hAnsi="宋体" w:hint="eastAsia"/>
                <w:kern w:val="0"/>
                <w:szCs w:val="21"/>
              </w:rPr>
              <w:t>⑤不提供相应方案得0分。</w:t>
            </w:r>
          </w:p>
        </w:tc>
        <w:tc>
          <w:tcPr>
            <w:tcW w:w="903" w:type="dxa"/>
            <w:vAlign w:val="center"/>
          </w:tcPr>
          <w:p>
            <w:pPr>
              <w:spacing w:line="440" w:lineRule="exact"/>
              <w:jc w:val="center"/>
              <w:rPr>
                <w:rFonts w:ascii="宋体" w:cs="宋体" w:hAnsi="宋体" w:hint="eastAsia"/>
                <w:sz w:val="24"/>
                <w:szCs w:val="24"/>
              </w:rPr>
            </w:pPr>
            <w:r>
              <w:rPr>
                <w:rFonts w:ascii="宋体" w:cs="宋体" w:hAnsi="宋体" w:hint="eastAsia"/>
                <w:kern w:val="0"/>
                <w:sz w:val="24"/>
                <w:szCs w:val="24"/>
              </w:rPr>
              <w:t>15分</w:t>
            </w:r>
          </w:p>
        </w:tc>
      </w:tr>
      <w:tr>
        <w:trPr>
          <w:trHeight w:val="3442"/>
        </w:trPr>
        <w:tc>
          <w:tcPr>
            <w:tcW w:w="752" w:type="dxa"/>
            <w:vAlign w:val="center"/>
          </w:tcPr>
          <w:p>
            <w:pPr>
              <w:jc w:val="center"/>
              <w:rPr>
                <w:rFonts w:ascii="宋体" w:cs="宋体" w:hAnsi="宋体" w:hint="eastAsia"/>
                <w:szCs w:val="21"/>
              </w:rPr>
            </w:pPr>
            <w:r>
              <w:rPr>
                <w:rFonts w:ascii="宋体" w:cs="宋体" w:hAnsi="宋体" w:hint="eastAsia"/>
                <w:kern w:val="0"/>
                <w:szCs w:val="21"/>
              </w:rPr>
              <w:t>6</w:t>
            </w:r>
          </w:p>
        </w:tc>
        <w:tc>
          <w:tcPr>
            <w:tcW w:w="1273" w:type="dxa"/>
            <w:vAlign w:val="center"/>
          </w:tcPr>
          <w:p>
            <w:pPr>
              <w:jc w:val="center"/>
              <w:rPr>
                <w:rFonts w:ascii="宋体" w:cs="宋体" w:hAnsi="宋体" w:hint="eastAsia"/>
                <w:kern w:val="0"/>
                <w:szCs w:val="21"/>
              </w:rPr>
            </w:pPr>
            <w:r>
              <w:rPr>
                <w:rFonts w:ascii="宋体" w:cs="宋体" w:hAnsi="宋体" w:hint="eastAsia"/>
                <w:kern w:val="0"/>
                <w:szCs w:val="21"/>
              </w:rPr>
              <w:t>突发事件应急抢险处理方案</w:t>
            </w:r>
          </w:p>
        </w:tc>
        <w:tc>
          <w:tcPr>
            <w:tcW w:w="6762" w:type="dxa"/>
            <w:vAlign w:val="center"/>
          </w:tcPr>
          <w:p>
            <w:pPr>
              <w:jc w:val="left"/>
              <w:rPr>
                <w:rFonts w:ascii="宋体" w:cs="宋体" w:hAnsi="宋体" w:hint="eastAsia"/>
                <w:szCs w:val="21"/>
              </w:rPr>
            </w:pPr>
            <w:r>
              <w:rPr>
                <w:rFonts w:ascii="宋体" w:cs="宋体" w:hAnsi="宋体" w:hint="eastAsia"/>
                <w:kern w:val="0"/>
                <w:szCs w:val="21"/>
              </w:rPr>
              <w:t>根据供应商提供的突发事件应急抢险处理方案进行评审赋分：包含但不限于现场应急服务措施、现场响应和安全事件分析措施、处置保障措施措施、设备故障保障措施等内容进行综合评审：</w:t>
            </w:r>
          </w:p>
          <w:p>
            <w:pPr>
              <w:jc w:val="left"/>
              <w:rPr>
                <w:rFonts w:ascii="宋体" w:cs="宋体" w:hAnsi="宋体" w:hint="eastAsia"/>
                <w:szCs w:val="21"/>
              </w:rPr>
            </w:pPr>
            <w:r>
              <w:rPr>
                <w:rFonts w:ascii="宋体" w:cs="宋体" w:hAnsi="宋体" w:hint="eastAsia"/>
                <w:kern w:val="0"/>
                <w:szCs w:val="21"/>
              </w:rPr>
              <w:t>①项目突发事件应急抢险处理方案中包含以上 4 项要素且上述内容完整、切实可行的得10分，每缺少一项要素扣2分，扣完为止。</w:t>
            </w:r>
          </w:p>
          <w:p>
            <w:pPr>
              <w:jc w:val="left"/>
              <w:rPr>
                <w:rFonts w:ascii="宋体" w:cs="宋体" w:hAnsi="宋体" w:hint="eastAsia"/>
                <w:kern w:val="0"/>
                <w:szCs w:val="21"/>
              </w:rPr>
            </w:pPr>
            <w:r>
              <w:rPr>
                <w:rFonts w:ascii="宋体" w:cs="宋体" w:hAnsi="宋体" w:hint="eastAsia"/>
                <w:kern w:val="0"/>
                <w:szCs w:val="21"/>
              </w:rPr>
              <w:t>②项目突发事件应急抢险处理方案一项要素中若有较大缺陷（2 个及以上内容缺陷）扣 1分，一项要素中有较小缺陷（1个内容缺陷）扣1分。（内容缺陷是指：内容非专门针对本项目或不适用项目特性的情形、内容不够完整或缺少关键节点、套用其他项目方案、内容前后矛盾、毫无逻辑、涉及的规范及标准错误、不利于项目实施、不可能实现的情形等任意一种情形）。</w:t>
            </w:r>
          </w:p>
          <w:p>
            <w:pPr>
              <w:jc w:val="left"/>
              <w:rPr>
                <w:rFonts w:ascii="宋体" w:cs="宋体" w:hAnsi="宋体" w:hint="eastAsia"/>
                <w:szCs w:val="21"/>
              </w:rPr>
            </w:pPr>
            <w:r>
              <w:rPr>
                <w:rFonts w:ascii="宋体" w:cs="宋体" w:hAnsi="宋体" w:hint="eastAsia"/>
                <w:kern w:val="0"/>
                <w:szCs w:val="21"/>
              </w:rPr>
              <w:t>③不提供相应方案得0分。</w:t>
            </w:r>
          </w:p>
        </w:tc>
        <w:tc>
          <w:tcPr>
            <w:tcW w:w="903" w:type="dxa"/>
            <w:vAlign w:val="center"/>
          </w:tcPr>
          <w:p>
            <w:pPr>
              <w:spacing w:line="440" w:lineRule="exact"/>
              <w:jc w:val="center"/>
              <w:rPr>
                <w:rFonts w:ascii="宋体" w:cs="宋体" w:hAnsi="宋体" w:hint="eastAsia"/>
                <w:sz w:val="24"/>
                <w:szCs w:val="24"/>
              </w:rPr>
            </w:pPr>
            <w:r>
              <w:rPr>
                <w:rFonts w:ascii="宋体" w:cs="宋体" w:hAnsi="宋体" w:hint="eastAsia"/>
                <w:kern w:val="0"/>
                <w:sz w:val="24"/>
                <w:szCs w:val="24"/>
              </w:rPr>
              <w:t>10分</w:t>
            </w:r>
          </w:p>
        </w:tc>
      </w:tr>
    </w:tbl>
    <w:p/>
    <w:p>
      <w:pPr>
        <w:pStyle w:val="1"/>
        <w:jc w:val="center"/>
      </w:pPr>
      <w:r>
        <w:rPr>
          <w:rFonts w:hint="eastAsia"/>
        </w:rPr>
        <w:br w:type="page"/>
      </w:r>
      <w:bookmarkStart w:id="102" w:name="_Toc67843816"/>
      <w:r>
        <w:rPr>
          <w:rFonts w:hint="eastAsia"/>
        </w:rPr>
        <w:t>第六章  响应文件格式</w:t>
      </w:r>
      <w:bookmarkEnd w:id="99"/>
      <w:bookmarkEnd w:id="100"/>
      <w:bookmarkEnd w:id="101"/>
      <w:bookmarkEnd w:id="102"/>
    </w:p>
    <w:p>
      <w:pPr>
        <w:widowControl/>
        <w:spacing w:before="240" w:line="480" w:lineRule="auto"/>
        <w:ind w:firstLineChars="700" w:firstLine="3360"/>
        <w:jc w:val="left"/>
        <w:rPr>
          <w:rFonts w:ascii="宋体" w:hAnsi="宋体"/>
          <w:b/>
          <w:bCs/>
          <w:sz w:val="30"/>
          <w:szCs w:val="30"/>
          <w:u w:val="single"/>
        </w:rPr>
      </w:pPr>
      <w:bookmarkStart w:id="103" w:name="_Toc212102882"/>
      <w:r>
        <w:rPr>
          <w:rFonts w:hint="eastAsia"/>
          <w:b/>
          <w:bCs/>
          <w:sz w:val="48"/>
          <w:szCs w:val="48"/>
        </w:rPr>
        <w:t>（正本/副本）</w:t>
      </w:r>
    </w:p>
    <w:p>
      <w:pPr>
        <w:widowControl/>
        <w:spacing w:before="240" w:line="480" w:lineRule="auto"/>
        <w:ind w:firstLineChars="700" w:firstLine="2100"/>
        <w:jc w:val="left"/>
        <w:rPr>
          <w:rFonts w:ascii="宋体" w:hAnsi="宋体"/>
          <w:b/>
          <w:bCs/>
          <w:sz w:val="30"/>
          <w:szCs w:val="30"/>
          <w:u w:val="single"/>
        </w:rPr>
      </w:pPr>
    </w:p>
    <w:p>
      <w:pPr>
        <w:widowControl/>
        <w:spacing w:before="240" w:line="480" w:lineRule="auto"/>
        <w:ind w:firstLineChars="700" w:firstLine="2100"/>
        <w:jc w:val="left"/>
        <w:rPr>
          <w:rFonts w:ascii="宋体" w:hAnsi="宋体"/>
          <w:b/>
          <w:bCs/>
          <w:sz w:val="30"/>
          <w:szCs w:val="30"/>
        </w:rPr>
      </w:pPr>
      <w:r>
        <w:rPr>
          <w:rFonts w:ascii="宋体" w:hAnsi="宋体" w:hint="eastAsia"/>
          <w:b/>
          <w:bCs/>
          <w:sz w:val="30"/>
          <w:szCs w:val="30"/>
          <w:u w:val="single"/>
        </w:rPr>
        <w:t xml:space="preserve">                          </w:t>
      </w:r>
      <w:r>
        <w:rPr>
          <w:rFonts w:ascii="宋体" w:hAnsi="宋体" w:hint="eastAsia"/>
          <w:b/>
          <w:bCs/>
          <w:sz w:val="30"/>
          <w:szCs w:val="30"/>
        </w:rPr>
        <w:t>项目</w:t>
      </w:r>
    </w:p>
    <w:p>
      <w:pPr>
        <w:spacing w:before="240" w:line="480" w:lineRule="auto"/>
        <w:rPr>
          <w:rFonts w:ascii="宋体" w:hAnsi="宋体"/>
          <w:sz w:val="30"/>
          <w:szCs w:val="30"/>
        </w:rPr>
      </w:pPr>
    </w:p>
    <w:p>
      <w:pPr>
        <w:spacing w:before="240" w:line="480" w:lineRule="auto"/>
        <w:rPr>
          <w:rFonts w:ascii="宋体" w:hAnsi="宋体"/>
          <w:sz w:val="30"/>
          <w:szCs w:val="30"/>
        </w:rPr>
      </w:pPr>
    </w:p>
    <w:p>
      <w:pPr>
        <w:spacing w:before="240" w:line="480" w:lineRule="auto"/>
        <w:jc w:val="center"/>
        <w:rPr>
          <w:rFonts w:ascii="宋体" w:hAnsi="宋体"/>
          <w:b/>
          <w:sz w:val="52"/>
          <w:szCs w:val="52"/>
        </w:rPr>
      </w:pPr>
      <w:r>
        <w:rPr>
          <w:rFonts w:ascii="宋体" w:hAnsi="宋体" w:hint="eastAsia"/>
          <w:b/>
          <w:spacing w:val="120"/>
          <w:sz w:val="52"/>
          <w:szCs w:val="52"/>
        </w:rPr>
        <w:t>响应文件</w:t>
      </w:r>
    </w:p>
    <w:p>
      <w:pPr>
        <w:spacing w:before="240" w:line="480" w:lineRule="auto"/>
        <w:rPr>
          <w:rFonts w:ascii="宋体" w:hAnsi="宋体"/>
          <w:b/>
          <w:sz w:val="28"/>
          <w:szCs w:val="28"/>
        </w:rPr>
      </w:pPr>
    </w:p>
    <w:p>
      <w:pPr>
        <w:spacing w:before="240" w:line="480" w:lineRule="auto"/>
        <w:rPr>
          <w:rFonts w:ascii="宋体" w:hAnsi="宋体"/>
          <w:b/>
          <w:sz w:val="28"/>
          <w:szCs w:val="28"/>
        </w:rPr>
      </w:pPr>
    </w:p>
    <w:p>
      <w:pPr>
        <w:spacing w:before="240" w:line="480" w:lineRule="auto"/>
        <w:rPr>
          <w:rFonts w:ascii="宋体" w:hAnsi="宋体"/>
          <w:b/>
          <w:sz w:val="28"/>
          <w:szCs w:val="28"/>
        </w:rPr>
      </w:pPr>
    </w:p>
    <w:p>
      <w:pPr>
        <w:spacing w:beforeLines="50" w:before="156" w:afterLines="50" w:after="156" w:line="480" w:lineRule="auto"/>
        <w:ind w:leftChars="540" w:left="1612" w:hangingChars="171" w:hanging="478"/>
        <w:rPr>
          <w:rFonts w:ascii="宋体" w:hAnsi="宋体"/>
          <w:b/>
          <w:sz w:val="28"/>
          <w:szCs w:val="28"/>
          <w:u w:val="single"/>
        </w:rPr>
      </w:pPr>
      <w:r>
        <w:rPr>
          <w:rFonts w:ascii="宋体" w:hAnsi="宋体" w:hint="eastAsia"/>
          <w:b/>
          <w:sz w:val="28"/>
          <w:szCs w:val="28"/>
        </w:rPr>
        <w:t>响应人名称：</w:t>
      </w:r>
    </w:p>
    <w:p>
      <w:pPr>
        <w:spacing w:beforeLines="50" w:before="156" w:afterLines="50" w:after="156" w:line="480" w:lineRule="auto"/>
        <w:ind w:leftChars="540" w:left="1612" w:hangingChars="171" w:hanging="478"/>
        <w:rPr>
          <w:rFonts w:ascii="宋体" w:hAnsi="宋体"/>
          <w:b/>
          <w:sz w:val="28"/>
          <w:szCs w:val="28"/>
        </w:rPr>
      </w:pPr>
      <w:r>
        <w:rPr>
          <w:rFonts w:ascii="宋体" w:hAnsi="宋体" w:hint="eastAsia"/>
          <w:b/>
          <w:sz w:val="28"/>
          <w:szCs w:val="28"/>
        </w:rPr>
        <w:t>法定代表人或其委托代理人</w:t>
      </w:r>
      <w:r>
        <w:rPr>
          <w:rFonts w:ascii="宋体" w:hAnsi="宋体" w:hint="eastAsia"/>
          <w:b/>
          <w:sz w:val="28"/>
          <w:szCs w:val="28"/>
          <w:u w:val="single"/>
        </w:rPr>
        <w:t xml:space="preserve">：          </w:t>
      </w:r>
      <w:r>
        <w:rPr>
          <w:rFonts w:ascii="宋体" w:hAnsi="宋体" w:hint="eastAsia"/>
          <w:b/>
          <w:sz w:val="28"/>
          <w:szCs w:val="28"/>
        </w:rPr>
        <w:t>（</w:t>
      </w:r>
      <w:r>
        <w:rPr>
          <w:rFonts w:ascii="宋体" w:hAnsi="宋体" w:hint="eastAsia"/>
          <w:b/>
          <w:iCs/>
          <w:sz w:val="28"/>
          <w:szCs w:val="28"/>
        </w:rPr>
        <w:t>签字或盖章</w:t>
      </w:r>
      <w:r>
        <w:rPr>
          <w:rFonts w:ascii="宋体" w:hAnsi="宋体" w:hint="eastAsia"/>
          <w:b/>
          <w:sz w:val="28"/>
          <w:szCs w:val="28"/>
        </w:rPr>
        <w:t>）</w:t>
      </w:r>
    </w:p>
    <w:p>
      <w:pPr>
        <w:spacing w:beforeLines="50" w:before="156" w:afterLines="50" w:after="156" w:line="480" w:lineRule="auto"/>
        <w:ind w:leftChars="640" w:left="1344"/>
        <w:rPr>
          <w:rFonts w:ascii="宋体" w:hAnsi="宋体"/>
          <w:sz w:val="28"/>
          <w:szCs w:val="28"/>
        </w:rPr>
      </w:pPr>
      <w:r>
        <w:rPr>
          <w:rFonts w:ascii="宋体" w:hAnsi="宋体" w:hint="eastAsia"/>
          <w:b/>
          <w:sz w:val="28"/>
          <w:szCs w:val="28"/>
        </w:rPr>
        <w:t xml:space="preserve">           日期：      </w:t>
      </w:r>
      <w:r>
        <w:rPr>
          <w:rFonts w:ascii="宋体" w:hAnsi="宋体"/>
          <w:b/>
          <w:sz w:val="28"/>
          <w:szCs w:val="28"/>
        </w:rPr>
        <w:t>年</w:t>
      </w:r>
      <w:r>
        <w:rPr>
          <w:rFonts w:ascii="宋体" w:hAnsi="宋体" w:hint="eastAsia"/>
          <w:b/>
          <w:sz w:val="28"/>
          <w:szCs w:val="28"/>
        </w:rPr>
        <w:t xml:space="preserve">   月  日</w:t>
      </w:r>
    </w:p>
    <w:p>
      <w:pPr>
        <w:spacing w:beforeLines="50" w:before="156" w:afterLines="50" w:after="156" w:line="480" w:lineRule="auto"/>
        <w:ind w:leftChars="640" w:left="1344" w:firstLineChars="1000" w:firstLine="2800"/>
        <w:rPr>
          <w:rFonts w:ascii="宋体" w:hAnsi="宋体"/>
          <w:sz w:val="28"/>
          <w:szCs w:val="28"/>
        </w:rPr>
      </w:pPr>
    </w:p>
    <w:p>
      <w:pPr>
        <w:spacing w:beforeLines="50" w:before="156" w:afterLines="50" w:after="156" w:line="480" w:lineRule="auto"/>
        <w:ind w:leftChars="640" w:left="1344" w:firstLineChars="1000" w:firstLine="2800"/>
        <w:rPr>
          <w:rFonts w:ascii="宋体" w:hAnsi="宋体"/>
          <w:sz w:val="28"/>
          <w:szCs w:val="28"/>
        </w:rPr>
      </w:pPr>
    </w:p>
    <w:p>
      <w:pPr>
        <w:spacing w:beforeLines="50" w:before="156" w:afterLines="50" w:after="156" w:line="480" w:lineRule="auto"/>
        <w:ind w:leftChars="640" w:left="1344" w:firstLineChars="1000" w:firstLine="2800"/>
        <w:rPr>
          <w:rFonts w:ascii="宋体" w:hAnsi="宋体"/>
          <w:sz w:val="28"/>
          <w:szCs w:val="28"/>
        </w:rPr>
      </w:pPr>
    </w:p>
    <w:p>
      <w:pPr>
        <w:spacing w:beforeLines="50" w:before="156" w:afterLines="50" w:after="156" w:line="480" w:lineRule="auto"/>
        <w:ind w:leftChars="640" w:left="1344" w:firstLineChars="1000" w:firstLine="2800"/>
        <w:rPr>
          <w:rFonts w:ascii="宋体" w:hAnsi="宋体"/>
          <w:b/>
          <w:sz w:val="28"/>
          <w:szCs w:val="28"/>
        </w:rPr>
      </w:pPr>
      <w:r>
        <w:rPr>
          <w:rFonts w:ascii="宋体" w:hAnsi="宋体" w:hint="eastAsia"/>
          <w:sz w:val="28"/>
          <w:szCs w:val="28"/>
        </w:rPr>
        <w:t>目  录</w:t>
      </w:r>
    </w:p>
    <w:p>
      <w:pPr>
        <w:pStyle w:val="79"/>
        <w:spacing w:before="240"/>
        <w:ind w:firstLineChars="0" w:firstLine="420"/>
        <w:jc w:val="left"/>
        <w:rPr>
          <w:rFonts w:ascii="宋体" w:hAnsi="宋体"/>
          <w:szCs w:val="21"/>
        </w:rPr>
      </w:pPr>
      <w:r>
        <w:rPr>
          <w:rFonts w:ascii="宋体" w:hAnsi="宋体" w:hint="eastAsia"/>
          <w:szCs w:val="21"/>
        </w:rPr>
        <w:t>1、磋商函</w:t>
      </w:r>
    </w:p>
    <w:p>
      <w:pPr>
        <w:pStyle w:val="79"/>
        <w:spacing w:before="240"/>
        <w:ind w:firstLineChars="0" w:firstLine="420"/>
        <w:jc w:val="left"/>
        <w:rPr>
          <w:rFonts w:ascii="宋体" w:hAnsi="宋体"/>
          <w:szCs w:val="21"/>
        </w:rPr>
      </w:pPr>
      <w:r>
        <w:rPr>
          <w:rFonts w:ascii="宋体" w:hAnsi="宋体"/>
          <w:szCs w:val="21"/>
        </w:rPr>
        <w:t>2</w:t>
      </w:r>
      <w:r>
        <w:rPr>
          <w:rFonts w:ascii="宋体" w:hAnsi="宋体" w:hint="eastAsia"/>
          <w:szCs w:val="21"/>
        </w:rPr>
        <w:t>、法定代表人身份证明</w:t>
      </w:r>
    </w:p>
    <w:p>
      <w:pPr>
        <w:pStyle w:val="79"/>
        <w:spacing w:before="240"/>
        <w:ind w:firstLineChars="0" w:firstLine="420"/>
        <w:jc w:val="left"/>
        <w:rPr>
          <w:rFonts w:ascii="宋体" w:hAnsi="宋体"/>
          <w:szCs w:val="21"/>
        </w:rPr>
      </w:pPr>
      <w:r>
        <w:rPr>
          <w:rFonts w:ascii="宋体" w:hAnsi="宋体"/>
          <w:szCs w:val="21"/>
        </w:rPr>
        <w:t>3</w:t>
      </w:r>
      <w:r>
        <w:rPr>
          <w:rFonts w:ascii="宋体" w:hAnsi="宋体" w:hint="eastAsia"/>
          <w:szCs w:val="21"/>
        </w:rPr>
        <w:t>、授权委托书</w:t>
      </w:r>
    </w:p>
    <w:p>
      <w:pPr>
        <w:pStyle w:val="79"/>
        <w:spacing w:before="240"/>
        <w:ind w:firstLineChars="0" w:firstLine="420"/>
        <w:jc w:val="left"/>
        <w:rPr>
          <w:rFonts w:ascii="宋体" w:hAnsi="宋体"/>
          <w:szCs w:val="21"/>
        </w:rPr>
      </w:pPr>
      <w:r>
        <w:rPr>
          <w:rFonts w:ascii="宋体" w:hAnsi="宋体"/>
          <w:szCs w:val="21"/>
        </w:rPr>
        <w:t>4</w:t>
      </w:r>
      <w:r>
        <w:rPr>
          <w:rFonts w:ascii="宋体" w:hAnsi="宋体" w:hint="eastAsia"/>
          <w:szCs w:val="21"/>
        </w:rPr>
        <w:t>、响应人基本情况表</w:t>
      </w:r>
    </w:p>
    <w:p>
      <w:pPr>
        <w:pStyle w:val="79"/>
        <w:spacing w:before="240"/>
        <w:ind w:firstLineChars="0" w:firstLine="420"/>
        <w:jc w:val="left"/>
        <w:rPr>
          <w:rFonts w:ascii="宋体" w:hAnsi="宋体"/>
          <w:szCs w:val="21"/>
        </w:rPr>
      </w:pPr>
      <w:r>
        <w:rPr>
          <w:rFonts w:ascii="宋体" w:hAnsi="宋体"/>
          <w:szCs w:val="21"/>
        </w:rPr>
        <w:t>5</w:t>
      </w:r>
      <w:r>
        <w:rPr>
          <w:rFonts w:ascii="宋体" w:hAnsi="宋体" w:hint="eastAsia"/>
          <w:szCs w:val="21"/>
        </w:rPr>
        <w:t>、</w:t>
      </w:r>
      <w:r>
        <w:rPr>
          <w:rFonts w:ascii="宋体" w:hAnsi="宋体"/>
          <w:szCs w:val="21"/>
        </w:rPr>
        <w:t>信用查询</w:t>
      </w:r>
    </w:p>
    <w:p>
      <w:pPr>
        <w:pStyle w:val="79"/>
        <w:spacing w:before="240"/>
        <w:ind w:firstLineChars="0" w:firstLine="420"/>
        <w:jc w:val="left"/>
        <w:rPr>
          <w:rFonts w:ascii="宋体" w:hAnsi="宋体"/>
          <w:szCs w:val="21"/>
        </w:rPr>
      </w:pPr>
      <w:r>
        <w:rPr>
          <w:rFonts w:ascii="宋体" w:hAnsi="宋体"/>
          <w:szCs w:val="21"/>
        </w:rPr>
        <w:t>6</w:t>
      </w:r>
      <w:r>
        <w:rPr>
          <w:rFonts w:ascii="宋体" w:hAnsi="宋体" w:hint="eastAsia"/>
          <w:szCs w:val="21"/>
        </w:rPr>
        <w:t>、无重大违法记录的书面声明</w:t>
      </w:r>
    </w:p>
    <w:p>
      <w:pPr>
        <w:pStyle w:val="79"/>
        <w:spacing w:before="240"/>
        <w:ind w:firstLineChars="0" w:firstLine="420"/>
        <w:jc w:val="left"/>
        <w:rPr>
          <w:rFonts w:ascii="宋体" w:hAnsi="宋体"/>
          <w:szCs w:val="21"/>
        </w:rPr>
      </w:pPr>
      <w:r>
        <w:rPr>
          <w:rFonts w:ascii="宋体" w:hAnsi="宋体"/>
          <w:szCs w:val="21"/>
        </w:rPr>
        <w:t>7、</w:t>
      </w:r>
      <w:r>
        <w:rPr>
          <w:rFonts w:ascii="宋体" w:hAnsi="宋体" w:hint="eastAsia"/>
          <w:szCs w:val="21"/>
        </w:rPr>
        <w:t>无</w:t>
      </w:r>
      <w:r>
        <w:rPr>
          <w:rFonts w:ascii="宋体" w:hAnsi="宋体"/>
          <w:szCs w:val="21"/>
        </w:rPr>
        <w:t>环保类处罚</w:t>
      </w:r>
      <w:r>
        <w:rPr>
          <w:rFonts w:ascii="宋体" w:hAnsi="宋体" w:hint="eastAsia"/>
          <w:szCs w:val="21"/>
        </w:rPr>
        <w:t>记录的书面声明</w:t>
      </w:r>
    </w:p>
    <w:p>
      <w:pPr>
        <w:pStyle w:val="79"/>
        <w:spacing w:before="240"/>
        <w:ind w:firstLineChars="0" w:firstLine="420"/>
        <w:jc w:val="left"/>
        <w:rPr>
          <w:rFonts w:ascii="宋体" w:hAnsi="宋体"/>
          <w:szCs w:val="21"/>
        </w:rPr>
      </w:pPr>
      <w:r>
        <w:rPr>
          <w:rFonts w:ascii="宋体" w:hAnsi="宋体"/>
          <w:szCs w:val="21"/>
        </w:rPr>
        <w:t>8</w:t>
      </w:r>
      <w:r>
        <w:rPr>
          <w:rFonts w:ascii="宋体" w:hAnsi="宋体" w:hint="eastAsia"/>
          <w:szCs w:val="21"/>
        </w:rPr>
        <w:t>、</w:t>
      </w:r>
      <w:r>
        <w:rPr>
          <w:rFonts w:ascii="宋体" w:hAnsi="宋体"/>
          <w:szCs w:val="21"/>
        </w:rPr>
        <w:t>资格承诺函</w:t>
      </w:r>
    </w:p>
    <w:p>
      <w:pPr>
        <w:pStyle w:val="79"/>
        <w:spacing w:before="240"/>
        <w:ind w:firstLineChars="0" w:firstLine="420"/>
        <w:jc w:val="left"/>
        <w:rPr>
          <w:rFonts w:ascii="宋体" w:hAnsi="宋体"/>
          <w:szCs w:val="21"/>
        </w:rPr>
      </w:pPr>
      <w:r>
        <w:rPr>
          <w:rFonts w:ascii="宋体" w:hAnsi="宋体"/>
          <w:szCs w:val="21"/>
        </w:rPr>
        <w:t>9</w:t>
      </w:r>
      <w:r>
        <w:rPr>
          <w:rFonts w:ascii="宋体" w:hAnsi="宋体" w:hint="eastAsia"/>
          <w:szCs w:val="21"/>
        </w:rPr>
        <w:t>、反商业贿赂承诺书</w:t>
      </w:r>
    </w:p>
    <w:p>
      <w:pPr>
        <w:pStyle w:val="79"/>
        <w:spacing w:before="240"/>
        <w:ind w:firstLineChars="0" w:firstLine="420"/>
        <w:jc w:val="left"/>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、信投标、诚信履约承诺书</w:t>
      </w:r>
    </w:p>
    <w:p>
      <w:pPr>
        <w:pStyle w:val="79"/>
        <w:spacing w:before="240"/>
        <w:ind w:firstLineChars="0" w:firstLine="420"/>
        <w:jc w:val="left"/>
        <w:rPr>
          <w:rFonts w:ascii="宋体" w:hAnsi="宋体"/>
          <w:szCs w:val="21"/>
        </w:rPr>
      </w:pPr>
      <w:r>
        <w:rPr>
          <w:rFonts w:ascii="宋体" w:hAnsi="宋体"/>
          <w:szCs w:val="21"/>
        </w:rPr>
        <w:t>11、非联合体</w:t>
      </w:r>
      <w:r>
        <w:rPr>
          <w:rFonts w:ascii="宋体" w:hAnsi="宋体" w:hint="eastAsia"/>
          <w:szCs w:val="21"/>
        </w:rPr>
        <w:t>声明</w:t>
      </w:r>
    </w:p>
    <w:p>
      <w:pPr>
        <w:pStyle w:val="79"/>
        <w:spacing w:before="240"/>
        <w:ind w:firstLineChars="0" w:firstLine="420"/>
        <w:jc w:val="left"/>
        <w:rPr>
          <w:rFonts w:ascii="宋体" w:hAnsi="宋体"/>
          <w:szCs w:val="21"/>
        </w:rPr>
      </w:pPr>
      <w:r>
        <w:rPr>
          <w:rFonts w:ascii="宋体" w:hAnsi="宋体" w:hint="eastAsia"/>
          <w:szCs w:val="21"/>
        </w:rPr>
        <w:t>12、</w:t>
      </w:r>
      <w:r>
        <w:rPr>
          <w:rFonts w:ascii="宋体" w:hAnsi="宋体"/>
          <w:szCs w:val="21"/>
        </w:rPr>
        <w:t>相关承诺</w:t>
      </w:r>
    </w:p>
    <w:p>
      <w:pPr>
        <w:pStyle w:val="79"/>
        <w:spacing w:before="240"/>
        <w:ind w:firstLineChars="0" w:firstLine="420"/>
        <w:jc w:val="left"/>
        <w:rPr>
          <w:rFonts w:ascii="宋体" w:hAnsi="宋体"/>
          <w:szCs w:val="21"/>
        </w:rPr>
      </w:pPr>
      <w:r>
        <w:rPr>
          <w:rFonts w:ascii="宋体" w:hAnsi="宋体" w:hint="eastAsia"/>
          <w:szCs w:val="21"/>
        </w:rPr>
        <w:t>13、</w:t>
      </w:r>
      <w:r>
        <w:rPr>
          <w:rFonts w:ascii="宋体" w:hAnsi="宋体"/>
          <w:szCs w:val="21"/>
        </w:rPr>
        <w:t>其他证明材料</w:t>
      </w:r>
    </w:p>
    <w:p>
      <w:pPr>
        <w:pStyle w:val="79"/>
        <w:spacing w:before="240"/>
        <w:ind w:firstLineChars="0" w:firstLine="420"/>
        <w:jc w:val="left"/>
        <w:rPr>
          <w:rFonts w:ascii="宋体" w:hAnsi="宋体"/>
          <w:szCs w:val="21"/>
        </w:rPr>
      </w:pPr>
      <w:r>
        <w:rPr>
          <w:rFonts w:ascii="宋体" w:hAnsi="宋体" w:hint="eastAsia"/>
          <w:szCs w:val="21"/>
        </w:rPr>
        <w:t>14、中小企业</w:t>
      </w:r>
    </w:p>
    <w:p>
      <w:pPr>
        <w:pStyle w:val="79"/>
        <w:spacing w:before="240"/>
        <w:ind w:firstLineChars="0" w:firstLine="420"/>
        <w:jc w:val="left"/>
        <w:rPr>
          <w:rFonts w:ascii="宋体" w:hAnsi="宋体"/>
          <w:szCs w:val="21"/>
        </w:rPr>
      </w:pPr>
      <w:r>
        <w:rPr>
          <w:rFonts w:ascii="宋体" w:hAnsi="宋体" w:hint="eastAsia"/>
          <w:szCs w:val="21"/>
        </w:rPr>
        <w:t>15、残疾人</w:t>
      </w:r>
    </w:p>
    <w:p>
      <w:pPr>
        <w:pStyle w:val="79"/>
        <w:spacing w:before="240"/>
        <w:ind w:firstLineChars="0" w:firstLine="420"/>
        <w:jc w:val="left"/>
        <w:rPr>
          <w:rFonts w:ascii="宋体" w:hAnsi="宋体"/>
          <w:szCs w:val="21"/>
        </w:rPr>
      </w:pPr>
      <w:r>
        <w:rPr>
          <w:rFonts w:ascii="宋体" w:hAnsi="宋体" w:hint="eastAsia"/>
          <w:szCs w:val="21"/>
        </w:rPr>
        <w:t>16、监狱企业</w:t>
      </w:r>
    </w:p>
    <w:p>
      <w:pPr>
        <w:pStyle w:val="79"/>
        <w:spacing w:before="240"/>
        <w:ind w:firstLineChars="0" w:firstLine="420"/>
        <w:jc w:val="left"/>
        <w:rPr>
          <w:rFonts w:ascii="宋体" w:hAnsi="宋体"/>
          <w:szCs w:val="21"/>
        </w:rPr>
      </w:pPr>
      <w:r>
        <w:rPr>
          <w:rFonts w:ascii="宋体" w:hAnsi="宋体" w:hint="eastAsia"/>
          <w:szCs w:val="21"/>
        </w:rPr>
        <w:t>17、</w:t>
      </w:r>
      <w:r>
        <w:rPr>
          <w:rFonts w:ascii="宋体" w:hAnsi="宋体"/>
          <w:szCs w:val="21"/>
        </w:rPr>
        <w:t>报价一览表</w:t>
      </w:r>
    </w:p>
    <w:p>
      <w:pPr>
        <w:pStyle w:val="79"/>
        <w:spacing w:before="240"/>
        <w:ind w:firstLineChars="0" w:firstLine="420"/>
        <w:jc w:val="left"/>
        <w:rPr>
          <w:rFonts w:ascii="宋体" w:hAnsi="宋体"/>
          <w:szCs w:val="21"/>
        </w:rPr>
      </w:pPr>
      <w:r>
        <w:rPr>
          <w:rFonts w:ascii="宋体" w:hAnsi="宋体" w:hint="eastAsia"/>
          <w:szCs w:val="21"/>
        </w:rPr>
        <w:t>18、</w:t>
      </w:r>
      <w:r>
        <w:rPr>
          <w:rFonts w:ascii="宋体" w:hAnsi="宋体"/>
          <w:szCs w:val="21"/>
        </w:rPr>
        <w:t>采购需求响应</w:t>
      </w:r>
    </w:p>
    <w:p>
      <w:pPr>
        <w:pStyle w:val="79"/>
        <w:spacing w:before="240"/>
        <w:ind w:firstLineChars="0" w:firstLine="420"/>
        <w:jc w:val="left"/>
        <w:rPr>
          <w:rFonts w:ascii="宋体" w:hAnsi="宋体"/>
          <w:szCs w:val="21"/>
        </w:rPr>
      </w:pPr>
      <w:r>
        <w:rPr>
          <w:rFonts w:ascii="宋体" w:hAnsi="宋体"/>
          <w:szCs w:val="21"/>
        </w:rPr>
        <w:t>19、技术服务方案</w:t>
      </w:r>
    </w:p>
    <w:p>
      <w:pPr>
        <w:pStyle w:val="79"/>
        <w:spacing w:before="240"/>
        <w:ind w:firstLineChars="0" w:firstLine="420"/>
        <w:jc w:val="left"/>
        <w:rPr>
          <w:rFonts w:ascii="宋体" w:hAnsi="宋体"/>
          <w:szCs w:val="21"/>
        </w:rPr>
      </w:pPr>
      <w:r>
        <w:rPr>
          <w:rFonts w:ascii="宋体" w:hAnsi="宋体"/>
          <w:szCs w:val="21"/>
        </w:rPr>
        <w:t>20、项目业绩</w:t>
      </w:r>
    </w:p>
    <w:p>
      <w:pPr>
        <w:pStyle w:val="79"/>
        <w:spacing w:before="240"/>
        <w:ind w:firstLineChars="0" w:firstLine="420"/>
        <w:jc w:val="left"/>
        <w:rPr>
          <w:rFonts w:ascii="宋体" w:hAnsi="宋体"/>
          <w:szCs w:val="21"/>
        </w:rPr>
      </w:pPr>
      <w:r>
        <w:rPr>
          <w:rFonts w:ascii="宋体" w:hAnsi="宋体"/>
          <w:szCs w:val="21"/>
        </w:rPr>
        <w:t>21、其他说明材料</w:t>
      </w:r>
    </w:p>
    <w:p>
      <w:pPr>
        <w:widowControl/>
        <w:spacing w:line="360" w:lineRule="auto"/>
        <w:jc w:val="left"/>
        <w:rPr>
          <w:rFonts w:ascii="宋体" w:hAnsi="宋体"/>
          <w:szCs w:val="21"/>
        </w:rPr>
      </w:pPr>
      <w:r>
        <w:rPr>
          <w:rFonts w:ascii="宋体" w:hAnsi="宋体"/>
          <w:szCs w:val="21"/>
        </w:rPr>
        <w:br w:type="page"/>
      </w:r>
    </w:p>
    <w:p>
      <w:pPr>
        <w:jc w:val="center"/>
        <w:rPr>
          <w:rFonts w:ascii="华文细黑" w:eastAsia="华文细黑" w:hAnsi="华文细黑"/>
          <w:b/>
          <w:bCs/>
          <w:kern w:val="0"/>
          <w:sz w:val="28"/>
          <w:szCs w:val="28"/>
        </w:rPr>
      </w:pPr>
      <w:r>
        <w:rPr>
          <w:rFonts w:ascii="华文细黑" w:eastAsia="华文细黑" w:hAnsi="华文细黑" w:hint="eastAsia"/>
          <w:b/>
          <w:bCs/>
          <w:kern w:val="0"/>
          <w:sz w:val="28"/>
          <w:szCs w:val="28"/>
        </w:rPr>
        <w:t>资格审查索引表</w:t>
      </w:r>
    </w:p>
    <w:p>
      <w:pPr>
        <w:jc w:val="center"/>
        <w:rPr>
          <w:rFonts w:ascii="华文细黑" w:eastAsia="华文细黑" w:hAnsi="华文细黑"/>
          <w:b/>
        </w:rPr>
      </w:pPr>
    </w:p>
    <w:p>
      <w:pPr>
        <w:jc w:val="left"/>
        <w:rPr>
          <w:rFonts w:ascii="华文细黑" w:eastAsia="华文细黑" w:hAnsi="华文细黑"/>
          <w:b/>
        </w:rPr>
      </w:pPr>
      <w:r>
        <w:rPr>
          <w:rFonts w:ascii="华文细黑" w:eastAsia="华文细黑" w:hAnsi="华文细黑" w:hint="eastAsia"/>
          <w:szCs w:val="21"/>
        </w:rPr>
        <w:t>【此部分内容建议按照第四章评标办法中的评审标准的顺序一一罗列】</w:t>
      </w:r>
    </w:p>
    <w:tbl>
      <w:tblPr>
        <w:jc w:val="left"/>
        <w:tblInd w:w="122" w:type="dxa"/>
        <w:tblW w:w="8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1232"/>
        <w:gridCol w:w="2506"/>
        <w:gridCol w:w="2197"/>
        <w:gridCol w:w="2366"/>
      </w:tblGrid>
      <w:tr>
        <w:trPr>
          <w:trHeight w:hRule="exact" w:val="454"/>
        </w:trPr>
        <w:tc>
          <w:tcPr>
            <w:tcW w:w="1232" w:type="dxa"/>
            <w:vAlign w:val="center"/>
          </w:tcPr>
          <w:p>
            <w:pPr>
              <w:jc w:val="center"/>
              <w:rPr>
                <w:rFonts w:ascii="华文细黑" w:eastAsia="华文细黑" w:hAnsi="华文细黑"/>
                <w:szCs w:val="21"/>
              </w:rPr>
            </w:pPr>
            <w:r>
              <w:rPr>
                <w:rFonts w:ascii="华文细黑" w:eastAsia="华文细黑" w:hAnsi="华文细黑"/>
                <w:szCs w:val="21"/>
              </w:rPr>
              <w:t>条款号</w:t>
            </w:r>
          </w:p>
        </w:tc>
        <w:tc>
          <w:tcPr>
            <w:tcW w:w="2506" w:type="dxa"/>
            <w:vAlign w:val="center"/>
          </w:tcPr>
          <w:p>
            <w:pPr>
              <w:jc w:val="center"/>
              <w:rPr>
                <w:rFonts w:ascii="华文细黑" w:eastAsia="华文细黑" w:hAnsi="华文细黑"/>
                <w:szCs w:val="21"/>
              </w:rPr>
            </w:pPr>
            <w:r>
              <w:rPr>
                <w:rFonts w:ascii="华文细黑" w:eastAsia="华文细黑" w:hAnsi="华文细黑"/>
                <w:szCs w:val="21"/>
              </w:rPr>
              <w:t>评审因素</w:t>
            </w:r>
          </w:p>
        </w:tc>
        <w:tc>
          <w:tcPr>
            <w:tcW w:w="2197" w:type="dxa"/>
            <w:vAlign w:val="center"/>
          </w:tcPr>
          <w:p>
            <w:pPr>
              <w:jc w:val="center"/>
              <w:rPr>
                <w:rFonts w:ascii="华文细黑" w:eastAsia="华文细黑" w:hAnsi="华文细黑"/>
                <w:szCs w:val="21"/>
              </w:rPr>
            </w:pPr>
            <w:r>
              <w:rPr>
                <w:rFonts w:ascii="华文细黑" w:eastAsia="华文细黑" w:hAnsi="华文细黑" w:hint="eastAsia"/>
                <w:szCs w:val="21"/>
              </w:rPr>
              <w:t>对应页码</w:t>
            </w:r>
          </w:p>
        </w:tc>
        <w:tc>
          <w:tcPr>
            <w:tcW w:w="2366" w:type="dxa"/>
            <w:vAlign w:val="center"/>
          </w:tcPr>
          <w:p>
            <w:pPr>
              <w:jc w:val="center"/>
              <w:rPr>
                <w:rFonts w:ascii="华文细黑" w:eastAsia="华文细黑" w:hAnsi="华文细黑"/>
                <w:szCs w:val="21"/>
              </w:rPr>
            </w:pPr>
            <w:r>
              <w:rPr>
                <w:rFonts w:ascii="华文细黑" w:eastAsia="华文细黑" w:hAnsi="华文细黑" w:hint="eastAsia"/>
                <w:szCs w:val="21"/>
              </w:rPr>
              <w:t>备注或者说明</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1</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营业执照</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2</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财务状况</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3</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纳税和社保</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4</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专业技术能力</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5</w:t>
            </w:r>
          </w:p>
        </w:tc>
        <w:tc>
          <w:tcPr>
            <w:tcW w:w="2506" w:type="dxa"/>
            <w:tcBorders>
              <w:left w:val="single" w:sz="4" w:space="0" w:color="auto"/>
              <w:bottom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声明</w:t>
            </w:r>
          </w:p>
        </w:tc>
        <w:tc>
          <w:tcPr>
            <w:tcW w:w="2197" w:type="dxa"/>
            <w:tcBorders>
              <w:left w:val="single" w:sz="4" w:space="0" w:color="auto"/>
            </w:tcBorders>
            <w:vAlign w:val="center"/>
          </w:tcPr>
          <w:p>
            <w:pPr>
              <w:tabs>
                <w:tab w:val="left" w:pos="720"/>
              </w:tabs>
              <w:spacing w:line="360" w:lineRule="auto"/>
              <w:ind w:left="420"/>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ind w:left="420"/>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6</w:t>
            </w:r>
          </w:p>
        </w:tc>
        <w:tc>
          <w:tcPr>
            <w:tcW w:w="2506" w:type="dxa"/>
            <w:tcBorders>
              <w:top w:val="single" w:sz="4" w:space="0" w:color="auto"/>
              <w:left w:val="single" w:sz="4" w:space="0" w:color="auto"/>
              <w:bottom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信用查询</w:t>
            </w:r>
          </w:p>
        </w:tc>
        <w:tc>
          <w:tcPr>
            <w:tcW w:w="2197" w:type="dxa"/>
            <w:tcBorders>
              <w:left w:val="single" w:sz="4" w:space="0" w:color="auto"/>
            </w:tcBorders>
            <w:vAlign w:val="center"/>
          </w:tcPr>
          <w:p>
            <w:pPr>
              <w:tabs>
                <w:tab w:val="left" w:pos="720"/>
              </w:tabs>
              <w:spacing w:line="360" w:lineRule="auto"/>
              <w:ind w:left="420"/>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7</w:t>
            </w:r>
          </w:p>
        </w:tc>
        <w:tc>
          <w:tcPr>
            <w:tcW w:w="2506" w:type="dxa"/>
            <w:tcBorders>
              <w:top w:val="single" w:sz="4" w:space="0" w:color="auto"/>
              <w:left w:val="single" w:sz="4" w:space="0" w:color="auto"/>
              <w:bottom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无环保类行政处罚记录</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8</w:t>
            </w:r>
          </w:p>
        </w:tc>
        <w:tc>
          <w:tcPr>
            <w:tcW w:w="2506" w:type="dxa"/>
            <w:tcBorders>
              <w:top w:val="single" w:sz="4" w:space="0" w:color="auto"/>
              <w:left w:val="single" w:sz="4" w:space="0" w:color="auto"/>
              <w:bottom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其他要求</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9</w:t>
            </w:r>
          </w:p>
        </w:tc>
        <w:tc>
          <w:tcPr>
            <w:tcW w:w="2506" w:type="dxa"/>
            <w:tcBorders>
              <w:top w:val="single" w:sz="4" w:space="0" w:color="auto"/>
              <w:left w:val="single" w:sz="4" w:space="0" w:color="auto"/>
              <w:bottom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非联合体响应</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tcBorders>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szCs w:val="21"/>
              </w:rPr>
              <w:t>10</w:t>
            </w:r>
          </w:p>
        </w:tc>
        <w:tc>
          <w:tcPr>
            <w:tcW w:w="2506" w:type="dxa"/>
            <w:tcBorders>
              <w:top w:val="single" w:sz="4" w:space="0" w:color="auto"/>
              <w:left w:val="single" w:sz="4" w:space="0" w:color="auto"/>
              <w:bottom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式样和签署</w:t>
            </w:r>
          </w:p>
        </w:tc>
        <w:tc>
          <w:tcPr>
            <w:tcW w:w="2197" w:type="dxa"/>
            <w:tcBorders>
              <w:left w:val="single" w:sz="4" w:space="0" w:color="auto"/>
              <w:righ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bl>
    <w:p>
      <w:pPr>
        <w:jc w:val="center"/>
        <w:rPr>
          <w:rFonts w:ascii="华文细黑" w:eastAsia="华文细黑" w:hAnsi="华文细黑"/>
          <w:b/>
          <w:bCs/>
          <w:kern w:val="0"/>
          <w:sz w:val="28"/>
          <w:szCs w:val="28"/>
        </w:rPr>
      </w:pPr>
      <w:r>
        <w:rPr>
          <w:rFonts w:ascii="华文细黑" w:eastAsia="华文细黑" w:hAnsi="华文细黑" w:hint="eastAsia"/>
          <w:b/>
          <w:bCs/>
          <w:kern w:val="0"/>
          <w:sz w:val="28"/>
          <w:szCs w:val="28"/>
        </w:rPr>
        <w:t>商务技术评审索引表</w:t>
      </w:r>
    </w:p>
    <w:p>
      <w:pPr>
        <w:jc w:val="left"/>
        <w:rPr>
          <w:rFonts w:ascii="华文细黑" w:eastAsia="华文细黑" w:hAnsi="华文细黑"/>
          <w:b/>
        </w:rPr>
      </w:pPr>
      <w:r>
        <w:rPr>
          <w:rFonts w:ascii="华文细黑" w:eastAsia="华文细黑" w:hAnsi="华文细黑" w:hint="eastAsia"/>
          <w:szCs w:val="21"/>
        </w:rPr>
        <w:t>【此部分内容建议按照第四章评标办法中的评审标准的顺序一一罗列】</w:t>
      </w:r>
    </w:p>
    <w:tbl>
      <w:tblPr>
        <w:jc w:val="left"/>
        <w:tblInd w:w="122" w:type="dxa"/>
        <w:tblW w:w="8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1232"/>
        <w:gridCol w:w="2506"/>
        <w:gridCol w:w="2197"/>
        <w:gridCol w:w="2366"/>
      </w:tblGrid>
      <w:tr>
        <w:trPr>
          <w:trHeight w:hRule="exact" w:val="454"/>
        </w:trPr>
        <w:tc>
          <w:tcPr>
            <w:tcW w:w="1232" w:type="dxa"/>
            <w:vAlign w:val="center"/>
          </w:tcPr>
          <w:p>
            <w:pPr>
              <w:jc w:val="center"/>
              <w:rPr>
                <w:rFonts w:ascii="华文细黑" w:eastAsia="华文细黑" w:hAnsi="华文细黑"/>
                <w:szCs w:val="21"/>
              </w:rPr>
            </w:pPr>
            <w:r>
              <w:rPr>
                <w:rFonts w:ascii="华文细黑" w:eastAsia="华文细黑" w:hAnsi="华文细黑"/>
                <w:szCs w:val="21"/>
              </w:rPr>
              <w:t>条款号</w:t>
            </w:r>
          </w:p>
        </w:tc>
        <w:tc>
          <w:tcPr>
            <w:tcW w:w="2506" w:type="dxa"/>
            <w:vAlign w:val="center"/>
          </w:tcPr>
          <w:p>
            <w:pPr>
              <w:jc w:val="center"/>
              <w:rPr>
                <w:rFonts w:ascii="华文细黑" w:eastAsia="华文细黑" w:hAnsi="华文细黑"/>
                <w:szCs w:val="21"/>
              </w:rPr>
            </w:pPr>
            <w:r>
              <w:rPr>
                <w:rFonts w:ascii="华文细黑" w:eastAsia="华文细黑" w:hAnsi="华文细黑"/>
                <w:szCs w:val="21"/>
              </w:rPr>
              <w:t>评审因素</w:t>
            </w:r>
          </w:p>
        </w:tc>
        <w:tc>
          <w:tcPr>
            <w:tcW w:w="2197" w:type="dxa"/>
            <w:vAlign w:val="center"/>
          </w:tcPr>
          <w:p>
            <w:pPr>
              <w:jc w:val="center"/>
              <w:rPr>
                <w:rFonts w:ascii="华文细黑" w:eastAsia="华文细黑" w:hAnsi="华文细黑"/>
                <w:szCs w:val="21"/>
              </w:rPr>
            </w:pPr>
            <w:r>
              <w:rPr>
                <w:rFonts w:ascii="华文细黑" w:eastAsia="华文细黑" w:hAnsi="华文细黑" w:hint="eastAsia"/>
                <w:szCs w:val="21"/>
              </w:rPr>
              <w:t>对应页码</w:t>
            </w:r>
          </w:p>
        </w:tc>
        <w:tc>
          <w:tcPr>
            <w:tcW w:w="2366" w:type="dxa"/>
            <w:vAlign w:val="center"/>
          </w:tcPr>
          <w:p>
            <w:pPr>
              <w:jc w:val="center"/>
              <w:rPr>
                <w:rFonts w:ascii="华文细黑" w:eastAsia="华文细黑" w:hAnsi="华文细黑"/>
                <w:szCs w:val="21"/>
              </w:rPr>
            </w:pPr>
            <w:r>
              <w:rPr>
                <w:rFonts w:ascii="华文细黑" w:eastAsia="华文细黑" w:hAnsi="华文细黑" w:hint="eastAsia"/>
                <w:szCs w:val="21"/>
              </w:rPr>
              <w:t>备注或者说明</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szCs w:val="21"/>
              </w:rPr>
            </w:pPr>
            <w:r>
              <w:rPr>
                <w:rFonts w:ascii="华文细黑" w:eastAsia="华文细黑" w:hAnsi="华文细黑" w:hint="eastAsia"/>
                <w:szCs w:val="21"/>
              </w:rPr>
              <w:t>1</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lang w:val="zh-TW"/>
              </w:rPr>
            </w:pPr>
            <w:r>
              <w:rPr>
                <w:rFonts w:ascii="华文细黑" w:eastAsia="华文细黑" w:hAnsi="华文细黑" w:hint="eastAsia"/>
                <w:szCs w:val="21"/>
              </w:rPr>
              <w:t>项目业绩</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2</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rPr>
            </w:pPr>
            <w:r>
              <w:rPr>
                <w:rFonts w:ascii="华文细黑" w:eastAsia="华文细黑" w:hAnsi="华文细黑" w:hint="eastAsia"/>
                <w:szCs w:val="21"/>
                <w:lang w:val="en-US" w:eastAsia="zh-CN"/>
              </w:rPr>
              <w:t>技术团队</w:t>
            </w:r>
            <w:r>
              <w:rPr>
                <w:rFonts w:ascii="华文细黑" w:eastAsia="华文细黑" w:hAnsi="华文细黑" w:hint="eastAsia"/>
                <w:szCs w:val="21"/>
              </w:rPr>
              <w:t xml:space="preserve"> </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3</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rPr>
            </w:pPr>
            <w:r>
              <w:rPr>
                <w:rFonts w:ascii="华文细黑" w:eastAsia="华文细黑" w:hAnsi="华文细黑" w:hint="eastAsia"/>
                <w:szCs w:val="21"/>
                <w:lang w:val="en-US" w:eastAsia="zh-CN"/>
              </w:rPr>
              <w:t>车辆配置</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szCs w:val="21"/>
              </w:rPr>
              <w:t>4</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lang w:val="en-US" w:eastAsia="zh-CN"/>
              </w:rPr>
              <w:t>驻地办事处</w:t>
            </w:r>
          </w:p>
        </w:tc>
        <w:tc>
          <w:tcPr>
            <w:tcW w:w="2197"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bl>
    <w:p>
      <w:pPr>
        <w:jc w:val="center"/>
        <w:rPr>
          <w:rFonts w:ascii="华文细黑" w:eastAsia="华文细黑" w:hAnsi="华文细黑"/>
          <w:b/>
        </w:rPr>
      </w:pPr>
    </w:p>
    <w:tbl>
      <w:tblPr>
        <w:jc w:val="left"/>
        <w:tblInd w:w="122" w:type="dxa"/>
        <w:tblW w:w="8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600" w:firstRow="0" w:lastRow="0" w:firstColumn="0" w:lastColumn="0" w:noHBand="1" w:noVBand="1"/>
      </w:tblPr>
      <w:tblGrid>
        <w:gridCol w:w="1232"/>
        <w:gridCol w:w="2506"/>
        <w:gridCol w:w="2197"/>
        <w:gridCol w:w="2366"/>
      </w:tblGrid>
      <w:tr>
        <w:trPr>
          <w:trHeight w:hRule="exact" w:val="454"/>
        </w:trPr>
        <w:tc>
          <w:tcPr>
            <w:tcW w:w="1232" w:type="dxa"/>
            <w:vAlign w:val="center"/>
          </w:tcPr>
          <w:p>
            <w:pPr>
              <w:jc w:val="center"/>
              <w:rPr>
                <w:rFonts w:ascii="华文细黑" w:eastAsia="华文细黑" w:hAnsi="华文细黑"/>
                <w:szCs w:val="21"/>
              </w:rPr>
            </w:pPr>
            <w:r>
              <w:rPr>
                <w:rFonts w:ascii="华文细黑" w:eastAsia="华文细黑" w:hAnsi="华文细黑"/>
                <w:szCs w:val="21"/>
              </w:rPr>
              <w:t>条款号</w:t>
            </w:r>
          </w:p>
        </w:tc>
        <w:tc>
          <w:tcPr>
            <w:tcW w:w="2506" w:type="dxa"/>
            <w:vAlign w:val="center"/>
          </w:tcPr>
          <w:p>
            <w:pPr>
              <w:jc w:val="center"/>
              <w:rPr>
                <w:rFonts w:ascii="华文细黑" w:eastAsia="华文细黑" w:hAnsi="华文细黑"/>
                <w:szCs w:val="21"/>
              </w:rPr>
            </w:pPr>
            <w:r>
              <w:rPr>
                <w:rFonts w:ascii="华文细黑" w:eastAsia="华文细黑" w:hAnsi="华文细黑"/>
                <w:szCs w:val="21"/>
              </w:rPr>
              <w:t>评审因素</w:t>
            </w:r>
          </w:p>
        </w:tc>
        <w:tc>
          <w:tcPr>
            <w:tcW w:w="2197" w:type="dxa"/>
            <w:vAlign w:val="center"/>
          </w:tcPr>
          <w:p>
            <w:pPr>
              <w:jc w:val="center"/>
              <w:rPr>
                <w:rFonts w:ascii="华文细黑" w:eastAsia="华文细黑" w:hAnsi="华文细黑"/>
                <w:szCs w:val="21"/>
              </w:rPr>
            </w:pPr>
            <w:r>
              <w:rPr>
                <w:rFonts w:ascii="华文细黑" w:eastAsia="华文细黑" w:hAnsi="华文细黑" w:hint="eastAsia"/>
                <w:szCs w:val="21"/>
              </w:rPr>
              <w:t>对应页码</w:t>
            </w:r>
          </w:p>
        </w:tc>
        <w:tc>
          <w:tcPr>
            <w:tcW w:w="2366" w:type="dxa"/>
            <w:vAlign w:val="center"/>
          </w:tcPr>
          <w:p>
            <w:pPr>
              <w:jc w:val="center"/>
              <w:rPr>
                <w:rFonts w:ascii="华文细黑" w:eastAsia="华文细黑" w:hAnsi="华文细黑"/>
                <w:szCs w:val="21"/>
              </w:rPr>
            </w:pPr>
            <w:r>
              <w:rPr>
                <w:rFonts w:ascii="华文细黑" w:eastAsia="华文细黑" w:hAnsi="华文细黑" w:hint="eastAsia"/>
                <w:szCs w:val="21"/>
              </w:rPr>
              <w:t>备注或者说明</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1</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lang w:val="zh-TW"/>
              </w:rPr>
            </w:pPr>
            <w:r>
              <w:rPr>
                <w:rFonts w:ascii="华文细黑" w:eastAsia="华文细黑" w:hAnsi="华文细黑" w:hint="eastAsia"/>
                <w:szCs w:val="21"/>
                <w:lang w:val="en-US" w:eastAsia="zh-CN"/>
              </w:rPr>
              <w:t>项目</w:t>
            </w:r>
            <w:r>
              <w:rPr>
                <w:rFonts w:ascii="华文细黑" w:eastAsia="华文细黑" w:hAnsi="华文细黑" w:hint="eastAsia"/>
                <w:szCs w:val="21"/>
              </w:rPr>
              <w:t>运维实施方案</w:t>
            </w:r>
          </w:p>
        </w:tc>
        <w:tc>
          <w:tcPr>
            <w:tcW w:w="2197"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2</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rPr>
            </w:pPr>
            <w:r>
              <w:rPr>
                <w:rFonts w:ascii="华文细黑" w:eastAsia="华文细黑" w:hAnsi="华文细黑" w:hint="eastAsia"/>
                <w:szCs w:val="21"/>
              </w:rPr>
              <w:t>服务条款响应</w:t>
            </w:r>
          </w:p>
        </w:tc>
        <w:tc>
          <w:tcPr>
            <w:tcW w:w="2197"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3</w:t>
            </w:r>
          </w:p>
        </w:tc>
        <w:tc>
          <w:tcPr>
            <w:tcW w:w="2506" w:type="dxa"/>
            <w:tcBorders>
              <w:top w:val="single" w:sz="4" w:space="0" w:color="auto"/>
              <w:left w:val="single" w:sz="4" w:space="0" w:color="auto"/>
            </w:tcBorders>
            <w:vAlign w:val="center"/>
          </w:tcPr>
          <w:p>
            <w:pPr>
              <w:tabs>
                <w:tab w:val="left" w:pos="720"/>
              </w:tabs>
              <w:spacing w:line="360" w:lineRule="auto"/>
              <w:ind w:left="-2" w:firstLine="1"/>
              <w:jc w:val="center"/>
              <w:rPr>
                <w:rFonts w:ascii="华文细黑" w:eastAsia="华文细黑" w:hAnsi="华文细黑" w:hint="eastAsia"/>
                <w:bCs/>
                <w:szCs w:val="21"/>
              </w:rPr>
            </w:pPr>
            <w:r>
              <w:rPr>
                <w:rFonts w:ascii="华文细黑" w:eastAsia="华文细黑" w:hAnsi="华文细黑" w:hint="eastAsia"/>
                <w:szCs w:val="21"/>
              </w:rPr>
              <w:t>项目重难点分析及合理化建议</w:t>
            </w:r>
          </w:p>
        </w:tc>
        <w:tc>
          <w:tcPr>
            <w:tcW w:w="2197"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r>
              <w:rPr>
                <w:rFonts w:ascii="华文细黑" w:eastAsia="华文细黑" w:hAnsi="华文细黑" w:hint="eastAsia"/>
                <w:szCs w:val="21"/>
              </w:rPr>
              <w:t>……</w:t>
            </w:r>
          </w:p>
        </w:tc>
      </w:tr>
      <w:tr>
        <w:trPr>
          <w:trHeight w:hRule="exact" w:val="454"/>
        </w:trPr>
        <w:tc>
          <w:tcPr>
            <w:tcW w:w="1232" w:type="dxa"/>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4</w:t>
            </w:r>
          </w:p>
        </w:tc>
        <w:tc>
          <w:tcPr>
            <w:tcW w:w="2506"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售后服务保障</w:t>
            </w:r>
            <w:r>
              <w:rPr>
                <w:rFonts w:ascii="华文细黑" w:eastAsia="华文细黑" w:hAnsi="华文细黑" w:hint="eastAsia"/>
                <w:szCs w:val="21"/>
                <w:lang w:val="en-US" w:eastAsia="zh-CN"/>
              </w:rPr>
              <w:t>方案</w:t>
            </w:r>
          </w:p>
        </w:tc>
        <w:tc>
          <w:tcPr>
            <w:tcW w:w="2197" w:type="dxa"/>
            <w:tcBorders>
              <w:lef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tcBorders>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5</w:t>
            </w:r>
          </w:p>
        </w:tc>
        <w:tc>
          <w:tcPr>
            <w:tcW w:w="2506" w:type="dxa"/>
            <w:tcBorders>
              <w:left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lang w:val="en-US" w:eastAsia="zh-CN"/>
              </w:rPr>
            </w:pPr>
            <w:r>
              <w:rPr>
                <w:rFonts w:ascii="华文细黑" w:eastAsia="华文细黑" w:hAnsi="华文细黑" w:hint="eastAsia"/>
                <w:szCs w:val="21"/>
              </w:rPr>
              <w:t>项目运维质控方案</w:t>
            </w:r>
          </w:p>
        </w:tc>
        <w:tc>
          <w:tcPr>
            <w:tcW w:w="2197" w:type="dxa"/>
            <w:tcBorders>
              <w:left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r>
        <w:trPr>
          <w:trHeight w:hRule="exact" w:val="454"/>
        </w:trPr>
        <w:tc>
          <w:tcPr>
            <w:tcW w:w="1232" w:type="dxa"/>
            <w:tcBorders>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r>
              <w:rPr>
                <w:rFonts w:ascii="华文细黑" w:eastAsia="华文细黑" w:hAnsi="华文细黑" w:hint="eastAsia"/>
                <w:szCs w:val="21"/>
              </w:rPr>
              <w:t>6</w:t>
            </w:r>
          </w:p>
        </w:tc>
        <w:tc>
          <w:tcPr>
            <w:tcW w:w="2506" w:type="dxa"/>
            <w:tcBorders>
              <w:left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lang w:val="en-US" w:eastAsia="zh-CN"/>
              </w:rPr>
            </w:pPr>
            <w:r>
              <w:rPr>
                <w:rFonts w:ascii="华文细黑" w:eastAsia="华文细黑" w:hAnsi="华文细黑" w:hint="eastAsia"/>
                <w:szCs w:val="21"/>
              </w:rPr>
              <w:t>突发事件应急抢险处理方案</w:t>
            </w:r>
          </w:p>
        </w:tc>
        <w:tc>
          <w:tcPr>
            <w:tcW w:w="2197" w:type="dxa"/>
            <w:tcBorders>
              <w:left w:val="single" w:sz="4" w:space="0" w:color="auto"/>
              <w:right w:val="single" w:sz="4" w:space="0" w:color="auto"/>
            </w:tcBorders>
            <w:vAlign w:val="center"/>
          </w:tcPr>
          <w:p>
            <w:pPr>
              <w:tabs>
                <w:tab w:val="left" w:pos="720"/>
              </w:tabs>
              <w:spacing w:line="360" w:lineRule="auto"/>
              <w:ind w:left="-2" w:firstLine="1"/>
              <w:jc w:val="center"/>
              <w:rPr>
                <w:rFonts w:ascii="华文细黑" w:eastAsia="华文细黑" w:hAnsi="华文细黑" w:hint="eastAsia"/>
                <w:szCs w:val="21"/>
              </w:rPr>
            </w:pPr>
          </w:p>
        </w:tc>
        <w:tc>
          <w:tcPr>
            <w:tcW w:w="2366" w:type="dxa"/>
            <w:tcBorders>
              <w:left w:val="single" w:sz="4" w:space="0" w:color="auto"/>
            </w:tcBorders>
            <w:vAlign w:val="center"/>
          </w:tcPr>
          <w:p>
            <w:pPr>
              <w:tabs>
                <w:tab w:val="left" w:pos="720"/>
              </w:tabs>
              <w:spacing w:line="360" w:lineRule="auto"/>
              <w:jc w:val="center"/>
              <w:rPr>
                <w:rFonts w:ascii="华文细黑" w:eastAsia="华文细黑" w:hAnsi="华文细黑"/>
                <w:szCs w:val="21"/>
              </w:rPr>
            </w:pPr>
          </w:p>
        </w:tc>
      </w:tr>
    </w:tbl>
    <w:p>
      <w:pPr>
        <w:widowControl/>
        <w:jc w:val="left"/>
        <w:rPr>
          <w:rFonts w:ascii="Arial" w:eastAsia="黑体" w:hAnsi="Arial"/>
          <w:b/>
          <w:bCs/>
          <w:sz w:val="32"/>
          <w:szCs w:val="32"/>
        </w:rPr>
      </w:pPr>
      <w:r>
        <w:br w:type="page"/>
      </w:r>
    </w:p>
    <w:p>
      <w:pPr>
        <w:pStyle w:val="2"/>
      </w:pPr>
      <w:bookmarkStart w:id="104" w:name="_Toc67843817"/>
      <w:r>
        <w:rPr>
          <w:rFonts w:hint="eastAsia"/>
        </w:rPr>
        <w:t>1、磋商函</w:t>
      </w:r>
      <w:bookmarkEnd w:id="104"/>
    </w:p>
    <w:p>
      <w:pPr>
        <w:pStyle w:val="83"/>
        <w:overflowPunct w:val="0"/>
        <w:spacing w:before="240" w:line="480" w:lineRule="auto"/>
        <w:ind w:left="465" w:firstLine="0"/>
        <w:rPr>
          <w:rFonts w:ascii="宋体" w:eastAsia="宋体" w:hAnsi="宋体"/>
          <w:b/>
          <w:sz w:val="21"/>
          <w:szCs w:val="21"/>
        </w:rPr>
      </w:pPr>
      <w:r>
        <w:rPr>
          <w:rFonts w:ascii="宋体" w:eastAsia="宋体" w:hAnsi="宋体" w:hint="eastAsia"/>
          <w:sz w:val="21"/>
          <w:szCs w:val="21"/>
        </w:rPr>
        <w:t>致：（采购人名称）</w:t>
      </w:r>
    </w:p>
    <w:p>
      <w:pPr>
        <w:pStyle w:val="82"/>
        <w:spacing w:before="240" w:line="480" w:lineRule="auto"/>
        <w:ind w:firstLineChars="200" w:firstLine="420"/>
        <w:rPr>
          <w:rFonts w:eastAsia="宋体" w:hAnsi="宋体"/>
          <w:sz w:val="21"/>
          <w:szCs w:val="21"/>
        </w:rPr>
      </w:pPr>
      <w:r>
        <w:rPr>
          <w:rFonts w:eastAsia="宋体" w:hAnsi="宋体" w:hint="eastAsia"/>
          <w:sz w:val="21"/>
          <w:szCs w:val="21"/>
        </w:rPr>
        <w:t>我方仔细阅读并全面研究了</w:t>
      </w:r>
      <w:r>
        <w:rPr>
          <w:rFonts w:eastAsia="宋体" w:hAnsi="宋体" w:hint="eastAsia"/>
          <w:bCs/>
          <w:sz w:val="21"/>
          <w:szCs w:val="21"/>
          <w:u w:val="single"/>
        </w:rPr>
        <w:t>项目</w:t>
      </w:r>
      <w:r>
        <w:rPr>
          <w:rFonts w:eastAsia="宋体" w:hAnsi="宋体"/>
          <w:bCs/>
          <w:sz w:val="21"/>
          <w:szCs w:val="21"/>
          <w:u w:val="single"/>
        </w:rPr>
        <w:t xml:space="preserve">        </w:t>
      </w:r>
      <w:r>
        <w:rPr>
          <w:rFonts w:eastAsia="宋体" w:hAnsi="宋体" w:hint="eastAsia"/>
          <w:bCs/>
          <w:sz w:val="21"/>
          <w:szCs w:val="21"/>
          <w:u w:val="single"/>
        </w:rPr>
        <w:t>（项目编号：         ）</w:t>
      </w:r>
      <w:r>
        <w:rPr>
          <w:rFonts w:eastAsia="宋体" w:hAnsi="宋体" w:hint="eastAsia"/>
          <w:sz w:val="21"/>
          <w:szCs w:val="21"/>
        </w:rPr>
        <w:t>磋商文件，决定响应磋商文件的邀请，参加本项目竞争性磋商。</w:t>
      </w:r>
    </w:p>
    <w:p>
      <w:pPr>
        <w:spacing w:before="240" w:line="480" w:lineRule="auto"/>
        <w:ind w:firstLineChars="200" w:firstLine="420"/>
        <w:rPr>
          <w:rFonts w:ascii="宋体" w:hAnsi="宋体"/>
          <w:szCs w:val="21"/>
        </w:rPr>
      </w:pPr>
      <w:r>
        <w:rPr>
          <w:rFonts w:ascii="宋体" w:hAnsi="宋体"/>
          <w:szCs w:val="21"/>
        </w:rPr>
        <w:t>1</w:t>
      </w:r>
      <w:r>
        <w:rPr>
          <w:rFonts w:ascii="宋体" w:hAnsi="宋体" w:hint="eastAsia"/>
          <w:szCs w:val="21"/>
        </w:rPr>
        <w:t>、我方自愿按照磋商文件规定的各项要求向采购人提供所需承接主体内的服务，响应文件有效期为</w:t>
      </w:r>
      <w:r>
        <w:rPr>
          <w:rFonts w:hAnsi="宋体" w:hint="eastAsia"/>
        </w:rPr>
        <w:t>自响应文件递交截止日起</w:t>
      </w:r>
      <w:r>
        <w:rPr>
          <w:rFonts w:hAnsi="宋体"/>
          <w:b/>
          <w:u w:val="single"/>
        </w:rPr>
        <w:t>60</w:t>
      </w:r>
      <w:r>
        <w:rPr>
          <w:rFonts w:hAnsi="宋体" w:hint="eastAsia"/>
        </w:rPr>
        <w:t>天</w:t>
      </w:r>
      <w:r>
        <w:rPr>
          <w:rFonts w:ascii="宋体" w:hAnsi="宋体" w:hint="eastAsia"/>
          <w:szCs w:val="21"/>
        </w:rPr>
        <w:t>。</w:t>
      </w:r>
    </w:p>
    <w:p>
      <w:pPr>
        <w:pStyle w:val="82"/>
        <w:spacing w:before="240" w:line="480" w:lineRule="auto"/>
        <w:ind w:firstLineChars="200" w:firstLine="420"/>
        <w:rPr>
          <w:rFonts w:eastAsia="宋体" w:hAnsi="宋体"/>
          <w:sz w:val="21"/>
          <w:szCs w:val="21"/>
        </w:rPr>
      </w:pPr>
      <w:r>
        <w:rPr>
          <w:rFonts w:eastAsia="宋体" w:hAnsi="宋体"/>
          <w:sz w:val="21"/>
          <w:szCs w:val="21"/>
        </w:rPr>
        <w:t>2</w:t>
      </w:r>
      <w:r>
        <w:rPr>
          <w:rFonts w:eastAsia="宋体" w:hAnsi="宋体" w:hint="eastAsia"/>
          <w:sz w:val="21"/>
          <w:szCs w:val="21"/>
        </w:rPr>
        <w:t>、我方充分理解并完全接受磋商文件的各项规定和要求，没有任何异议，不附加任何条件。</w:t>
      </w:r>
    </w:p>
    <w:p>
      <w:pPr>
        <w:pStyle w:val="82"/>
        <w:spacing w:before="240" w:line="480" w:lineRule="auto"/>
        <w:ind w:firstLineChars="200" w:firstLine="420"/>
        <w:rPr>
          <w:rFonts w:eastAsia="宋体" w:hAnsi="宋体" w:hint="eastAsia"/>
          <w:sz w:val="21"/>
          <w:szCs w:val="21"/>
        </w:rPr>
      </w:pPr>
      <w:r>
        <w:rPr>
          <w:rFonts w:eastAsia="宋体" w:hAnsi="宋体" w:hint="eastAsia"/>
          <w:sz w:val="21"/>
          <w:szCs w:val="21"/>
        </w:rPr>
        <w:t xml:space="preserve">3、我们同意提供贵单位要求的有关本次报价的所有资料或证据。 </w:t>
      </w:r>
    </w:p>
    <w:p>
      <w:pPr>
        <w:pStyle w:val="82"/>
        <w:spacing w:before="240" w:line="480" w:lineRule="auto"/>
        <w:ind w:firstLineChars="200" w:firstLine="420"/>
        <w:rPr>
          <w:rFonts w:eastAsia="宋体" w:hAnsi="宋体"/>
          <w:sz w:val="21"/>
          <w:szCs w:val="21"/>
        </w:rPr>
      </w:pPr>
      <w:r>
        <w:rPr>
          <w:rFonts w:eastAsia="宋体" w:hAnsi="宋体"/>
          <w:sz w:val="21"/>
          <w:szCs w:val="21"/>
        </w:rPr>
        <w:t>4</w:t>
      </w:r>
      <w:r>
        <w:rPr>
          <w:rFonts w:eastAsia="宋体" w:hAnsi="宋体" w:hint="eastAsia"/>
          <w:sz w:val="21"/>
          <w:szCs w:val="21"/>
        </w:rPr>
        <w:t>、如果我方被授予合同，我方将严格履行合同规定的责任和义务，保证按期、按质、按量完成合同义务</w:t>
      </w:r>
    </w:p>
    <w:p>
      <w:pPr>
        <w:adjustRightInd w:val="0"/>
        <w:snapToGrid w:val="0"/>
        <w:spacing w:beforeLines="50" w:before="156" w:afterLines="50" w:after="156" w:line="480" w:lineRule="auto"/>
        <w:rPr>
          <w:rFonts w:ascii="宋体" w:hAnsi="宋体"/>
          <w:szCs w:val="21"/>
        </w:rPr>
      </w:pPr>
      <w:bookmarkStart w:id="105" w:name="_Toc317237633"/>
      <w:bookmarkStart w:id="106" w:name="_Toc202875604"/>
      <w:bookmarkStart w:id="107" w:name="_Toc27021"/>
      <w:bookmarkStart w:id="108" w:name="_Toc201465544"/>
      <w:r>
        <w:rPr>
          <w:rFonts w:ascii="宋体" w:hAnsi="宋体" w:hint="eastAsia"/>
          <w:szCs w:val="21"/>
        </w:rPr>
        <w:t>响应人</w:t>
      </w:r>
      <w:r>
        <w:rPr>
          <w:rFonts w:ascii="宋体" w:hAnsi="宋体" w:hint="eastAsia"/>
          <w:szCs w:val="21"/>
          <w:u w:val="single"/>
        </w:rPr>
        <w:t xml:space="preserve">：            </w:t>
      </w:r>
      <w:r>
        <w:rPr>
          <w:rFonts w:hAnsi="宋体" w:hint="eastAsia"/>
          <w:szCs w:val="21"/>
        </w:rPr>
        <w:t>（响应人名称并加盖公章）</w:t>
      </w:r>
    </w:p>
    <w:p>
      <w:pPr>
        <w:adjustRightInd w:val="0"/>
        <w:snapToGrid w:val="0"/>
        <w:spacing w:beforeLines="50" w:before="156" w:line="480" w:lineRule="auto"/>
        <w:rPr>
          <w:rFonts w:ascii="宋体" w:hAnsi="宋体"/>
          <w:szCs w:val="21"/>
        </w:rPr>
      </w:pPr>
      <w:r>
        <w:rPr>
          <w:rFonts w:hint="eastAsia"/>
          <w:color w:val="000000"/>
        </w:rPr>
        <w:t>法人代表或委托代理人</w:t>
      </w:r>
      <w:r>
        <w:rPr>
          <w:rFonts w:ascii="宋体" w:hAnsi="宋体" w:hint="eastAsia"/>
          <w:szCs w:val="21"/>
          <w:u w:val="single"/>
        </w:rPr>
        <w:t xml:space="preserve">：                  </w:t>
      </w:r>
      <w:r>
        <w:rPr>
          <w:rFonts w:hint="eastAsia"/>
          <w:color w:val="000000"/>
        </w:rPr>
        <w:t>（签字或盖章）：</w:t>
      </w:r>
    </w:p>
    <w:p>
      <w:r>
        <w:rPr>
          <w:rFonts w:hint="eastAsia"/>
        </w:rPr>
        <w:t xml:space="preserve">日期：   年  月   日  </w:t>
      </w:r>
      <w:r>
        <w:rPr>
          <w:color w:val="000000"/>
        </w:rPr>
        <w:br w:type="page"/>
      </w:r>
    </w:p>
    <w:p>
      <w:pPr>
        <w:widowControl/>
        <w:ind w:firstLineChars="200" w:firstLine="420"/>
        <w:jc w:val="left"/>
      </w:pPr>
      <w:bookmarkEnd w:id="105"/>
      <w:bookmarkEnd w:id="106"/>
      <w:bookmarkEnd w:id="107"/>
      <w:bookmarkEnd w:id="108"/>
    </w:p>
    <w:p>
      <w:pPr>
        <w:pStyle w:val="2"/>
      </w:pPr>
      <w:bookmarkStart w:id="109" w:name="_Toc67843818"/>
      <w:r>
        <w:t>2</w:t>
      </w:r>
      <w:r>
        <w:rPr>
          <w:rFonts w:hint="eastAsia"/>
        </w:rPr>
        <w:t>、法定代表人身份证明</w:t>
      </w:r>
      <w:bookmarkEnd w:id="109"/>
    </w:p>
    <w:p>
      <w:pPr>
        <w:pStyle w:val="83"/>
        <w:overflowPunct w:val="0"/>
        <w:spacing w:before="240" w:line="480" w:lineRule="auto"/>
        <w:ind w:firstLineChars="149" w:firstLine="313"/>
        <w:rPr>
          <w:rFonts w:ascii="宋体" w:eastAsia="宋体" w:hAnsi="宋体"/>
          <w:sz w:val="21"/>
          <w:szCs w:val="21"/>
        </w:rPr>
      </w:pPr>
      <w:r>
        <w:rPr>
          <w:rFonts w:ascii="宋体" w:eastAsia="宋体" w:hAnsi="宋体" w:hint="eastAsia"/>
          <w:sz w:val="21"/>
          <w:szCs w:val="21"/>
        </w:rPr>
        <w:t>姓名：性别：年龄职务；</w:t>
      </w:r>
    </w:p>
    <w:p>
      <w:pPr>
        <w:pStyle w:val="83"/>
        <w:overflowPunct w:val="0"/>
        <w:spacing w:before="240" w:line="480" w:lineRule="auto"/>
        <w:ind w:firstLineChars="149" w:firstLine="313"/>
        <w:rPr>
          <w:rFonts w:ascii="宋体" w:eastAsia="宋体" w:hAnsi="宋体"/>
          <w:sz w:val="21"/>
          <w:szCs w:val="21"/>
        </w:rPr>
      </w:pPr>
      <w:r>
        <w:rPr>
          <w:rFonts w:ascii="宋体" w:eastAsia="宋体" w:hAnsi="宋体" w:hint="eastAsia"/>
          <w:sz w:val="21"/>
          <w:szCs w:val="21"/>
        </w:rPr>
        <w:t>系（响应人）的法定代表人 。</w:t>
      </w:r>
    </w:p>
    <w:p>
      <w:pPr>
        <w:pStyle w:val="83"/>
        <w:overflowPunct w:val="0"/>
        <w:spacing w:before="240" w:line="480" w:lineRule="auto"/>
        <w:ind w:firstLineChars="149" w:firstLine="313"/>
        <w:rPr>
          <w:rFonts w:ascii="宋体" w:eastAsia="宋体" w:hAnsi="宋体"/>
          <w:sz w:val="21"/>
          <w:szCs w:val="21"/>
        </w:rPr>
      </w:pPr>
      <w:r>
        <w:rPr>
          <w:rFonts w:ascii="宋体" w:eastAsia="宋体" w:hAnsi="宋体" w:hint="eastAsia"/>
          <w:sz w:val="21"/>
          <w:szCs w:val="21"/>
        </w:rPr>
        <w:t>特此证明。</w:t>
      </w:r>
    </w:p>
    <w:p>
      <w:pPr>
        <w:pStyle w:val="83"/>
        <w:overflowPunct w:val="0"/>
        <w:spacing w:before="240" w:line="480" w:lineRule="auto"/>
        <w:ind w:firstLineChars="149" w:firstLine="313"/>
        <w:rPr>
          <w:rFonts w:ascii="宋体" w:eastAsia="宋体" w:hAnsi="宋体"/>
          <w:sz w:val="21"/>
          <w:szCs w:val="21"/>
        </w:rPr>
      </w:pPr>
      <w:r>
        <w:rPr>
          <w:rFonts w:ascii="宋体" w:eastAsia="宋体" w:hAnsi="宋体" w:hint="eastAsia"/>
          <w:sz w:val="21"/>
          <w:szCs w:val="21"/>
        </w:rPr>
        <w:t>附：法定代表人居民身份证</w:t>
      </w:r>
    </w:p>
    <w:p>
      <w:pPr>
        <w:pStyle w:val="83"/>
        <w:overflowPunct w:val="0"/>
        <w:spacing w:before="240" w:line="480" w:lineRule="auto"/>
        <w:ind w:firstLine="0"/>
        <w:rPr>
          <w:rFonts w:ascii="宋体" w:eastAsia="宋体" w:hAnsi="宋体"/>
          <w:sz w:val="21"/>
          <w:szCs w:val="21"/>
        </w:rPr>
      </w:pPr>
    </w:p>
    <w:p>
      <w:pPr>
        <w:pStyle w:val="83"/>
        <w:overflowPunct w:val="0"/>
        <w:spacing w:before="240" w:line="480" w:lineRule="auto"/>
        <w:ind w:firstLine="0"/>
        <w:rPr>
          <w:rFonts w:ascii="宋体" w:eastAsia="宋体" w:hAnsi="宋体"/>
          <w:sz w:val="21"/>
          <w:szCs w:val="21"/>
        </w:rPr>
      </w:pPr>
      <w:r>
        <w:rPr>
          <w:rFonts w:ascii="宋体" w:eastAsia="宋体" w:hAnsi="宋体" w:hint="eastAsia"/>
          <w:sz w:val="21"/>
          <w:szCs w:val="21"/>
        </w:rPr>
        <w:t xml:space="preserve">                  响应人</w:t>
      </w:r>
      <w:r>
        <w:rPr>
          <w:rFonts w:ascii="宋体" w:eastAsia="宋体" w:hAnsi="宋体" w:hint="eastAsia"/>
          <w:sz w:val="21"/>
          <w:szCs w:val="21"/>
          <w:u w:val="single"/>
        </w:rPr>
        <w:t xml:space="preserve">：    </w:t>
      </w:r>
      <w:r>
        <w:rPr>
          <w:rFonts w:ascii="宋体" w:eastAsia="宋体" w:hAnsi="宋体" w:hint="eastAsia"/>
          <w:sz w:val="21"/>
          <w:szCs w:val="21"/>
        </w:rPr>
        <w:t>（响应人单位名称并加盖公章）</w:t>
      </w:r>
    </w:p>
    <w:p>
      <w:pPr>
        <w:pStyle w:val="83"/>
        <w:overflowPunct w:val="0"/>
        <w:spacing w:before="240" w:line="480" w:lineRule="auto"/>
        <w:ind w:firstLineChars="1340" w:firstLine="2814"/>
        <w:rPr>
          <w:rFonts w:ascii="宋体" w:eastAsia="宋体" w:hAnsi="宋体"/>
          <w:sz w:val="21"/>
          <w:szCs w:val="21"/>
          <w:u w:val="single"/>
        </w:rPr>
      </w:pPr>
      <w:r>
        <w:rPr>
          <w:rFonts w:ascii="宋体" w:eastAsia="宋体" w:hAnsi="宋体" w:hint="eastAsia"/>
          <w:sz w:val="21"/>
          <w:szCs w:val="21"/>
        </w:rPr>
        <w:t>日  期</w:t>
      </w:r>
      <w:r>
        <w:rPr>
          <w:rFonts w:ascii="宋体" w:eastAsia="宋体" w:hAnsi="宋体" w:hint="eastAsia"/>
          <w:sz w:val="21"/>
          <w:szCs w:val="21"/>
          <w:u w:val="single"/>
        </w:rPr>
        <w:t xml:space="preserve">：        </w:t>
      </w:r>
      <w:r>
        <w:rPr>
          <w:rFonts w:ascii="宋体" w:eastAsia="宋体" w:hAnsi="宋体" w:hint="eastAsia"/>
          <w:sz w:val="21"/>
          <w:szCs w:val="21"/>
        </w:rPr>
        <w:t>年月日</w:t>
      </w:r>
    </w:p>
    <w:p>
      <w:pPr>
        <w:pStyle w:val="83"/>
        <w:overflowPunct w:val="0"/>
        <w:spacing w:before="240" w:line="480" w:lineRule="auto"/>
        <w:ind w:firstLineChars="1140" w:firstLine="3192"/>
        <w:rPr>
          <w:rFonts w:ascii="宋体" w:eastAsia="宋体" w:hAnsi="宋体"/>
          <w:b/>
          <w:sz w:val="28"/>
          <w:szCs w:val="28"/>
        </w:rPr>
      </w:pPr>
    </w:p>
    <w:p>
      <w:pPr>
        <w:adjustRightInd w:val="0"/>
        <w:snapToGrid w:val="0"/>
        <w:spacing w:beforeLines="50" w:before="156" w:line="480" w:lineRule="auto"/>
        <w:rPr>
          <w:rFonts w:ascii="宋体" w:hAnsi="宋体"/>
          <w:szCs w:val="21"/>
        </w:rPr>
        <w:sectPr>
          <w:footerReference w:type="default" r:id="rId7"/>
          <w:footerReference w:type="even" r:id="rId8"/>
          <w:pgSz w:w="11906" w:h="16838"/>
          <w:pgMar w:top="1361" w:right="1418" w:bottom="1361" w:left="1588" w:header="851" w:footer="992" w:gutter="0"/>
          <w:cols w:num="1" w:space="720"/>
          <w:docGrid w:type="lines" w:linePitch="312" w:charSpace="0"/>
        </w:sectPr>
      </w:pPr>
    </w:p>
    <w:p>
      <w:pPr>
        <w:pStyle w:val="2"/>
      </w:pPr>
      <w:bookmarkStart w:id="110" w:name="_Toc67843819"/>
      <w:bookmarkEnd w:id="103"/>
      <w:r>
        <w:t>3</w:t>
      </w:r>
      <w:r>
        <w:rPr>
          <w:rFonts w:hint="eastAsia"/>
        </w:rPr>
        <w:t>、授权委托书</w:t>
      </w:r>
      <w:bookmarkEnd w:id="110"/>
    </w:p>
    <w:p>
      <w:pPr>
        <w:pStyle w:val="83"/>
        <w:overflowPunct w:val="0"/>
        <w:spacing w:before="240" w:line="480" w:lineRule="auto"/>
        <w:jc w:val="center"/>
        <w:rPr>
          <w:rFonts w:ascii="宋体" w:eastAsia="宋体" w:hAnsi="宋体"/>
          <w:b/>
          <w:sz w:val="21"/>
          <w:szCs w:val="21"/>
        </w:rPr>
      </w:pP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本授权委托书声明：我</w:t>
      </w:r>
      <w:r>
        <w:rPr>
          <w:rFonts w:ascii="宋体" w:eastAsia="宋体" w:hAnsi="宋体" w:hint="eastAsia"/>
          <w:iCs/>
          <w:sz w:val="21"/>
          <w:szCs w:val="21"/>
          <w:u w:val="single"/>
        </w:rPr>
        <w:t xml:space="preserve">  （姓名）  </w:t>
      </w:r>
      <w:r>
        <w:rPr>
          <w:rFonts w:ascii="宋体" w:eastAsia="宋体" w:hAnsi="宋体" w:hint="eastAsia"/>
          <w:sz w:val="21"/>
          <w:szCs w:val="21"/>
        </w:rPr>
        <w:t>系</w:t>
      </w:r>
      <w:r>
        <w:rPr>
          <w:rFonts w:ascii="宋体" w:eastAsia="宋体" w:hAnsi="宋体" w:hint="eastAsia"/>
          <w:iCs/>
          <w:sz w:val="21"/>
          <w:szCs w:val="21"/>
          <w:u w:val="single"/>
        </w:rPr>
        <w:t xml:space="preserve">   （响应人名称）  </w:t>
      </w:r>
      <w:r>
        <w:rPr>
          <w:rFonts w:ascii="宋体" w:eastAsia="宋体" w:hAnsi="宋体" w:hint="eastAsia"/>
          <w:sz w:val="21"/>
          <w:szCs w:val="21"/>
        </w:rPr>
        <w:t>的法定代表人，现授权委托</w:t>
      </w:r>
      <w:r>
        <w:rPr>
          <w:rFonts w:ascii="宋体" w:eastAsia="宋体" w:hAnsi="宋体" w:hint="eastAsia"/>
          <w:iCs/>
          <w:sz w:val="21"/>
          <w:szCs w:val="21"/>
          <w:u w:val="single"/>
        </w:rPr>
        <w:t xml:space="preserve">  （被授权人姓名及身份证号码）  </w:t>
      </w:r>
      <w:r>
        <w:rPr>
          <w:rFonts w:ascii="宋体" w:eastAsia="宋体" w:hAnsi="宋体" w:hint="eastAsia"/>
          <w:sz w:val="21"/>
          <w:szCs w:val="21"/>
        </w:rPr>
        <w:t>为我公司的代理人，以本公司的名义参加贵公司组织的</w:t>
      </w:r>
      <w:r>
        <w:rPr>
          <w:rFonts w:ascii="宋体" w:eastAsia="宋体" w:hAnsi="宋体" w:hint="eastAsia"/>
          <w:sz w:val="21"/>
          <w:szCs w:val="21"/>
          <w:u w:val="single"/>
        </w:rPr>
        <w:t xml:space="preserve">   （项目名称</w:t>
      </w:r>
      <w:r>
        <w:rPr>
          <w:rFonts w:ascii="宋体" w:eastAsia="宋体" w:hAnsi="宋体"/>
          <w:sz w:val="21"/>
          <w:szCs w:val="21"/>
          <w:u w:val="single"/>
        </w:rPr>
        <w:t xml:space="preserve">   </w:t>
      </w:r>
      <w:r>
        <w:rPr>
          <w:rFonts w:ascii="宋体" w:eastAsia="宋体" w:hAnsi="宋体" w:hint="eastAsia"/>
          <w:sz w:val="21"/>
          <w:szCs w:val="21"/>
          <w:u w:val="single"/>
        </w:rPr>
        <w:t xml:space="preserve">及项目编号）   </w:t>
      </w:r>
      <w:r>
        <w:rPr>
          <w:rFonts w:ascii="宋体" w:eastAsia="宋体" w:hAnsi="宋体" w:hint="eastAsia"/>
          <w:sz w:val="21"/>
          <w:szCs w:val="21"/>
        </w:rPr>
        <w:t>的采购活动，处理与本磋商活动有关的一切事务。被授权人在唱价、评审、合同签订过程中所签署的一切文件，我均予以承认。</w:t>
      </w: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与本项目有关的质疑、投诉事项，我将亲自处理或另行特别授权。</w:t>
      </w: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本授权委托书的效力自签署日起至合同履行完毕止。</w:t>
      </w: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被授权人无转委托权。特此委托。</w:t>
      </w:r>
    </w:p>
    <w:p>
      <w:pPr>
        <w:pStyle w:val="83"/>
        <w:overflowPunct w:val="0"/>
        <w:spacing w:before="240" w:line="480" w:lineRule="auto"/>
        <w:jc w:val="both"/>
        <w:rPr>
          <w:rFonts w:ascii="宋体" w:eastAsia="宋体" w:hAnsi="宋体"/>
          <w:sz w:val="21"/>
          <w:szCs w:val="21"/>
        </w:rPr>
      </w:pPr>
      <w:r>
        <w:rPr>
          <w:rFonts w:ascii="宋体" w:eastAsia="宋体" w:hAnsi="宋体" w:hint="eastAsia"/>
          <w:sz w:val="21"/>
          <w:szCs w:val="21"/>
        </w:rPr>
        <w:t>本授权书于      年   月   日签字生效，特此证明。</w:t>
      </w:r>
    </w:p>
    <w:p>
      <w:pPr>
        <w:pStyle w:val="83"/>
        <w:overflowPunct w:val="0"/>
        <w:spacing w:before="240" w:line="480" w:lineRule="auto"/>
        <w:jc w:val="both"/>
        <w:rPr>
          <w:rFonts w:ascii="宋体" w:eastAsia="宋体" w:hAnsi="宋体"/>
          <w:sz w:val="21"/>
          <w:szCs w:val="21"/>
        </w:rPr>
      </w:pP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 xml:space="preserve">响应人名称：                      </w:t>
      </w:r>
      <w:r>
        <w:rPr>
          <w:rFonts w:ascii="宋体" w:eastAsia="宋体" w:hAnsi="宋体" w:hint="eastAsia"/>
          <w:szCs w:val="24"/>
        </w:rPr>
        <w:t>（响应人单位名称并加盖公章）</w:t>
      </w: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法定代表人</w:t>
      </w:r>
      <w:r>
        <w:rPr>
          <w:rFonts w:ascii="宋体" w:eastAsia="宋体" w:hAnsi="宋体" w:hint="eastAsia"/>
          <w:sz w:val="21"/>
          <w:szCs w:val="21"/>
          <w:u w:val="single"/>
        </w:rPr>
        <w:t xml:space="preserve">：           </w:t>
      </w:r>
      <w:r>
        <w:rPr>
          <w:rFonts w:ascii="宋体" w:eastAsia="宋体" w:hAnsi="宋体"/>
          <w:iCs/>
        </w:rPr>
        <w:t>（签字或盖章）</w:t>
      </w:r>
    </w:p>
    <w:p>
      <w:pPr>
        <w:pStyle w:val="83"/>
        <w:overflowPunct w:val="0"/>
        <w:spacing w:before="240" w:line="480" w:lineRule="auto"/>
        <w:ind w:firstLineChars="200" w:firstLine="420"/>
        <w:jc w:val="both"/>
        <w:rPr>
          <w:rFonts w:ascii="宋体" w:eastAsia="宋体" w:hAnsi="宋体"/>
          <w:sz w:val="21"/>
          <w:szCs w:val="21"/>
        </w:rPr>
      </w:pPr>
      <w:r>
        <w:rPr>
          <w:rFonts w:ascii="宋体" w:eastAsia="宋体" w:hAnsi="宋体" w:hint="eastAsia"/>
          <w:sz w:val="21"/>
          <w:szCs w:val="21"/>
        </w:rPr>
        <w:t>被授权人</w:t>
      </w:r>
      <w:r>
        <w:rPr>
          <w:rFonts w:ascii="宋体" w:eastAsia="宋体" w:hAnsi="宋体" w:hint="eastAsia"/>
          <w:sz w:val="21"/>
          <w:szCs w:val="21"/>
          <w:u w:val="single"/>
        </w:rPr>
        <w:t xml:space="preserve">：             </w:t>
      </w:r>
      <w:r>
        <w:rPr>
          <w:rFonts w:ascii="宋体" w:eastAsia="宋体" w:hAnsi="宋体"/>
          <w:iCs/>
        </w:rPr>
        <w:t>（签字或盖章）</w:t>
      </w:r>
    </w:p>
    <w:p>
      <w:pPr>
        <w:pStyle w:val="82"/>
        <w:spacing w:before="240" w:line="480" w:lineRule="auto"/>
        <w:ind w:firstLineChars="200" w:firstLine="420"/>
        <w:rPr>
          <w:rFonts w:eastAsia="宋体" w:hAnsi="宋体"/>
          <w:sz w:val="21"/>
          <w:szCs w:val="21"/>
        </w:rPr>
        <w:sectPr>
          <w:pgSz w:w="11906" w:h="16838"/>
          <w:pgMar w:top="1418" w:right="1418" w:bottom="1418" w:left="1588" w:header="851" w:footer="851" w:gutter="0"/>
          <w:cols w:num="1" w:space="720"/>
          <w:titlePg/>
          <w:docGrid w:type="lines" w:linePitch="312" w:charSpace="0"/>
        </w:sectPr>
      </w:pPr>
      <w:bookmarkStart w:id="111" w:name="_Toc13189"/>
      <w:bookmarkStart w:id="112" w:name="_Toc317237638"/>
      <w:bookmarkStart w:id="113" w:name="_Toc212102886"/>
      <w:r>
        <w:rPr>
          <w:rFonts w:eastAsia="宋体" w:hAnsi="宋体" w:hint="eastAsia"/>
          <w:sz w:val="21"/>
          <w:szCs w:val="21"/>
        </w:rPr>
        <w:t>日期：      年     月     日</w:t>
      </w:r>
    </w:p>
    <w:p>
      <w:pPr>
        <w:pStyle w:val="2"/>
      </w:pPr>
      <w:bookmarkStart w:id="114" w:name="_Toc67843820"/>
      <w:r>
        <w:t>4</w:t>
      </w:r>
      <w:r>
        <w:rPr>
          <w:rFonts w:hint="eastAsia"/>
        </w:rPr>
        <w:t>、响应人基本情况表</w:t>
      </w:r>
      <w:bookmarkEnd w:id="111"/>
      <w:bookmarkEnd w:id="112"/>
      <w:bookmarkEnd w:id="114"/>
    </w:p>
    <w:tbl>
      <w:tblPr>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0" w:type="dxa"/>
          <w:left w:w="108" w:type="dxa"/>
          <w:bottom w:w="0" w:type="dxa"/>
          <w:right w:w="108" w:type="dxa"/>
        </w:tblCellMar>
        <w:tblLook w:val="0600" w:firstRow="0" w:lastRow="0" w:firstColumn="0" w:lastColumn="0" w:noHBand="1" w:noVBand="1"/>
      </w:tblPr>
      <w:tblGrid>
        <w:gridCol w:w="1615"/>
        <w:gridCol w:w="861"/>
        <w:gridCol w:w="171"/>
        <w:gridCol w:w="1468"/>
        <w:gridCol w:w="733"/>
        <w:gridCol w:w="439"/>
        <w:gridCol w:w="9"/>
        <w:gridCol w:w="463"/>
        <w:gridCol w:w="948"/>
        <w:gridCol w:w="693"/>
        <w:gridCol w:w="1716"/>
      </w:tblGrid>
      <w:tr>
        <w:trPr>
          <w:cantSplit/>
          <w:trHeight w:val="46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响应人名称</w:t>
            </w:r>
          </w:p>
        </w:tc>
        <w:tc>
          <w:tcPr>
            <w:tcW w:w="7501" w:type="dxa"/>
            <w:gridSpan w:val="10"/>
            <w:vAlign w:val="center"/>
          </w:tcPr>
          <w:p>
            <w:pPr>
              <w:autoSpaceDE w:val="0"/>
              <w:autoSpaceDN w:val="0"/>
              <w:adjustRightInd w:val="0"/>
              <w:spacing w:before="240" w:line="480" w:lineRule="auto"/>
              <w:rPr>
                <w:rFonts w:ascii="宋体" w:hAnsi="宋体"/>
                <w:kern w:val="0"/>
                <w:szCs w:val="21"/>
              </w:rPr>
            </w:pPr>
          </w:p>
        </w:tc>
      </w:tr>
      <w:tr>
        <w:trPr>
          <w:cantSplit/>
          <w:trHeight w:val="46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注册地址</w:t>
            </w:r>
          </w:p>
        </w:tc>
        <w:tc>
          <w:tcPr>
            <w:tcW w:w="3681" w:type="dxa"/>
            <w:gridSpan w:val="6"/>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141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邮政编码</w:t>
            </w:r>
          </w:p>
        </w:tc>
        <w:tc>
          <w:tcPr>
            <w:tcW w:w="2409"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r>
      <w:tr>
        <w:trPr>
          <w:cantSplit/>
          <w:trHeight w:val="442"/>
        </w:trPr>
        <w:tc>
          <w:tcPr>
            <w:tcW w:w="1615" w:type="dxa"/>
            <w:vMerge w:val="restart"/>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联系方式</w:t>
            </w:r>
          </w:p>
        </w:tc>
        <w:tc>
          <w:tcPr>
            <w:tcW w:w="1032"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联系人</w:t>
            </w:r>
          </w:p>
        </w:tc>
        <w:tc>
          <w:tcPr>
            <w:tcW w:w="264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142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电话</w:t>
            </w:r>
          </w:p>
        </w:tc>
        <w:tc>
          <w:tcPr>
            <w:tcW w:w="2409"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r>
      <w:tr>
        <w:trPr>
          <w:cantSplit/>
          <w:trHeight w:val="148"/>
        </w:trPr>
        <w:tc>
          <w:tcPr>
            <w:tcW w:w="1615" w:type="dxa"/>
            <w:vMerge/>
            <w:vAlign w:val="center"/>
          </w:tcPr>
          <w:p/>
        </w:tc>
        <w:tc>
          <w:tcPr>
            <w:tcW w:w="1032"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传真</w:t>
            </w:r>
          </w:p>
        </w:tc>
        <w:tc>
          <w:tcPr>
            <w:tcW w:w="264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142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网址</w:t>
            </w:r>
          </w:p>
        </w:tc>
        <w:tc>
          <w:tcPr>
            <w:tcW w:w="2409"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r>
      <w:tr>
        <w:trPr>
          <w:trHeight w:val="46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法定代表人</w:t>
            </w:r>
          </w:p>
        </w:tc>
        <w:tc>
          <w:tcPr>
            <w:tcW w:w="861" w:type="dxa"/>
            <w:tcBorders>
              <w:left w:val="single" w:sz="6" w:space="0" w:color="auto"/>
            </w:tcBorders>
            <w:vAlign w:val="center"/>
          </w:tcPr>
          <w:p>
            <w:pPr>
              <w:autoSpaceDE w:val="0"/>
              <w:autoSpaceDN w:val="0"/>
              <w:adjustRightInd w:val="0"/>
              <w:spacing w:before="240" w:line="480" w:lineRule="auto"/>
              <w:jc w:val="center"/>
              <w:rPr>
                <w:rFonts w:ascii="宋体" w:hAnsi="宋体"/>
                <w:kern w:val="0"/>
                <w:szCs w:val="21"/>
              </w:rPr>
            </w:pPr>
            <w:r>
              <w:rPr>
                <w:rFonts w:ascii="宋体" w:hAnsi="宋体" w:hint="eastAsia"/>
                <w:kern w:val="0"/>
                <w:szCs w:val="21"/>
              </w:rPr>
              <w:t>姓名</w:t>
            </w:r>
          </w:p>
        </w:tc>
        <w:tc>
          <w:tcPr>
            <w:tcW w:w="1639"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1172"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技术职称</w:t>
            </w:r>
          </w:p>
        </w:tc>
        <w:tc>
          <w:tcPr>
            <w:tcW w:w="142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693" w:type="dxa"/>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电话</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trHeight w:val="44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技术负责人</w:t>
            </w:r>
          </w:p>
        </w:tc>
        <w:tc>
          <w:tcPr>
            <w:tcW w:w="861" w:type="dxa"/>
            <w:tcBorders>
              <w:left w:val="single" w:sz="6" w:space="0" w:color="auto"/>
            </w:tcBorders>
            <w:vAlign w:val="center"/>
          </w:tcPr>
          <w:p>
            <w:pPr>
              <w:autoSpaceDE w:val="0"/>
              <w:autoSpaceDN w:val="0"/>
              <w:adjustRightInd w:val="0"/>
              <w:spacing w:before="240" w:line="480" w:lineRule="auto"/>
              <w:jc w:val="center"/>
              <w:rPr>
                <w:rFonts w:ascii="宋体" w:hAnsi="宋体"/>
                <w:kern w:val="0"/>
                <w:szCs w:val="21"/>
              </w:rPr>
            </w:pPr>
            <w:r>
              <w:rPr>
                <w:rFonts w:ascii="宋体" w:hAnsi="宋体" w:hint="eastAsia"/>
                <w:kern w:val="0"/>
                <w:szCs w:val="21"/>
              </w:rPr>
              <w:t>姓名</w:t>
            </w:r>
          </w:p>
        </w:tc>
        <w:tc>
          <w:tcPr>
            <w:tcW w:w="1639"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1172"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技术职称</w:t>
            </w:r>
          </w:p>
        </w:tc>
        <w:tc>
          <w:tcPr>
            <w:tcW w:w="1420" w:type="dxa"/>
            <w:gridSpan w:val="3"/>
            <w:tcBorders>
              <w:left w:val="single" w:sz="6" w:space="0" w:color="auto"/>
            </w:tcBorders>
            <w:vAlign w:val="center"/>
          </w:tcPr>
          <w:p>
            <w:pPr>
              <w:autoSpaceDE w:val="0"/>
              <w:autoSpaceDN w:val="0"/>
              <w:adjustRightInd w:val="0"/>
              <w:spacing w:before="240" w:line="480" w:lineRule="auto"/>
              <w:rPr>
                <w:rFonts w:ascii="宋体" w:hAnsi="宋体"/>
                <w:kern w:val="0"/>
                <w:szCs w:val="21"/>
              </w:rPr>
            </w:pPr>
          </w:p>
        </w:tc>
        <w:tc>
          <w:tcPr>
            <w:tcW w:w="693" w:type="dxa"/>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电话</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44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成立时间</w:t>
            </w:r>
          </w:p>
        </w:tc>
        <w:tc>
          <w:tcPr>
            <w:tcW w:w="3233" w:type="dxa"/>
            <w:gridSpan w:val="4"/>
            <w:tcBorders>
              <w:right w:val="single" w:sz="4" w:space="0" w:color="auto"/>
            </w:tcBorders>
            <w:vAlign w:val="center"/>
          </w:tcPr>
          <w:p>
            <w:pPr>
              <w:autoSpaceDE w:val="0"/>
              <w:autoSpaceDN w:val="0"/>
              <w:adjustRightInd w:val="0"/>
              <w:spacing w:before="240" w:line="480" w:lineRule="auto"/>
              <w:ind w:firstLineChars="700" w:firstLine="1470"/>
              <w:jc w:val="left"/>
              <w:rPr>
                <w:rFonts w:ascii="宋体" w:hAnsi="宋体"/>
                <w:kern w:val="0"/>
                <w:szCs w:val="21"/>
              </w:rPr>
            </w:pPr>
          </w:p>
        </w:tc>
        <w:tc>
          <w:tcPr>
            <w:tcW w:w="4268" w:type="dxa"/>
            <w:gridSpan w:val="6"/>
            <w:tcBorders>
              <w:left w:val="single" w:sz="4"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员工总人数：</w:t>
            </w:r>
          </w:p>
        </w:tc>
      </w:tr>
      <w:tr>
        <w:trPr>
          <w:cantSplit/>
          <w:trHeight w:val="46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企业资质等级</w:t>
            </w:r>
          </w:p>
        </w:tc>
        <w:tc>
          <w:tcPr>
            <w:tcW w:w="3233" w:type="dxa"/>
            <w:gridSpan w:val="4"/>
            <w:tcBorders>
              <w:right w:val="single" w:sz="4" w:space="0" w:color="auto"/>
            </w:tcBorders>
            <w:vAlign w:val="center"/>
          </w:tcPr>
          <w:p>
            <w:pPr>
              <w:autoSpaceDE w:val="0"/>
              <w:autoSpaceDN w:val="0"/>
              <w:adjustRightInd w:val="0"/>
              <w:spacing w:before="240" w:line="480" w:lineRule="auto"/>
              <w:rPr>
                <w:rFonts w:ascii="宋体" w:hAnsi="宋体"/>
                <w:kern w:val="0"/>
                <w:szCs w:val="21"/>
              </w:rPr>
            </w:pPr>
          </w:p>
        </w:tc>
        <w:tc>
          <w:tcPr>
            <w:tcW w:w="911" w:type="dxa"/>
            <w:gridSpan w:val="3"/>
            <w:vMerge w:val="restart"/>
            <w:tcBorders>
              <w:left w:val="single" w:sz="4" w:space="0" w:color="auto"/>
            </w:tcBorders>
            <w:vAlign w:val="center"/>
          </w:tcPr>
          <w:p>
            <w:pPr>
              <w:autoSpaceDE w:val="0"/>
              <w:autoSpaceDN w:val="0"/>
              <w:adjustRightInd w:val="0"/>
              <w:spacing w:before="240" w:line="480" w:lineRule="auto"/>
              <w:jc w:val="center"/>
              <w:rPr>
                <w:rFonts w:ascii="宋体" w:hAnsi="宋体"/>
                <w:kern w:val="0"/>
                <w:szCs w:val="21"/>
              </w:rPr>
            </w:pPr>
            <w:r>
              <w:rPr>
                <w:rFonts w:ascii="宋体" w:hAnsi="宋体" w:hint="eastAsia"/>
                <w:kern w:val="0"/>
                <w:szCs w:val="21"/>
              </w:rPr>
              <w:t>其中</w:t>
            </w:r>
          </w:p>
        </w:tc>
        <w:tc>
          <w:tcPr>
            <w:tcW w:w="164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项目经理</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44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bCs/>
                <w:kern w:val="0"/>
                <w:szCs w:val="21"/>
              </w:rPr>
              <w:t>执业许可证</w:t>
            </w:r>
          </w:p>
        </w:tc>
        <w:tc>
          <w:tcPr>
            <w:tcW w:w="3233" w:type="dxa"/>
            <w:gridSpan w:val="4"/>
            <w:tcBorders>
              <w:right w:val="single" w:sz="4" w:space="0" w:color="auto"/>
            </w:tcBorders>
            <w:vAlign w:val="center"/>
          </w:tcPr>
          <w:p>
            <w:pPr>
              <w:autoSpaceDE w:val="0"/>
              <w:autoSpaceDN w:val="0"/>
              <w:adjustRightInd w:val="0"/>
              <w:spacing w:before="240" w:line="480" w:lineRule="auto"/>
              <w:rPr>
                <w:rFonts w:ascii="宋体" w:hAnsi="宋体"/>
                <w:kern w:val="0"/>
                <w:szCs w:val="21"/>
              </w:rPr>
            </w:pPr>
          </w:p>
        </w:tc>
        <w:tc>
          <w:tcPr>
            <w:tcW w:w="911" w:type="dxa"/>
            <w:gridSpan w:val="3"/>
            <w:vMerge/>
            <w:tcBorders>
              <w:left w:val="single" w:sz="4" w:space="0" w:color="auto"/>
            </w:tcBorders>
            <w:vAlign w:val="center"/>
          </w:tcPr>
          <w:p/>
        </w:tc>
        <w:tc>
          <w:tcPr>
            <w:tcW w:w="164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高级职称人员</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44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注册资金</w:t>
            </w:r>
          </w:p>
        </w:tc>
        <w:tc>
          <w:tcPr>
            <w:tcW w:w="3233" w:type="dxa"/>
            <w:gridSpan w:val="4"/>
            <w:tcBorders>
              <w:right w:val="single" w:sz="4" w:space="0" w:color="auto"/>
            </w:tcBorders>
            <w:vAlign w:val="center"/>
          </w:tcPr>
          <w:p>
            <w:pPr>
              <w:autoSpaceDE w:val="0"/>
              <w:autoSpaceDN w:val="0"/>
              <w:adjustRightInd w:val="0"/>
              <w:spacing w:before="240" w:line="480" w:lineRule="auto"/>
              <w:rPr>
                <w:rFonts w:ascii="宋体" w:hAnsi="宋体"/>
                <w:kern w:val="0"/>
                <w:szCs w:val="21"/>
              </w:rPr>
            </w:pPr>
          </w:p>
        </w:tc>
        <w:tc>
          <w:tcPr>
            <w:tcW w:w="911" w:type="dxa"/>
            <w:gridSpan w:val="3"/>
            <w:vMerge/>
            <w:tcBorders>
              <w:left w:val="single" w:sz="4" w:space="0" w:color="auto"/>
            </w:tcBorders>
            <w:vAlign w:val="center"/>
          </w:tcPr>
          <w:p/>
        </w:tc>
        <w:tc>
          <w:tcPr>
            <w:tcW w:w="164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中级职称人员</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46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开户银行</w:t>
            </w:r>
          </w:p>
        </w:tc>
        <w:tc>
          <w:tcPr>
            <w:tcW w:w="3233" w:type="dxa"/>
            <w:gridSpan w:val="4"/>
            <w:tcBorders>
              <w:right w:val="single" w:sz="4" w:space="0" w:color="auto"/>
            </w:tcBorders>
            <w:vAlign w:val="center"/>
          </w:tcPr>
          <w:p>
            <w:pPr>
              <w:autoSpaceDE w:val="0"/>
              <w:autoSpaceDN w:val="0"/>
              <w:adjustRightInd w:val="0"/>
              <w:spacing w:before="240" w:line="480" w:lineRule="auto"/>
              <w:rPr>
                <w:rFonts w:ascii="宋体" w:hAnsi="宋体"/>
                <w:kern w:val="0"/>
                <w:szCs w:val="21"/>
              </w:rPr>
            </w:pPr>
          </w:p>
        </w:tc>
        <w:tc>
          <w:tcPr>
            <w:tcW w:w="911" w:type="dxa"/>
            <w:gridSpan w:val="3"/>
            <w:vMerge/>
            <w:tcBorders>
              <w:left w:val="single" w:sz="4" w:space="0" w:color="auto"/>
            </w:tcBorders>
            <w:vAlign w:val="center"/>
          </w:tcPr>
          <w:p/>
        </w:tc>
        <w:tc>
          <w:tcPr>
            <w:tcW w:w="164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初级职称人员</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442"/>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账号</w:t>
            </w:r>
          </w:p>
        </w:tc>
        <w:tc>
          <w:tcPr>
            <w:tcW w:w="3233" w:type="dxa"/>
            <w:gridSpan w:val="4"/>
            <w:tcBorders>
              <w:right w:val="single" w:sz="4" w:space="0" w:color="auto"/>
            </w:tcBorders>
            <w:vAlign w:val="center"/>
          </w:tcPr>
          <w:p>
            <w:pPr>
              <w:autoSpaceDE w:val="0"/>
              <w:autoSpaceDN w:val="0"/>
              <w:adjustRightInd w:val="0"/>
              <w:spacing w:before="240" w:line="480" w:lineRule="auto"/>
              <w:rPr>
                <w:rFonts w:ascii="宋体" w:hAnsi="宋体"/>
                <w:kern w:val="0"/>
                <w:szCs w:val="21"/>
              </w:rPr>
            </w:pPr>
          </w:p>
        </w:tc>
        <w:tc>
          <w:tcPr>
            <w:tcW w:w="911" w:type="dxa"/>
            <w:gridSpan w:val="3"/>
            <w:vMerge/>
            <w:tcBorders>
              <w:left w:val="single" w:sz="4" w:space="0" w:color="auto"/>
            </w:tcBorders>
            <w:vAlign w:val="center"/>
          </w:tcPr>
          <w:p/>
        </w:tc>
        <w:tc>
          <w:tcPr>
            <w:tcW w:w="1641" w:type="dxa"/>
            <w:gridSpan w:val="2"/>
            <w:tcBorders>
              <w:left w:val="single" w:sz="6" w:space="0" w:color="auto"/>
            </w:tcBorders>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普通职工</w:t>
            </w:r>
          </w:p>
        </w:tc>
        <w:tc>
          <w:tcPr>
            <w:tcW w:w="1716" w:type="dxa"/>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654"/>
        </w:trPr>
        <w:tc>
          <w:tcPr>
            <w:tcW w:w="1615" w:type="dxa"/>
            <w:vAlign w:val="center"/>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经营范围</w:t>
            </w:r>
          </w:p>
        </w:tc>
        <w:tc>
          <w:tcPr>
            <w:tcW w:w="7501" w:type="dxa"/>
            <w:gridSpan w:val="10"/>
            <w:tcBorders>
              <w:left w:val="single" w:sz="6" w:space="0" w:color="auto"/>
            </w:tcBorders>
            <w:vAlign w:val="center"/>
          </w:tcPr>
          <w:p>
            <w:pPr>
              <w:autoSpaceDE w:val="0"/>
              <w:autoSpaceDN w:val="0"/>
              <w:adjustRightInd w:val="0"/>
              <w:spacing w:before="240" w:line="480" w:lineRule="auto"/>
              <w:rPr>
                <w:rFonts w:ascii="宋体" w:hAnsi="宋体"/>
                <w:b/>
                <w:bCs/>
                <w:kern w:val="0"/>
                <w:szCs w:val="21"/>
              </w:rPr>
            </w:pPr>
          </w:p>
        </w:tc>
      </w:tr>
      <w:tr>
        <w:trPr>
          <w:cantSplit/>
          <w:trHeight w:val="638"/>
        </w:trPr>
        <w:tc>
          <w:tcPr>
            <w:tcW w:w="1615" w:type="dxa"/>
          </w:tcPr>
          <w:p>
            <w:pPr>
              <w:autoSpaceDE w:val="0"/>
              <w:autoSpaceDN w:val="0"/>
              <w:adjustRightInd w:val="0"/>
              <w:spacing w:before="240" w:line="480" w:lineRule="auto"/>
              <w:rPr>
                <w:rFonts w:ascii="宋体" w:hAnsi="宋体"/>
                <w:kern w:val="0"/>
                <w:szCs w:val="21"/>
              </w:rPr>
            </w:pPr>
            <w:r>
              <w:rPr>
                <w:rFonts w:ascii="宋体" w:hAnsi="宋体" w:hint="eastAsia"/>
                <w:kern w:val="0"/>
                <w:szCs w:val="21"/>
              </w:rPr>
              <w:t>备注</w:t>
            </w:r>
          </w:p>
        </w:tc>
        <w:tc>
          <w:tcPr>
            <w:tcW w:w="7501" w:type="dxa"/>
            <w:gridSpan w:val="10"/>
            <w:tcBorders>
              <w:left w:val="single" w:sz="6" w:space="0" w:color="auto"/>
            </w:tcBorders>
          </w:tcPr>
          <w:p>
            <w:pPr>
              <w:autoSpaceDE w:val="0"/>
              <w:autoSpaceDN w:val="0"/>
              <w:adjustRightInd w:val="0"/>
              <w:spacing w:before="240" w:line="480" w:lineRule="auto"/>
              <w:rPr>
                <w:rFonts w:ascii="宋体" w:hAnsi="宋体"/>
                <w:kern w:val="0"/>
                <w:szCs w:val="21"/>
              </w:rPr>
            </w:pPr>
          </w:p>
        </w:tc>
      </w:tr>
    </w:tbl>
    <w:p>
      <w:pPr>
        <w:widowControl/>
        <w:jc w:val="left"/>
        <w:rPr>
          <w:rFonts w:ascii="华文细黑" w:eastAsia="华文细黑" w:cs="宋体" w:hAnsi="华文细黑"/>
          <w:b/>
          <w:bCs/>
          <w:sz w:val="32"/>
          <w:szCs w:val="32"/>
        </w:rPr>
      </w:pPr>
      <w:bookmarkStart w:id="115" w:name="_Toc17411"/>
      <w:r>
        <w:rPr>
          <w:rFonts w:ascii="华文细黑" w:eastAsia="华文细黑" w:cs="宋体" w:hAnsi="华文细黑"/>
        </w:rPr>
        <w:br w:type="page"/>
      </w:r>
    </w:p>
    <w:p>
      <w:pPr>
        <w:pStyle w:val="2"/>
        <w:rPr>
          <w:rFonts w:ascii="华文细黑" w:eastAsia="华文细黑" w:cs="宋体" w:hAnsi="华文细黑"/>
        </w:rPr>
      </w:pPr>
      <w:bookmarkStart w:id="116" w:name="_Toc67843821"/>
      <w:r>
        <w:rPr>
          <w:rFonts w:ascii="华文细黑" w:eastAsia="华文细黑" w:cs="宋体" w:hAnsi="华文细黑"/>
        </w:rPr>
        <w:t>5</w:t>
      </w:r>
      <w:r>
        <w:rPr>
          <w:rFonts w:ascii="华文细黑" w:eastAsia="华文细黑" w:cs="宋体" w:hAnsi="华文细黑" w:hint="eastAsia"/>
        </w:rPr>
        <w:t>、</w:t>
      </w:r>
      <w:r>
        <w:rPr>
          <w:rFonts w:hint="eastAsia"/>
        </w:rPr>
        <w:t>信用查询</w:t>
      </w:r>
      <w:bookmarkEnd w:id="116"/>
    </w:p>
    <w:p>
      <w:pPr>
        <w:ind w:firstLineChars="200" w:firstLine="420"/>
        <w:rPr>
          <w:rFonts w:ascii="宋体" w:hAnsi="宋体"/>
        </w:rPr>
      </w:pPr>
    </w:p>
    <w:p>
      <w:pPr>
        <w:spacing w:line="480" w:lineRule="auto"/>
        <w:ind w:firstLineChars="200" w:firstLine="420"/>
        <w:rPr>
          <w:rFonts w:ascii="宋体" w:hAnsi="宋体"/>
        </w:rPr>
      </w:pPr>
      <w:r>
        <w:rPr>
          <w:szCs w:val="21"/>
        </w:rPr>
        <w:t>在“信用中国”网站（www.creditchina.gov.cn）、中国政府采购网（www.ccgp.gov.cn）没有列入失信被执行人、重大税收违法案件当事人名单、政府采购严重违法失信行为记录名单的</w:t>
      </w:r>
      <w:r>
        <w:rPr>
          <w:rFonts w:hint="eastAsia"/>
          <w:szCs w:val="21"/>
        </w:rPr>
        <w:t>供应商</w:t>
      </w:r>
      <w:r>
        <w:rPr>
          <w:szCs w:val="21"/>
        </w:rPr>
        <w:t>。</w:t>
      </w:r>
      <w:r>
        <w:rPr>
          <w:rFonts w:hint="eastAsia"/>
          <w:szCs w:val="21"/>
        </w:rPr>
        <w:t>（查询日期须为本项目采购公告发布之后日期）。</w:t>
      </w:r>
      <w:r>
        <w:rPr>
          <w:szCs w:val="21"/>
        </w:rPr>
        <w:t>或</w:t>
      </w:r>
      <w:r>
        <w:rPr>
          <w:rFonts w:hint="eastAsia"/>
          <w:szCs w:val="21"/>
        </w:rPr>
        <w:t>提供承诺函（格式自拟，供应商承诺函不实的，将依照有关法律法规追究法律责任）</w:t>
      </w:r>
    </w:p>
    <w:p>
      <w:pPr>
        <w:widowControl/>
        <w:spacing w:line="480" w:lineRule="auto"/>
        <w:jc w:val="left"/>
        <w:rPr>
          <w:rFonts w:ascii="宋体" w:hAnsi="宋体"/>
        </w:rPr>
      </w:pPr>
      <w:r>
        <w:rPr>
          <w:rFonts w:ascii="宋体" w:hAnsi="宋体"/>
        </w:rPr>
        <w:br w:type="page"/>
      </w:r>
    </w:p>
    <w:p>
      <w:pPr>
        <w:ind w:firstLineChars="200" w:firstLine="420"/>
        <w:rPr>
          <w:rFonts w:ascii="宋体" w:hAnsi="宋体"/>
        </w:rPr>
      </w:pPr>
    </w:p>
    <w:p>
      <w:pPr>
        <w:pStyle w:val="2"/>
        <w:rPr>
          <w:szCs w:val="28"/>
        </w:rPr>
      </w:pPr>
      <w:bookmarkStart w:id="117" w:name="_Toc67843822"/>
      <w:r>
        <w:t>6</w:t>
      </w:r>
      <w:r>
        <w:rPr>
          <w:rFonts w:hint="eastAsia"/>
        </w:rPr>
        <w:t>、无重大违法记录的书面声明</w:t>
      </w:r>
      <w:bookmarkEnd w:id="115"/>
      <w:bookmarkEnd w:id="117"/>
    </w:p>
    <w:p>
      <w:pPr>
        <w:spacing w:before="240" w:line="480" w:lineRule="auto"/>
        <w:rPr>
          <w:rFonts w:ascii="宋体" w:hAnsi="宋体"/>
          <w:szCs w:val="21"/>
          <w:u w:val="single"/>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rPr>
        <w:t>（采购人名称）</w:t>
      </w:r>
    </w:p>
    <w:p>
      <w:pPr>
        <w:spacing w:before="240" w:line="480" w:lineRule="auto"/>
        <w:ind w:firstLineChars="200" w:firstLine="420"/>
        <w:rPr>
          <w:rFonts w:ascii="宋体" w:hAnsi="宋体"/>
          <w:szCs w:val="21"/>
        </w:rPr>
      </w:pPr>
      <w:r>
        <w:rPr>
          <w:rFonts w:ascii="宋体" w:hAnsi="宋体" w:hint="eastAsia"/>
          <w:szCs w:val="21"/>
        </w:rPr>
        <w:t>我公司参加本项目采购活动前3年内在经营活动中没有重大违法记录，特此声明。</w:t>
      </w:r>
    </w:p>
    <w:p>
      <w:pPr>
        <w:spacing w:before="240" w:line="480" w:lineRule="auto"/>
        <w:ind w:firstLineChars="200" w:firstLine="420"/>
        <w:rPr>
          <w:rFonts w:ascii="宋体" w:hAnsi="宋体"/>
          <w:szCs w:val="21"/>
        </w:rPr>
      </w:pPr>
      <w:r>
        <w:rPr>
          <w:rFonts w:ascii="宋体" w:hAnsi="宋体" w:hint="eastAsia"/>
          <w:szCs w:val="21"/>
        </w:rPr>
        <w:t>若在采购过程中发现我公司近3年内在经营活动中有重大违法记录的，我公司将承担因此引起的一切后果。</w:t>
      </w:r>
    </w:p>
    <w:p>
      <w:pPr>
        <w:adjustRightInd w:val="0"/>
        <w:spacing w:before="240" w:line="480" w:lineRule="auto"/>
        <w:ind w:firstLineChars="1000" w:firstLine="2100"/>
        <w:rPr>
          <w:rFonts w:ascii="宋体" w:hAnsi="宋体"/>
          <w:bCs/>
          <w:szCs w:val="21"/>
        </w:rPr>
      </w:pPr>
      <w:r>
        <w:rPr>
          <w:rFonts w:ascii="宋体" w:hAnsi="宋体" w:hint="eastAsia"/>
          <w:szCs w:val="21"/>
        </w:rPr>
        <w:t>响应人名称（公章）：</w:t>
      </w:r>
    </w:p>
    <w:p>
      <w:pPr>
        <w:adjustRightInd w:val="0"/>
        <w:spacing w:before="240" w:line="480" w:lineRule="auto"/>
        <w:rPr>
          <w:rFonts w:ascii="宋体" w:hAnsi="宋体"/>
          <w:bCs/>
          <w:szCs w:val="21"/>
        </w:rPr>
      </w:pPr>
      <w:r>
        <w:rPr>
          <w:rFonts w:ascii="宋体" w:hAnsi="宋体" w:hint="eastAsia"/>
          <w:szCs w:val="21"/>
        </w:rPr>
        <w:t xml:space="preserve">                   法定代表人或其委托代理人</w:t>
      </w:r>
      <w:r>
        <w:rPr>
          <w:rFonts w:ascii="宋体" w:hAnsi="宋体" w:hint="eastAsia"/>
          <w:bCs/>
          <w:szCs w:val="21"/>
          <w:u w:val="single"/>
        </w:rPr>
        <w:t xml:space="preserve">：                 </w:t>
      </w:r>
      <w:r>
        <w:rPr>
          <w:rFonts w:hint="eastAsia"/>
          <w:iCs/>
          <w:szCs w:val="21"/>
        </w:rPr>
        <w:t>（签字或盖章）</w:t>
      </w:r>
    </w:p>
    <w:p>
      <w:pPr>
        <w:rPr>
          <w:rFonts w:ascii="宋体" w:hAnsi="宋体"/>
          <w:bCs/>
          <w:szCs w:val="21"/>
        </w:rPr>
      </w:pPr>
      <w:r>
        <w:rPr>
          <w:rFonts w:ascii="宋体" w:hAnsi="宋体" w:hint="eastAsia"/>
          <w:bCs/>
          <w:szCs w:val="21"/>
        </w:rPr>
        <w:t xml:space="preserve">                                    日期：   年   月   日</w:t>
      </w:r>
      <w:r>
        <w:rPr>
          <w:rFonts w:ascii="宋体" w:hAnsi="宋体"/>
          <w:bCs/>
          <w:szCs w:val="21"/>
        </w:rPr>
        <w:br w:type="page"/>
      </w:r>
    </w:p>
    <w:p>
      <w:pPr>
        <w:rPr>
          <w:rFonts w:ascii="宋体" w:hAnsi="宋体"/>
          <w:bCs/>
          <w:szCs w:val="21"/>
        </w:rPr>
      </w:pPr>
    </w:p>
    <w:p>
      <w:pPr>
        <w:pStyle w:val="2"/>
        <w:rPr>
          <w:szCs w:val="28"/>
        </w:rPr>
      </w:pPr>
      <w:bookmarkStart w:id="118" w:name="_Toc67843823"/>
      <w:r>
        <w:t>7</w:t>
      </w:r>
      <w:r>
        <w:rPr>
          <w:rFonts w:hint="eastAsia"/>
        </w:rPr>
        <w:t>、</w:t>
      </w:r>
      <w:r>
        <w:rPr>
          <w:rFonts w:ascii="宋体" w:hAnsi="宋体" w:hint="eastAsia"/>
          <w:szCs w:val="21"/>
        </w:rPr>
        <w:t>无环保类行政处罚记录</w:t>
      </w:r>
      <w:r>
        <w:rPr>
          <w:rFonts w:hint="eastAsia"/>
        </w:rPr>
        <w:t>的书面声明</w:t>
      </w:r>
      <w:bookmarkEnd w:id="118"/>
    </w:p>
    <w:p>
      <w:pPr>
        <w:spacing w:before="240" w:line="480" w:lineRule="auto"/>
        <w:rPr>
          <w:rFonts w:ascii="宋体" w:hAnsi="宋体"/>
          <w:szCs w:val="21"/>
          <w:u w:val="single"/>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rPr>
        <w:t>（采购人名称）</w:t>
      </w:r>
    </w:p>
    <w:p>
      <w:pPr>
        <w:spacing w:before="240" w:line="480" w:lineRule="auto"/>
        <w:ind w:firstLineChars="200" w:firstLine="420"/>
        <w:rPr>
          <w:rFonts w:ascii="宋体" w:hAnsi="宋体"/>
          <w:szCs w:val="21"/>
        </w:rPr>
      </w:pPr>
      <w:r>
        <w:rPr>
          <w:rFonts w:ascii="宋体" w:hAnsi="宋体" w:hint="eastAsia"/>
          <w:szCs w:val="21"/>
        </w:rPr>
        <w:t>我公司参加政府采购活动前三年内，在经营活动中无环保类行政处罚记录，特此声明。</w:t>
      </w:r>
    </w:p>
    <w:p>
      <w:pPr>
        <w:spacing w:before="240" w:line="480" w:lineRule="auto"/>
        <w:ind w:firstLineChars="200" w:firstLine="420"/>
        <w:rPr>
          <w:rFonts w:ascii="宋体" w:hAnsi="宋体"/>
          <w:szCs w:val="21"/>
        </w:rPr>
      </w:pPr>
      <w:r>
        <w:rPr>
          <w:rFonts w:ascii="宋体" w:hAnsi="宋体" w:hint="eastAsia"/>
          <w:szCs w:val="21"/>
        </w:rPr>
        <w:t>若在采购过程中发现我公司近3年内在经营活动中有环保类行政处罚记录的，我公司将承担因此引起的一切后果。</w:t>
      </w:r>
    </w:p>
    <w:p>
      <w:pPr>
        <w:adjustRightInd w:val="0"/>
        <w:spacing w:before="240" w:line="480" w:lineRule="auto"/>
        <w:ind w:firstLineChars="1000" w:firstLine="2100"/>
        <w:rPr>
          <w:rFonts w:ascii="宋体" w:hAnsi="宋体"/>
          <w:bCs/>
          <w:szCs w:val="21"/>
        </w:rPr>
      </w:pPr>
      <w:r>
        <w:rPr>
          <w:rFonts w:ascii="宋体" w:hAnsi="宋体" w:hint="eastAsia"/>
          <w:szCs w:val="21"/>
        </w:rPr>
        <w:t>响应人名称（公章）：</w:t>
      </w:r>
    </w:p>
    <w:p>
      <w:pPr>
        <w:adjustRightInd w:val="0"/>
        <w:spacing w:before="240" w:line="480" w:lineRule="auto"/>
        <w:rPr>
          <w:rFonts w:ascii="宋体" w:hAnsi="宋体"/>
          <w:bCs/>
          <w:szCs w:val="21"/>
        </w:rPr>
      </w:pPr>
      <w:r>
        <w:rPr>
          <w:rFonts w:ascii="宋体" w:hAnsi="宋体" w:hint="eastAsia"/>
          <w:szCs w:val="21"/>
        </w:rPr>
        <w:t xml:space="preserve">                   法定代表人或其委托代理人</w:t>
      </w:r>
      <w:r>
        <w:rPr>
          <w:rFonts w:ascii="宋体" w:hAnsi="宋体" w:hint="eastAsia"/>
          <w:bCs/>
          <w:szCs w:val="21"/>
          <w:u w:val="single"/>
        </w:rPr>
        <w:t xml:space="preserve">：                 </w:t>
      </w:r>
      <w:r>
        <w:rPr>
          <w:rFonts w:hint="eastAsia"/>
          <w:iCs/>
          <w:szCs w:val="21"/>
        </w:rPr>
        <w:t>（签字或盖章）</w:t>
      </w:r>
    </w:p>
    <w:p>
      <w:pPr>
        <w:adjustRightInd w:val="0"/>
        <w:spacing w:before="240" w:line="480" w:lineRule="auto"/>
        <w:rPr>
          <w:rFonts w:ascii="宋体" w:hAnsi="宋体"/>
          <w:bCs/>
          <w:szCs w:val="21"/>
        </w:rPr>
      </w:pPr>
      <w:r>
        <w:rPr>
          <w:rFonts w:ascii="宋体" w:hAnsi="宋体" w:hint="eastAsia"/>
          <w:bCs/>
          <w:szCs w:val="21"/>
        </w:rPr>
        <w:t xml:space="preserve">                                    日期：   年   月   日</w:t>
      </w:r>
      <w:bookmarkStart w:id="119" w:name="_Toc212102898"/>
      <w:bookmarkStart w:id="120" w:name="_Toc30314"/>
      <w:bookmarkStart w:id="121" w:name="_Toc317237642"/>
    </w:p>
    <w:p>
      <w:pPr>
        <w:pStyle w:val="2"/>
      </w:pPr>
      <w:r>
        <w:rPr>
          <w:rFonts w:ascii="宋体" w:hAnsi="宋体" w:hint="eastAsia"/>
          <w:szCs w:val="21"/>
        </w:rPr>
        <w:br w:type="page"/>
      </w:r>
      <w:bookmarkStart w:id="122" w:name="_Toc67843824"/>
      <w:r>
        <w:t>8</w:t>
      </w:r>
      <w:r>
        <w:rPr>
          <w:rFonts w:hint="eastAsia"/>
        </w:rPr>
        <w:t>、资格承诺函</w:t>
      </w:r>
      <w:bookmarkEnd w:id="122"/>
    </w:p>
    <w:p>
      <w:pPr>
        <w:adjustRightInd w:val="0"/>
        <w:snapToGrid w:val="0"/>
        <w:spacing w:beforeLines="50" w:before="156" w:afterLines="50" w:after="156" w:line="480" w:lineRule="auto"/>
        <w:jc w:val="center"/>
        <w:rPr>
          <w:rFonts w:cs="仿宋_GB2312"/>
          <w:b/>
          <w:bCs/>
          <w:sz w:val="32"/>
          <w:szCs w:val="32"/>
        </w:rPr>
      </w:pPr>
      <w:r>
        <w:rPr>
          <w:rFonts w:cs="仿宋_GB2312" w:hint="eastAsia"/>
          <w:b/>
          <w:bCs/>
          <w:sz w:val="32"/>
          <w:szCs w:val="32"/>
        </w:rPr>
        <w:t>承诺函</w:t>
      </w:r>
    </w:p>
    <w:p>
      <w:pPr>
        <w:adjustRightInd w:val="0"/>
        <w:snapToGrid w:val="0"/>
        <w:spacing w:line="480" w:lineRule="auto"/>
        <w:ind w:firstLineChars="150" w:firstLine="315"/>
        <w:rPr>
          <w:rFonts w:cs="仿宋_GB2312"/>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rPr>
        <w:t>（采购人名称）</w:t>
      </w:r>
      <w:r>
        <w:rPr>
          <w:rFonts w:cs="仿宋_GB2312" w:hint="eastAsia"/>
        </w:rPr>
        <w:t>：</w:t>
      </w:r>
    </w:p>
    <w:p>
      <w:pPr>
        <w:adjustRightInd w:val="0"/>
        <w:snapToGrid w:val="0"/>
        <w:spacing w:line="480" w:lineRule="auto"/>
        <w:ind w:firstLineChars="200" w:firstLine="420"/>
        <w:rPr>
          <w:rFonts w:cs="仿宋_GB2312"/>
        </w:rPr>
      </w:pPr>
      <w:r>
        <w:rPr>
          <w:rFonts w:cs="仿宋_GB2312" w:hint="eastAsia"/>
        </w:rPr>
        <w:t>我公司</w:t>
      </w:r>
      <w:r>
        <w:rPr>
          <w:rFonts w:cs="仿宋_GB2312"/>
        </w:rPr>
        <w:t>(</w:t>
      </w:r>
      <w:r>
        <w:rPr>
          <w:rFonts w:cs="仿宋_GB2312" w:hint="eastAsia"/>
        </w:rPr>
        <w:t>供应商名称</w:t>
      </w:r>
      <w:r>
        <w:rPr>
          <w:rFonts w:cs="仿宋_GB2312"/>
        </w:rPr>
        <w:t>)</w:t>
      </w:r>
      <w:r>
        <w:rPr>
          <w:rFonts w:cs="仿宋_GB2312" w:hint="eastAsia"/>
        </w:rPr>
        <w:t>在参加贵公司组织的</w:t>
      </w:r>
      <w:r>
        <w:rPr>
          <w:rFonts w:cs="仿宋_GB2312"/>
        </w:rPr>
        <w:t>(</w:t>
      </w:r>
      <w:r>
        <w:rPr>
          <w:rFonts w:cs="仿宋_GB2312" w:hint="eastAsia"/>
        </w:rPr>
        <w:t>项目名称</w:t>
      </w:r>
      <w:r>
        <w:rPr>
          <w:rFonts w:ascii="宋体" w:eastAsia="宋体" w:hAnsi="宋体"/>
          <w:bCs/>
          <w:sz w:val="21"/>
          <w:szCs w:val="21"/>
        </w:rPr>
        <w:t xml:space="preserve">   </w:t>
      </w:r>
      <w:r>
        <w:rPr>
          <w:rFonts w:cs="仿宋_GB2312"/>
        </w:rPr>
        <w:t>)(</w:t>
      </w:r>
      <w:r>
        <w:rPr>
          <w:rFonts w:cs="仿宋_GB2312" w:hint="eastAsia"/>
        </w:rPr>
        <w:t>项目编号</w:t>
      </w:r>
      <w:r>
        <w:rPr>
          <w:rFonts w:cs="仿宋_GB2312"/>
        </w:rPr>
        <w:t>)</w:t>
      </w:r>
      <w:r>
        <w:rPr>
          <w:rFonts w:cs="仿宋_GB2312" w:hint="eastAsia"/>
        </w:rPr>
        <w:t>的采购活动中，针对本项目的资格要求，我公司对资格做出如下承诺：</w:t>
      </w:r>
    </w:p>
    <w:p>
      <w:pPr>
        <w:adjustRightInd w:val="0"/>
        <w:snapToGrid w:val="0"/>
        <w:spacing w:line="480" w:lineRule="auto"/>
        <w:ind w:firstLineChars="200" w:firstLine="420"/>
        <w:rPr>
          <w:rFonts w:cs="仿宋_GB2312"/>
        </w:rPr>
      </w:pPr>
      <w:r>
        <w:rPr>
          <w:rFonts w:cs="仿宋_GB2312" w:hint="eastAsia"/>
        </w:rPr>
        <w:t>（1）</w:t>
      </w:r>
      <w:r>
        <w:rPr>
          <w:rFonts w:cs="仿宋_GB2312" w:hint="eastAsia"/>
          <w:u w:val="single"/>
        </w:rPr>
        <w:t>我公司完全</w:t>
      </w:r>
      <w:r>
        <w:rPr>
          <w:rFonts w:cs="仿宋_GB2312"/>
          <w:u w:val="single"/>
        </w:rPr>
        <w:t>满足《中华人民共和国政府采购法》第二十二条</w:t>
      </w:r>
      <w:r>
        <w:rPr>
          <w:rFonts w:cs="仿宋_GB2312" w:hint="eastAsia"/>
          <w:u w:val="single"/>
        </w:rPr>
        <w:t>关于参加政府采购供应商的资格要求</w:t>
      </w:r>
      <w:r>
        <w:rPr>
          <w:rFonts w:cs="仿宋_GB2312"/>
          <w:u w:val="single"/>
        </w:rPr>
        <w:t>规定</w:t>
      </w:r>
      <w:r>
        <w:rPr>
          <w:rFonts w:cs="仿宋_GB2312" w:hint="eastAsia"/>
        </w:rPr>
        <w:t>：</w:t>
      </w:r>
    </w:p>
    <w:p>
      <w:pPr>
        <w:adjustRightInd w:val="0"/>
        <w:snapToGrid w:val="0"/>
        <w:spacing w:line="480" w:lineRule="auto"/>
        <w:ind w:firstLineChars="200" w:firstLine="420"/>
        <w:rPr>
          <w:rFonts w:cs="仿宋_GB2312"/>
        </w:rPr>
      </w:pPr>
      <w:r>
        <w:rPr>
          <w:rFonts w:cs="仿宋_GB2312" w:hint="eastAsia"/>
        </w:rPr>
        <w:t>（2）</w:t>
      </w:r>
      <w:r>
        <w:rPr>
          <w:rFonts w:cs="仿宋_GB2312" w:hint="eastAsia"/>
          <w:u w:val="single"/>
        </w:rPr>
        <w:t>我公司</w:t>
      </w:r>
      <w:r>
        <w:rPr>
          <w:rFonts w:cs="仿宋_GB2312"/>
          <w:u w:val="single"/>
        </w:rPr>
        <w:t>具有良好的商业信誉和健全的财务会计制度</w:t>
      </w:r>
      <w:r>
        <w:rPr>
          <w:rFonts w:cs="仿宋_GB2312"/>
        </w:rPr>
        <w:t>；</w:t>
      </w:r>
    </w:p>
    <w:p>
      <w:pPr>
        <w:adjustRightInd w:val="0"/>
        <w:snapToGrid w:val="0"/>
        <w:spacing w:line="480" w:lineRule="auto"/>
        <w:ind w:firstLineChars="200" w:firstLine="420"/>
        <w:rPr>
          <w:rFonts w:cs="仿宋_GB2312"/>
          <w:color w:val="000000"/>
        </w:rPr>
      </w:pPr>
      <w:r>
        <w:rPr>
          <w:rFonts w:cs="仿宋_GB2312" w:hint="eastAsia"/>
        </w:rPr>
        <w:t>（</w:t>
      </w:r>
      <w:r>
        <w:rPr>
          <w:rFonts w:cs="仿宋_GB2312"/>
        </w:rPr>
        <w:t>3</w:t>
      </w:r>
      <w:r>
        <w:rPr>
          <w:rFonts w:cs="仿宋_GB2312" w:hint="eastAsia"/>
        </w:rPr>
        <w:t>）</w:t>
      </w:r>
      <w:r>
        <w:rPr>
          <w:rFonts w:cs="仿宋_GB2312" w:hint="eastAsia"/>
          <w:u w:val="single"/>
        </w:rPr>
        <w:t>我公司</w:t>
      </w:r>
      <w:r>
        <w:rPr>
          <w:rFonts w:cs="仿宋_GB2312"/>
          <w:u w:val="single"/>
        </w:rPr>
        <w:t>具有依法缴纳税收</w:t>
      </w:r>
      <w:r>
        <w:rPr>
          <w:rFonts w:cs="仿宋_GB2312" w:hint="eastAsia"/>
          <w:u w:val="single"/>
        </w:rPr>
        <w:t>和社会保障资金的良好记录</w:t>
      </w:r>
      <w:r>
        <w:rPr>
          <w:rFonts w:cs="仿宋_GB2312" w:hint="eastAsia"/>
          <w:color w:val="000000"/>
        </w:rPr>
        <w:t>；</w:t>
      </w:r>
    </w:p>
    <w:p>
      <w:pPr>
        <w:adjustRightInd w:val="0"/>
        <w:snapToGrid w:val="0"/>
        <w:spacing w:line="480" w:lineRule="auto"/>
        <w:ind w:firstLineChars="200" w:firstLine="420"/>
        <w:rPr>
          <w:rFonts w:cs="仿宋_GB2312"/>
          <w:color w:val="000000"/>
        </w:rPr>
      </w:pPr>
      <w:r>
        <w:rPr>
          <w:rFonts w:cs="仿宋_GB2312" w:hint="eastAsia"/>
          <w:color w:val="000000"/>
        </w:rPr>
        <w:t>（4）</w:t>
      </w:r>
      <w:r>
        <w:rPr>
          <w:rFonts w:cs="仿宋_GB2312" w:hint="eastAsia"/>
          <w:color w:val="000000"/>
          <w:u w:val="single"/>
        </w:rPr>
        <w:t>我公司</w:t>
      </w:r>
      <w:r>
        <w:rPr>
          <w:rFonts w:cs="仿宋_GB2312"/>
          <w:color w:val="000000"/>
          <w:u w:val="single"/>
        </w:rPr>
        <w:t>具备履行合同所必需的设备和专业技术能力</w:t>
      </w:r>
      <w:r>
        <w:rPr>
          <w:rFonts w:cs="仿宋_GB2312" w:hint="eastAsia"/>
          <w:color w:val="000000"/>
        </w:rPr>
        <w:t>。</w:t>
      </w:r>
    </w:p>
    <w:p>
      <w:pPr>
        <w:adjustRightInd w:val="0"/>
        <w:snapToGrid w:val="0"/>
        <w:spacing w:line="480" w:lineRule="auto"/>
        <w:ind w:firstLineChars="200" w:firstLine="420"/>
        <w:rPr>
          <w:rFonts w:cs="仿宋_GB2312"/>
          <w:u w:val="single"/>
        </w:rPr>
      </w:pPr>
      <w:r>
        <w:rPr>
          <w:rFonts w:cs="仿宋_GB2312" w:hint="eastAsia"/>
        </w:rPr>
        <w:t>（</w:t>
      </w:r>
      <w:r>
        <w:rPr>
          <w:rFonts w:cs="仿宋_GB2312"/>
        </w:rPr>
        <w:t>5</w:t>
      </w:r>
      <w:r>
        <w:rPr>
          <w:rFonts w:cs="仿宋_GB2312" w:hint="eastAsia"/>
        </w:rPr>
        <w:t>）</w:t>
      </w:r>
      <w:r>
        <w:rPr>
          <w:rFonts w:cs="仿宋_GB2312"/>
          <w:u w:val="single"/>
        </w:rPr>
        <w:t>我单位参加本次政府采购活动前3年内在经营活动中没有因违法经营受到刑事处罚或者责令停产停业、吊销许可证或者执照、较大数额罚款等行政处罚的重大违法记录</w:t>
      </w:r>
      <w:r>
        <w:rPr>
          <w:rFonts w:cs="仿宋_GB2312" w:hint="eastAsia"/>
          <w:u w:val="single"/>
        </w:rPr>
        <w:t>。</w:t>
      </w:r>
    </w:p>
    <w:p>
      <w:pPr>
        <w:adjustRightInd w:val="0"/>
        <w:snapToGrid w:val="0"/>
        <w:spacing w:line="480" w:lineRule="auto"/>
        <w:ind w:firstLineChars="200" w:firstLine="420"/>
        <w:rPr>
          <w:rFonts w:ascii="宋体" w:hAnsi="宋体"/>
          <w:szCs w:val="21"/>
          <w:u w:val="single"/>
        </w:rPr>
      </w:pPr>
      <w:r>
        <w:rPr>
          <w:rFonts w:cs="仿宋_GB2312" w:hint="eastAsia"/>
          <w:u w:val="single"/>
        </w:rPr>
        <w:t>（6）</w:t>
      </w:r>
      <w:r>
        <w:rPr>
          <w:rFonts w:ascii="宋体" w:hAnsi="宋体" w:hint="eastAsia"/>
          <w:szCs w:val="21"/>
          <w:u w:val="single"/>
        </w:rPr>
        <w:t>未担任其他在施建设工程项目的项目经理（</w:t>
      </w:r>
      <w:r>
        <w:rPr>
          <w:u w:val="single"/>
        </w:rPr>
        <w:t>项目负责人</w:t>
      </w:r>
      <w:r>
        <w:rPr>
          <w:rFonts w:ascii="宋体" w:hAnsi="宋体" w:hint="eastAsia"/>
          <w:szCs w:val="21"/>
          <w:u w:val="single"/>
        </w:rPr>
        <w:t>）</w:t>
      </w:r>
    </w:p>
    <w:p>
      <w:pPr>
        <w:adjustRightInd w:val="0"/>
        <w:snapToGrid w:val="0"/>
        <w:spacing w:line="480" w:lineRule="auto"/>
        <w:ind w:firstLineChars="200" w:firstLine="420"/>
        <w:rPr>
          <w:rFonts w:cs="仿宋_GB2312"/>
          <w:u w:val="single"/>
        </w:rPr>
      </w:pPr>
      <w:r>
        <w:rPr>
          <w:rFonts w:cs="仿宋_GB2312" w:hint="eastAsia"/>
          <w:u w:val="single"/>
        </w:rPr>
        <w:t>（</w:t>
      </w:r>
      <w:r>
        <w:rPr>
          <w:rFonts w:cs="仿宋_GB2312"/>
          <w:u w:val="single"/>
        </w:rPr>
        <w:t>7</w:t>
      </w:r>
      <w:r>
        <w:rPr>
          <w:rFonts w:cs="仿宋_GB2312" w:hint="eastAsia"/>
          <w:u w:val="single"/>
        </w:rPr>
        <w:t>）我司符合《中华人民共和国政府采购法》第二十二条规定的具有履行合同所必需的设备和专业技术能力。</w:t>
      </w:r>
    </w:p>
    <w:p>
      <w:pPr>
        <w:adjustRightInd w:val="0"/>
        <w:snapToGrid w:val="0"/>
        <w:spacing w:line="480" w:lineRule="auto"/>
        <w:ind w:firstLineChars="200" w:firstLine="420"/>
        <w:rPr>
          <w:rFonts w:cs="仿宋_GB2312"/>
          <w:u w:val="single"/>
        </w:rPr>
      </w:pPr>
      <w:r>
        <w:rPr>
          <w:rFonts w:cs="仿宋_GB2312"/>
          <w:u w:val="single"/>
        </w:rPr>
        <w:t>（8）</w:t>
      </w:r>
      <w:r>
        <w:rPr>
          <w:u w:val="single"/>
        </w:rPr>
        <w:t xml:space="preserve">我公司满足下列供应商的资格要求： 1、单位负责人为同一人或者存在直接控股、管理关系的不同投标人，不得参 加同一合同项下的采购活动。 2、存在隶属关系或同属一母公司或法人的企业，仅能由一家企业参与投标。 同时也满足本项目法律法规规章规定关于投标人的其它资格性条件，未参与本采购 项目前期咨询论证，不属于禁止参加投标的投标人。 如违反以上承诺，本公司愿承担一切法律责任。 </w:t>
      </w:r>
    </w:p>
    <w:p>
      <w:pPr>
        <w:adjustRightInd w:val="0"/>
        <w:snapToGrid w:val="0"/>
        <w:spacing w:line="480" w:lineRule="auto"/>
        <w:ind w:firstLineChars="200" w:firstLine="420"/>
        <w:rPr>
          <w:rFonts w:cs="仿宋_GB2312"/>
        </w:rPr>
      </w:pPr>
      <w:r>
        <w:rPr>
          <w:rFonts w:cs="仿宋_GB2312" w:hint="eastAsia"/>
        </w:rPr>
        <w:t>特此承诺。</w:t>
      </w:r>
    </w:p>
    <w:p>
      <w:pPr>
        <w:spacing w:line="480" w:lineRule="auto"/>
        <w:jc w:val="right"/>
        <w:rPr>
          <w:iCs/>
          <w:szCs w:val="20"/>
        </w:rPr>
      </w:pPr>
      <w:r>
        <w:rPr>
          <w:rFonts w:hint="eastAsia"/>
        </w:rPr>
        <w:t>供应商</w:t>
      </w:r>
      <w:r>
        <w:t>：（填写名称并盖章）</w:t>
      </w:r>
    </w:p>
    <w:p>
      <w:pPr>
        <w:tabs>
          <w:tab w:val="left" w:pos="5310"/>
        </w:tabs>
        <w:spacing w:line="480" w:lineRule="auto"/>
        <w:jc w:val="right"/>
      </w:pPr>
      <w:r>
        <w:t>法定代表人或其授权委托人：</w:t>
      </w:r>
      <w:r>
        <w:rPr>
          <w:iCs/>
          <w:szCs w:val="20"/>
        </w:rPr>
        <w:t>（签字或盖章）</w:t>
      </w:r>
    </w:p>
    <w:p>
      <w:pPr>
        <w:tabs>
          <w:tab w:val="left" w:pos="5310"/>
        </w:tabs>
        <w:spacing w:line="480" w:lineRule="auto"/>
        <w:jc w:val="right"/>
      </w:pPr>
      <w:r>
        <w:t>日期：</w:t>
      </w:r>
      <w:r>
        <w:rPr>
          <w:rFonts w:hint="eastAsia"/>
        </w:rPr>
        <w:t>年   月   日</w:t>
      </w:r>
    </w:p>
    <w:p>
      <w:pPr>
        <w:pStyle w:val="2"/>
        <w:rPr>
          <w:szCs w:val="28"/>
        </w:rPr>
      </w:pPr>
      <w:bookmarkStart w:id="123" w:name="_Toc67843825"/>
      <w:r>
        <w:t>9</w:t>
      </w:r>
      <w:r>
        <w:rPr>
          <w:rFonts w:hint="eastAsia"/>
        </w:rPr>
        <w:t>、反商业贿赂承诺书</w:t>
      </w:r>
      <w:bookmarkEnd w:id="119"/>
      <w:bookmarkEnd w:id="120"/>
      <w:bookmarkEnd w:id="121"/>
      <w:bookmarkEnd w:id="123"/>
    </w:p>
    <w:p>
      <w:pPr>
        <w:spacing w:before="240" w:line="480" w:lineRule="auto"/>
        <w:jc w:val="left"/>
        <w:rPr>
          <w:rFonts w:ascii="宋体" w:hAnsi="宋体"/>
          <w:b/>
          <w:szCs w:val="21"/>
        </w:rPr>
      </w:pPr>
      <w:r>
        <w:rPr>
          <w:rFonts w:ascii="宋体" w:hAnsi="宋体" w:hint="eastAsia"/>
          <w:b/>
          <w:szCs w:val="21"/>
        </w:rPr>
        <w:t>我公司郑重承诺：</w:t>
      </w:r>
    </w:p>
    <w:p>
      <w:pPr>
        <w:spacing w:before="240" w:line="480" w:lineRule="auto"/>
        <w:ind w:firstLine="480"/>
        <w:rPr>
          <w:rFonts w:ascii="宋体" w:hAnsi="宋体"/>
          <w:szCs w:val="21"/>
        </w:rPr>
      </w:pPr>
      <w:r>
        <w:rPr>
          <w:rFonts w:ascii="宋体" w:hAnsi="宋体" w:hint="eastAsia"/>
          <w:szCs w:val="21"/>
        </w:rPr>
        <w:t>在</w:t>
      </w:r>
      <w:r>
        <w:rPr>
          <w:rFonts w:ascii="宋体" w:hAnsi="宋体" w:hint="eastAsia"/>
          <w:iCs/>
          <w:szCs w:val="21"/>
          <w:u w:val="single"/>
        </w:rPr>
        <w:t xml:space="preserve">      项目</w:t>
      </w:r>
      <w:r>
        <w:rPr>
          <w:rFonts w:ascii="宋体" w:eastAsia="宋体" w:hAnsi="宋体"/>
          <w:bCs/>
          <w:sz w:val="21"/>
          <w:szCs w:val="21"/>
          <w:u w:val="single"/>
        </w:rPr>
        <w:t xml:space="preserve">    </w:t>
      </w:r>
      <w:r>
        <w:rPr>
          <w:rFonts w:ascii="宋体" w:hAnsi="宋体" w:hint="eastAsia"/>
          <w:iCs/>
          <w:szCs w:val="21"/>
          <w:u w:val="single"/>
        </w:rPr>
        <w:t>（项目编号            ）</w:t>
      </w:r>
      <w:r>
        <w:rPr>
          <w:rFonts w:ascii="宋体" w:hAnsi="宋体" w:hint="eastAsia"/>
          <w:szCs w:val="21"/>
        </w:rPr>
        <w:t>磋商活动中，我公司保证做到：</w:t>
      </w:r>
    </w:p>
    <w:p>
      <w:pPr>
        <w:spacing w:before="240" w:line="480" w:lineRule="auto"/>
        <w:ind w:firstLine="480"/>
        <w:rPr>
          <w:rFonts w:ascii="宋体" w:hAnsi="宋体"/>
          <w:szCs w:val="21"/>
        </w:rPr>
      </w:pPr>
      <w:r>
        <w:rPr>
          <w:rFonts w:ascii="宋体" w:hAnsi="宋体" w:hint="eastAsia"/>
          <w:szCs w:val="21"/>
        </w:rPr>
        <w:t>一、公平竞争参加本次磋商活动。</w:t>
      </w:r>
    </w:p>
    <w:p>
      <w:pPr>
        <w:spacing w:before="240" w:line="480" w:lineRule="auto"/>
        <w:ind w:firstLine="480"/>
        <w:rPr>
          <w:rFonts w:ascii="宋体" w:hAnsi="宋体"/>
          <w:szCs w:val="21"/>
        </w:rPr>
      </w:pPr>
      <w:r>
        <w:rPr>
          <w:rFonts w:ascii="宋体" w:hAnsi="宋体" w:hint="eastAsia"/>
          <w:szCs w:val="21"/>
        </w:rPr>
        <w:t>二、杜绝任何形式的商业贿赂行为。不向国家工作人员、采购代理机构工作人员、评审专家及其亲属提供礼品礼金、有价证券、购物券、回扣、佣金、咨询费、劳务费、赞助费、宣传费和宴请等；不为其报销各种消费凭证，不支付其旅游、娱乐等费用。</w:t>
      </w:r>
    </w:p>
    <w:p>
      <w:pPr>
        <w:spacing w:before="240" w:line="480" w:lineRule="auto"/>
        <w:ind w:firstLine="480"/>
        <w:rPr>
          <w:rFonts w:ascii="宋体" w:hAnsi="宋体"/>
          <w:szCs w:val="21"/>
        </w:rPr>
      </w:pPr>
      <w:r>
        <w:rPr>
          <w:rFonts w:ascii="宋体" w:hAnsi="宋体" w:hint="eastAsia"/>
          <w:szCs w:val="21"/>
        </w:rPr>
        <w:t>三、若出现上述行为，我公司及参与响应的工作人员愿意接受按照国家法律法规等有关规定给予的处罚。</w:t>
      </w:r>
    </w:p>
    <w:p>
      <w:pPr>
        <w:spacing w:before="240" w:line="480" w:lineRule="auto"/>
        <w:rPr>
          <w:rFonts w:ascii="宋体" w:hAnsi="宋体"/>
          <w:szCs w:val="21"/>
        </w:rPr>
      </w:pPr>
    </w:p>
    <w:p>
      <w:pPr>
        <w:spacing w:before="240" w:line="480" w:lineRule="auto"/>
        <w:ind w:firstLineChars="1800" w:firstLine="3780"/>
        <w:rPr>
          <w:rFonts w:ascii="宋体" w:hAnsi="宋体"/>
          <w:szCs w:val="21"/>
        </w:rPr>
      </w:pP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p>
    <w:p>
      <w:pPr>
        <w:spacing w:before="240" w:line="480" w:lineRule="auto"/>
        <w:rPr>
          <w:rFonts w:ascii="宋体" w:hAnsi="宋体"/>
          <w:iCs/>
          <w:szCs w:val="21"/>
          <w:u w:val="single"/>
        </w:rPr>
      </w:pPr>
      <w:r>
        <w:rPr>
          <w:rFonts w:ascii="宋体" w:hAnsi="宋体" w:hint="eastAsia"/>
          <w:szCs w:val="21"/>
        </w:rPr>
        <w:t xml:space="preserve">                           响应人名称（公章）： </w:t>
      </w:r>
    </w:p>
    <w:p>
      <w:pPr>
        <w:spacing w:before="240" w:line="480" w:lineRule="auto"/>
        <w:ind w:firstLineChars="1000" w:firstLine="2100"/>
        <w:jc w:val="center"/>
        <w:rPr>
          <w:rFonts w:ascii="宋体" w:hAnsi="宋体"/>
          <w:szCs w:val="21"/>
        </w:rPr>
      </w:pPr>
    </w:p>
    <w:p>
      <w:pPr>
        <w:spacing w:before="240" w:line="480" w:lineRule="auto"/>
        <w:ind w:firstLineChars="1000" w:firstLine="2100"/>
        <w:jc w:val="center"/>
        <w:rPr>
          <w:rFonts w:ascii="宋体" w:hAnsi="宋体"/>
          <w:szCs w:val="21"/>
        </w:rPr>
      </w:pPr>
      <w:r>
        <w:rPr>
          <w:rFonts w:ascii="宋体" w:hAnsi="宋体" w:hint="eastAsia"/>
          <w:szCs w:val="21"/>
        </w:rPr>
        <w:t xml:space="preserve">     日期       年    月    日</w:t>
      </w:r>
    </w:p>
    <w:p>
      <w:pPr>
        <w:pStyle w:val="2"/>
        <w:rPr>
          <w:szCs w:val="24"/>
        </w:rPr>
      </w:pPr>
      <w:r>
        <w:rPr>
          <w:rFonts w:ascii="宋体" w:eastAsia="宋体" w:hAnsi="宋体"/>
          <w:sz w:val="21"/>
          <w:szCs w:val="21"/>
        </w:rPr>
        <w:br w:type="page"/>
      </w:r>
      <w:bookmarkStart w:id="124" w:name="_Toc13515"/>
      <w:bookmarkStart w:id="125" w:name="_Toc67843826"/>
      <w:r>
        <w:rPr>
          <w:szCs w:val="28"/>
        </w:rPr>
        <w:t>10</w:t>
      </w:r>
      <w:r>
        <w:rPr>
          <w:rFonts w:hint="eastAsia"/>
        </w:rPr>
        <w:t>、诚信响应、诚信履约承诺书</w:t>
      </w:r>
      <w:bookmarkEnd w:id="124"/>
      <w:bookmarkEnd w:id="125"/>
    </w:p>
    <w:p>
      <w:pPr>
        <w:snapToGrid w:val="0"/>
        <w:spacing w:before="240" w:line="480" w:lineRule="auto"/>
        <w:rPr>
          <w:rFonts w:ascii="宋体" w:hAnsi="宋体"/>
          <w:szCs w:val="21"/>
        </w:rPr>
      </w:pPr>
      <w:r>
        <w:rPr>
          <w:rFonts w:ascii="宋体" w:hAnsi="宋体" w:hint="eastAsia"/>
          <w:szCs w:val="21"/>
        </w:rPr>
        <w:t>我方就本次磋商活动向贵方郑重承诺：</w:t>
      </w:r>
    </w:p>
    <w:p>
      <w:pPr>
        <w:snapToGrid w:val="0"/>
        <w:spacing w:before="240" w:line="480" w:lineRule="auto"/>
        <w:ind w:firstLineChars="200" w:firstLine="420"/>
        <w:rPr>
          <w:rFonts w:ascii="宋体" w:hAnsi="宋体"/>
          <w:szCs w:val="21"/>
        </w:rPr>
      </w:pPr>
      <w:r>
        <w:rPr>
          <w:rFonts w:ascii="宋体" w:hAnsi="宋体" w:hint="eastAsia"/>
          <w:szCs w:val="21"/>
        </w:rPr>
        <w:t>一、我们已经充分理解了磋商文件规定的所有要求、成交条件和合同条款，没有任何异议。</w:t>
      </w:r>
    </w:p>
    <w:p>
      <w:pPr>
        <w:snapToGrid w:val="0"/>
        <w:spacing w:before="240" w:line="480" w:lineRule="auto"/>
        <w:ind w:firstLineChars="200" w:firstLine="420"/>
        <w:rPr>
          <w:rFonts w:ascii="宋体" w:hAnsi="宋体"/>
          <w:szCs w:val="21"/>
        </w:rPr>
      </w:pPr>
      <w:r>
        <w:rPr>
          <w:rFonts w:ascii="宋体" w:hAnsi="宋体" w:hint="eastAsia"/>
          <w:szCs w:val="21"/>
        </w:rPr>
        <w:t>二、我们在响应文件中提交的所有商务文件和资格证明文件都是真实有效的；我们做出的所有技术响应都是真实可信、可以实现、并经得起验收检验的。我们保证所有的响应在响应有效期内不发生任何变更。</w:t>
      </w:r>
    </w:p>
    <w:p>
      <w:pPr>
        <w:snapToGrid w:val="0"/>
        <w:spacing w:before="240" w:line="480" w:lineRule="auto"/>
        <w:ind w:firstLineChars="200" w:firstLine="420"/>
        <w:rPr>
          <w:rFonts w:ascii="宋体" w:hAnsi="宋体"/>
          <w:szCs w:val="21"/>
        </w:rPr>
      </w:pPr>
      <w:r>
        <w:rPr>
          <w:rFonts w:ascii="宋体" w:hAnsi="宋体" w:hint="eastAsia"/>
          <w:szCs w:val="21"/>
        </w:rPr>
        <w:t>三、我们的响应报价包含了履行合同所需的全部费用。不论何种原因造成的报价漏项损失，我方全部承担，不会提出任何增加费用的要求。</w:t>
      </w:r>
    </w:p>
    <w:p>
      <w:pPr>
        <w:snapToGrid w:val="0"/>
        <w:spacing w:before="240" w:line="480" w:lineRule="auto"/>
        <w:ind w:firstLineChars="200" w:firstLine="420"/>
        <w:rPr>
          <w:rFonts w:ascii="宋体" w:hAnsi="宋体"/>
          <w:szCs w:val="21"/>
        </w:rPr>
      </w:pPr>
      <w:r>
        <w:rPr>
          <w:rFonts w:ascii="宋体" w:hAnsi="宋体" w:hint="eastAsia"/>
          <w:szCs w:val="21"/>
        </w:rPr>
        <w:t>四、我们知道，如果放弃成交，不论原因何在，都是不诚信响应的行为，都会给采购项目造成损失。如果采购人将本合同授予我们，我们将承担所有的潜在合同风险，绝不以任何理由弃标。</w:t>
      </w:r>
    </w:p>
    <w:p>
      <w:pPr>
        <w:snapToGrid w:val="0"/>
        <w:spacing w:before="240" w:line="480" w:lineRule="auto"/>
        <w:ind w:firstLineChars="200" w:firstLine="420"/>
        <w:rPr>
          <w:rFonts w:ascii="宋体" w:hAnsi="宋体"/>
          <w:szCs w:val="21"/>
        </w:rPr>
      </w:pPr>
      <w:r>
        <w:rPr>
          <w:rFonts w:ascii="宋体" w:hAnsi="宋体" w:hint="eastAsia"/>
          <w:szCs w:val="21"/>
        </w:rPr>
        <w:t>五、我们知道，成交后拒签或故意拖延签署合同、拒绝履行或故意拖延履行合同，不论原因何在，都是不诚信履约的行为。如果采购人将本合同授予我们，我们将如约在规定的期限内签署合同，在规定的期限内履行合同。</w:t>
      </w:r>
    </w:p>
    <w:p>
      <w:pPr>
        <w:snapToGrid w:val="0"/>
        <w:spacing w:before="240" w:line="480" w:lineRule="auto"/>
        <w:ind w:firstLineChars="200" w:firstLine="420"/>
        <w:rPr>
          <w:rFonts w:ascii="宋体" w:hAnsi="宋体"/>
          <w:szCs w:val="21"/>
        </w:rPr>
      </w:pPr>
      <w:r>
        <w:rPr>
          <w:rFonts w:ascii="宋体" w:hAnsi="宋体" w:hint="eastAsia"/>
          <w:szCs w:val="21"/>
        </w:rPr>
        <w:t>六、我们声明：我方在溯往三年内的采购活动中，没有中标后放弃中标、拒签或故意拖延签署合同、拒绝履行或故意拖延履行合同的不诚信行为。</w:t>
      </w:r>
    </w:p>
    <w:p>
      <w:pPr>
        <w:snapToGrid w:val="0"/>
        <w:spacing w:before="240" w:line="480" w:lineRule="auto"/>
        <w:ind w:firstLineChars="200" w:firstLine="420"/>
        <w:rPr>
          <w:rFonts w:ascii="宋体" w:hAnsi="宋体"/>
          <w:szCs w:val="21"/>
        </w:rPr>
      </w:pPr>
      <w:r>
        <w:rPr>
          <w:rFonts w:ascii="宋体" w:hAnsi="宋体" w:hint="eastAsia"/>
          <w:szCs w:val="21"/>
        </w:rPr>
        <w:t>以上承诺，能够经受来自任何方面的审查和监督。如有虚假或背离，我方愿承担由此引发的一切不利后果，无条件接受采购人的处置和采购监管单位的处罚。</w:t>
      </w:r>
    </w:p>
    <w:p>
      <w:pPr>
        <w:spacing w:before="240" w:line="480" w:lineRule="auto"/>
        <w:jc w:val="right"/>
        <w:rPr>
          <w:rFonts w:ascii="宋体" w:hAnsi="宋体"/>
          <w:iCs/>
          <w:szCs w:val="21"/>
          <w:u w:val="single"/>
        </w:rPr>
      </w:pPr>
      <w:r>
        <w:rPr>
          <w:rFonts w:ascii="宋体" w:hAnsi="宋体" w:hint="eastAsia"/>
          <w:szCs w:val="21"/>
        </w:rPr>
        <w:t xml:space="preserve">                           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snapToGrid w:val="0"/>
        <w:spacing w:before="240" w:line="480" w:lineRule="auto"/>
        <w:jc w:val="right"/>
        <w:rPr>
          <w:rFonts w:ascii="宋体" w:hAnsi="宋体"/>
          <w:szCs w:val="21"/>
        </w:rPr>
      </w:pPr>
      <w:r>
        <w:rPr>
          <w:rFonts w:ascii="宋体" w:hAnsi="宋体" w:hint="eastAsia"/>
          <w:szCs w:val="21"/>
        </w:rPr>
        <w:t>日期：  年  月  日</w:t>
      </w:r>
    </w:p>
    <w:p>
      <w:pPr>
        <w:pStyle w:val="2"/>
      </w:pPr>
      <w:bookmarkStart w:id="126" w:name="_Toc67843827"/>
      <w:r>
        <w:rPr>
          <w:rFonts w:hint="eastAsia"/>
        </w:rPr>
        <w:t>1</w:t>
      </w:r>
      <w:r>
        <w:t>1</w:t>
      </w:r>
      <w:r>
        <w:rPr>
          <w:rFonts w:hint="eastAsia"/>
        </w:rPr>
        <w:t>、</w:t>
      </w:r>
      <w:r>
        <w:t>非联合体声明函</w:t>
      </w:r>
      <w:bookmarkEnd w:id="126"/>
    </w:p>
    <w:p>
      <w:pPr>
        <w:spacing w:before="240" w:line="480" w:lineRule="auto"/>
      </w:pPr>
    </w:p>
    <w:p>
      <w:pPr>
        <w:spacing w:before="240" w:line="480" w:lineRule="auto"/>
        <w:ind w:firstLineChars="300" w:firstLine="630"/>
      </w:pPr>
      <w:r>
        <w:t xml:space="preserve">本公司 </w:t>
      </w:r>
      <w:r>
        <w:rPr>
          <w:u w:val="single"/>
        </w:rPr>
        <w:t xml:space="preserve">          </w:t>
      </w:r>
      <w:r>
        <w:t xml:space="preserve">（公司名称）参加  </w:t>
      </w:r>
      <w:r>
        <w:rPr>
          <w:u w:val="single"/>
        </w:rPr>
        <w:t xml:space="preserve">                       </w:t>
      </w:r>
      <w:r>
        <w:t>（项目名称）</w:t>
      </w:r>
      <w:r>
        <w:rPr>
          <w:rFonts w:ascii="宋体" w:eastAsia="宋体" w:hAnsi="宋体"/>
          <w:bCs/>
          <w:sz w:val="21"/>
          <w:szCs w:val="21"/>
          <w:u w:val="single"/>
        </w:rPr>
        <w:t xml:space="preserve">     </w:t>
      </w:r>
      <w:r>
        <w:t xml:space="preserve">的竞争性磋商采购活动，现声明： </w:t>
      </w:r>
    </w:p>
    <w:p>
      <w:pPr>
        <w:spacing w:before="240" w:line="480" w:lineRule="auto"/>
        <w:ind w:firstLineChars="300" w:firstLine="630"/>
        <w:rPr>
          <w:rFonts w:ascii="宋体" w:hAnsi="宋体"/>
          <w:iCs/>
          <w:szCs w:val="21"/>
          <w:u w:val="single"/>
        </w:rPr>
      </w:pPr>
      <w:r>
        <w:t xml:space="preserve">我公司在本次采购过程不组织联合体参与投标，如有虚假我公司愿意承担一切法律责任。 </w:t>
      </w:r>
    </w:p>
    <w:p>
      <w:pPr>
        <w:spacing w:before="240" w:line="480" w:lineRule="auto"/>
        <w:jc w:val="right"/>
        <w:rPr>
          <w:rFonts w:ascii="宋体" w:hAnsi="宋体"/>
          <w:iCs/>
          <w:szCs w:val="21"/>
          <w:u w:val="single"/>
        </w:rPr>
      </w:pPr>
      <w:r>
        <w:rPr>
          <w:rFonts w:ascii="宋体" w:hAnsi="宋体" w:hint="eastAsia"/>
          <w:szCs w:val="21"/>
        </w:rPr>
        <w:t xml:space="preserve"> 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snapToGrid w:val="0"/>
        <w:spacing w:before="240" w:line="480" w:lineRule="auto"/>
        <w:jc w:val="right"/>
        <w:rPr>
          <w:rFonts w:ascii="宋体" w:hAnsi="宋体"/>
          <w:szCs w:val="21"/>
          <w:u w:val="single"/>
        </w:rPr>
      </w:pPr>
      <w:r>
        <w:rPr>
          <w:rFonts w:ascii="宋体" w:hAnsi="宋体" w:hint="eastAsia"/>
          <w:szCs w:val="21"/>
        </w:rPr>
        <w:t>日期：  年  月  日</w:t>
      </w:r>
    </w:p>
    <w:p>
      <w:pPr>
        <w:widowControl/>
        <w:jc w:val="left"/>
        <w:rPr>
          <w:rFonts w:ascii="宋体" w:hAnsi="宋体"/>
          <w:szCs w:val="21"/>
        </w:rPr>
      </w:pPr>
      <w:r>
        <w:rPr>
          <w:rFonts w:ascii="宋体" w:hAnsi="宋体"/>
          <w:szCs w:val="21"/>
        </w:rPr>
        <w:br w:type="page"/>
      </w:r>
    </w:p>
    <w:p>
      <w:pPr>
        <w:pStyle w:val="2"/>
      </w:pPr>
      <w:bookmarkStart w:id="127" w:name="_Toc99240800"/>
      <w:bookmarkStart w:id="128" w:name="_Toc118294420"/>
      <w:bookmarkStart w:id="129" w:name="_Toc67843828"/>
      <w:r>
        <w:rPr>
          <w:rFonts w:hint="eastAsia"/>
        </w:rPr>
        <w:t>12</w:t>
      </w:r>
      <w:r>
        <w:t>.</w:t>
      </w:r>
      <w:bookmarkEnd w:id="127"/>
      <w:bookmarkEnd w:id="128"/>
      <w:r>
        <w:t xml:space="preserve">具备法律、行政法规规定的承诺函 </w:t>
      </w:r>
      <w:bookmarkEnd w:id="129"/>
    </w:p>
    <w:p>
      <w:pPr>
        <w:spacing w:beforeAutospacing="0" w:afterAutospacing="0" w:line="360" w:lineRule="auto"/>
      </w:pPr>
      <w:r>
        <w:rPr>
          <w:u w:val="single"/>
        </w:rPr>
        <w:t xml:space="preserve">          </w:t>
      </w:r>
      <w:r>
        <w:rPr>
          <w:rFonts w:hint="eastAsia"/>
        </w:rPr>
        <w:t xml:space="preserve">公司： </w:t>
      </w:r>
    </w:p>
    <w:p>
      <w:pPr>
        <w:spacing w:beforeAutospacing="0" w:afterAutospacing="0" w:line="360" w:lineRule="auto"/>
        <w:ind w:firstLineChars="200" w:firstLine="420"/>
      </w:pPr>
      <w:r>
        <w:rPr>
          <w:rFonts w:hint="eastAsia"/>
        </w:rPr>
        <w:t xml:space="preserve">本公司 </w:t>
      </w:r>
      <w:r>
        <w:rPr>
          <w:u w:val="single"/>
        </w:rPr>
        <w:t xml:space="preserve">               </w:t>
      </w:r>
      <w:r>
        <w:rPr>
          <w:rFonts w:hint="eastAsia"/>
        </w:rPr>
        <w:t xml:space="preserve">（公司名称）参加 </w:t>
      </w:r>
      <w:r>
        <w:rPr>
          <w:u w:val="single"/>
        </w:rPr>
        <w:t xml:space="preserve">               </w:t>
      </w:r>
      <w:r>
        <w:rPr>
          <w:rFonts w:hint="eastAsia"/>
        </w:rPr>
        <w:t>（项目名称）</w:t>
      </w:r>
      <w:r>
        <w:rPr>
          <w:rFonts w:ascii="宋体" w:eastAsia="宋体" w:hAnsi="宋体"/>
          <w:bCs/>
          <w:sz w:val="21"/>
          <w:szCs w:val="21"/>
          <w:u w:val="single"/>
        </w:rPr>
        <w:t xml:space="preserve">      </w:t>
      </w:r>
      <w:r>
        <w:rPr>
          <w:rFonts w:hint="eastAsia"/>
        </w:rPr>
        <w:t xml:space="preserve">的投标活动， 现承诺： </w:t>
      </w:r>
    </w:p>
    <w:p>
      <w:pPr>
        <w:spacing w:before="240" w:line="480" w:lineRule="auto"/>
        <w:rPr>
          <w:rFonts w:ascii="宋体" w:hAnsi="宋体"/>
          <w:szCs w:val="21"/>
        </w:rPr>
      </w:pPr>
      <w:r>
        <w:rPr>
          <w:rFonts w:hint="eastAsia"/>
        </w:rPr>
        <w:t xml:space="preserve">我司具备法律、行政法规规定的其他条件。 如违反以上承诺，本公司愿承担一切法律责任。 </w:t>
      </w:r>
      <w:r>
        <w:rPr>
          <w:rFonts w:ascii="宋体" w:hAnsi="宋体" w:hint="eastAsia"/>
          <w:szCs w:val="21"/>
        </w:rPr>
        <w:t xml:space="preserve">  </w:t>
      </w:r>
    </w:p>
    <w:p>
      <w:pPr>
        <w:spacing w:before="240" w:line="480" w:lineRule="auto"/>
        <w:rPr>
          <w:rFonts w:ascii="宋体" w:hAnsi="宋体"/>
          <w:szCs w:val="21"/>
        </w:rPr>
      </w:pPr>
    </w:p>
    <w:p>
      <w:pPr>
        <w:spacing w:before="240" w:line="480" w:lineRule="auto"/>
        <w:jc w:val="right"/>
        <w:rPr>
          <w:rFonts w:ascii="宋体" w:hAnsi="宋体"/>
          <w:iCs/>
          <w:szCs w:val="21"/>
          <w:u w:val="single"/>
        </w:rPr>
      </w:pPr>
      <w:r>
        <w:rPr>
          <w:rFonts w:ascii="宋体" w:hAnsi="宋体" w:hint="eastAsia"/>
          <w:szCs w:val="21"/>
        </w:rPr>
        <w:t xml:space="preserve">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snapToGrid w:val="0"/>
        <w:spacing w:before="240" w:line="480" w:lineRule="auto"/>
        <w:jc w:val="right"/>
        <w:rPr>
          <w:rFonts w:ascii="宋体" w:hAnsi="宋体"/>
          <w:szCs w:val="21"/>
        </w:rPr>
      </w:pPr>
      <w:r>
        <w:rPr>
          <w:rFonts w:ascii="宋体" w:hAnsi="宋体" w:hint="eastAsia"/>
          <w:szCs w:val="21"/>
        </w:rPr>
        <w:t>日期：  年  月  日</w:t>
      </w:r>
    </w:p>
    <w:p>
      <w:pPr>
        <w:jc w:val="right"/>
        <w:rPr>
          <w:rFonts w:ascii="宋体" w:hAnsi="宋体"/>
          <w:szCs w:val="21"/>
          <w:u w:val="single"/>
        </w:rPr>
      </w:pPr>
      <w:r>
        <w:rPr>
          <w:rFonts w:ascii="宋体" w:hAnsi="宋体"/>
          <w:szCs w:val="21"/>
          <w:u w:val="single"/>
        </w:rPr>
        <w:br w:type="page"/>
      </w:r>
    </w:p>
    <w:p>
      <w:pPr>
        <w:pStyle w:val="2"/>
      </w:pPr>
      <w:bookmarkStart w:id="130" w:name="_Toc67843829"/>
      <w:r>
        <w:rPr>
          <w:rFonts w:hAnsi="宋体"/>
        </w:rPr>
        <w:t>13.</w:t>
      </w:r>
      <w:r>
        <w:t xml:space="preserve">其他资格证明材料 </w:t>
      </w:r>
      <w:bookmarkEnd w:id="130"/>
    </w:p>
    <w:p>
      <w:pPr>
        <w:spacing w:line="360" w:lineRule="auto"/>
        <w:ind w:firstLineChars="200" w:firstLine="420"/>
        <w:rPr>
          <w:rFonts w:ascii="宋体" w:cs="宋体" w:hAnsi="宋体" w:hint="eastAsia"/>
          <w:b w:val="0"/>
          <w:bCs w:val="0"/>
        </w:rPr>
      </w:pPr>
      <w:r>
        <w:rPr>
          <w:rFonts w:ascii="宋体" w:cs="宋体" w:hAnsi="宋体"/>
          <w:b w:val="0"/>
          <w:bCs w:val="0"/>
        </w:rPr>
        <w:t>1、</w:t>
      </w:r>
      <w:r>
        <w:rPr>
          <w:rFonts w:ascii="宋体" w:cs="宋体" w:hAnsi="宋体" w:hint="eastAsia"/>
          <w:b w:val="0"/>
          <w:bCs w:val="0"/>
        </w:rPr>
        <w:t>在中华人民共和国注册，具有独立承担民事责任的能力（提供有效的营业执照 副本、组织机构代码证、税务登记证复印件加盖公章或其它有效证明材料，如为 “三证合一”企业，提供有效的营业执照副本）</w:t>
      </w:r>
      <w:r>
        <w:rPr>
          <w:rFonts w:ascii="宋体" w:cs="宋体" w:hAnsi="宋体"/>
          <w:b w:val="0"/>
          <w:bCs w:val="0"/>
        </w:rPr>
        <w:t>等</w:t>
      </w:r>
      <w:r>
        <w:rPr>
          <w:rFonts w:ascii="宋体" w:cs="宋体" w:hAnsi="宋体" w:hint="eastAsia"/>
          <w:b w:val="0"/>
          <w:bCs w:val="0"/>
        </w:rPr>
        <w:t>；</w:t>
      </w:r>
    </w:p>
    <w:p>
      <w:pPr>
        <w:spacing w:line="360" w:lineRule="auto"/>
        <w:ind w:firstLineChars="200" w:firstLine="420"/>
        <w:rPr>
          <w:rFonts w:hAnsi="宋体"/>
        </w:rPr>
      </w:pPr>
      <w:r>
        <w:rPr>
          <w:rFonts w:hAnsi="宋体"/>
        </w:rPr>
        <w:br w:type="page"/>
      </w:r>
    </w:p>
    <w:p>
      <w:pPr>
        <w:pStyle w:val="2"/>
        <w:rPr>
          <w:rFonts w:cs="宋体" w:hAnsi="宋体"/>
        </w:rPr>
      </w:pPr>
      <w:bookmarkStart w:id="131" w:name="_Toc67843830"/>
      <w:r>
        <w:rPr>
          <w:rFonts w:cs="宋体" w:hAnsi="宋体" w:hint="eastAsia"/>
        </w:rPr>
        <w:t>14、</w:t>
      </w:r>
      <w:bookmarkStart w:id="132" w:name="_Hlk64723094"/>
      <w:r>
        <w:t>中小企业声明函</w:t>
      </w:r>
      <w:bookmarkEnd w:id="132"/>
      <w:r>
        <w:rPr>
          <w:rStyle w:val="37"/>
        </w:rPr>
        <w:footnoteReference w:id="2"/>
      </w:r>
      <w:bookmarkEnd w:id="131"/>
    </w:p>
    <w:p>
      <w:pPr>
        <w:adjustRightInd w:val="0"/>
        <w:snapToGrid w:val="0"/>
        <w:spacing w:beforeLines="50" w:before="156" w:line="360" w:lineRule="auto"/>
        <w:ind w:firstLineChars="200" w:firstLine="420"/>
      </w:pPr>
      <w:bookmarkStart w:id="133" w:name="_Toc83763545"/>
      <w:r>
        <w:t>本公司郑重声明， 根据《政府采购促进中小企业发展管理办法》（财库﹝2020﹞46 号） 的规定，本公司参加</w:t>
      </w:r>
      <w:r>
        <w:rPr>
          <w:u w:val="single"/>
        </w:rPr>
        <w:t>（单位名称）</w:t>
      </w:r>
      <w:r>
        <w:t>的</w:t>
      </w:r>
      <w:r>
        <w:rPr>
          <w:u w:val="single"/>
        </w:rPr>
        <w:t>（项目名称）</w:t>
      </w:r>
      <w:r>
        <w:t>采购活动，</w:t>
      </w:r>
      <w:r>
        <w:rPr>
          <w:rFonts w:hint="eastAsia"/>
        </w:rPr>
        <w:t>工程的施工单位全部为符合政策要求的中小企业（或者：服务全部由符合政策要求的中小企业承接）。相关企业（ 含联合体中的中小企业、签订分包意向协议的中小企业）的具体情况如下：</w:t>
      </w:r>
      <w:bookmarkEnd w:id="133"/>
    </w:p>
    <w:p>
      <w:pPr>
        <w:adjustRightInd w:val="0"/>
        <w:snapToGrid w:val="0"/>
        <w:spacing w:line="360" w:lineRule="auto"/>
        <w:ind w:firstLineChars="200" w:firstLine="420"/>
      </w:pPr>
      <w:bookmarkStart w:id="134" w:name="_Toc83763546"/>
      <w:r>
        <w:t xml:space="preserve">1. </w:t>
      </w:r>
      <w:r>
        <w:rPr>
          <w:u w:val="single"/>
        </w:rPr>
        <w:t xml:space="preserve">（标的名称） </w:t>
      </w:r>
      <w:r>
        <w:t>， 属于</w:t>
      </w:r>
      <w:r>
        <w:rPr>
          <w:u w:val="single"/>
        </w:rPr>
        <w:t>（采购文件中明确的所属行业）</w:t>
      </w:r>
      <w:r>
        <w:t>行业；承建</w:t>
      </w:r>
      <w:r>
        <w:rPr>
          <w:rFonts w:hint="eastAsia"/>
        </w:rPr>
        <w:t>（承接）企业</w:t>
      </w:r>
      <w:r>
        <w:t>为</w:t>
      </w:r>
      <w:r>
        <w:rPr>
          <w:u w:val="single"/>
        </w:rPr>
        <w:t>（企业名称）</w:t>
      </w:r>
      <w:r>
        <w:t>， 从业人员人，营业收入为万元，资产总额为万元， 属于</w:t>
      </w:r>
      <w:r>
        <w:rPr>
          <w:u w:val="single"/>
        </w:rPr>
        <w:t>（中型企业、小型企业、微型企业）</w:t>
      </w:r>
      <w:r>
        <w:t>；</w:t>
      </w:r>
      <w:bookmarkEnd w:id="134"/>
    </w:p>
    <w:p>
      <w:pPr>
        <w:adjustRightInd w:val="0"/>
        <w:snapToGrid w:val="0"/>
        <w:spacing w:line="360" w:lineRule="auto"/>
        <w:ind w:firstLineChars="200" w:firstLine="420"/>
      </w:pPr>
      <w:bookmarkStart w:id="135" w:name="_Toc83763547"/>
      <w:r>
        <w:t xml:space="preserve">2. </w:t>
      </w:r>
      <w:r>
        <w:rPr>
          <w:u w:val="single"/>
        </w:rPr>
        <w:t>（标的名称）</w:t>
      </w:r>
      <w:r>
        <w:t>， 属于</w:t>
      </w:r>
      <w:r>
        <w:rPr>
          <w:u w:val="single"/>
        </w:rPr>
        <w:t>（采购文件中明确的所属行业）</w:t>
      </w:r>
      <w:r>
        <w:t>行业；承建</w:t>
      </w:r>
      <w:r>
        <w:rPr>
          <w:rFonts w:hint="eastAsia"/>
        </w:rPr>
        <w:t>（承接）企业</w:t>
      </w:r>
      <w:r>
        <w:t>为</w:t>
      </w:r>
      <w:r>
        <w:rPr>
          <w:u w:val="single"/>
        </w:rPr>
        <w:t>（企业名称）</w:t>
      </w:r>
      <w:r>
        <w:t>， 从业人员人，营业收入为万元，资产总额为万元，属于</w:t>
      </w:r>
      <w:r>
        <w:rPr>
          <w:u w:val="single"/>
        </w:rPr>
        <w:t>（中型企业、小型企业、微型企业）</w:t>
      </w:r>
      <w:r>
        <w:t>；</w:t>
      </w:r>
      <w:bookmarkEnd w:id="135"/>
    </w:p>
    <w:p>
      <w:pPr>
        <w:adjustRightInd w:val="0"/>
        <w:snapToGrid w:val="0"/>
        <w:spacing w:line="360" w:lineRule="auto"/>
        <w:ind w:firstLineChars="200" w:firstLine="420"/>
      </w:pPr>
      <w:bookmarkStart w:id="136" w:name="_Toc83763548"/>
      <w:r>
        <w:t>……</w:t>
      </w:r>
      <w:bookmarkEnd w:id="136"/>
    </w:p>
    <w:p>
      <w:pPr>
        <w:adjustRightInd w:val="0"/>
        <w:snapToGrid w:val="0"/>
        <w:spacing w:line="360" w:lineRule="auto"/>
        <w:ind w:firstLineChars="200" w:firstLine="420"/>
      </w:pPr>
      <w:bookmarkStart w:id="137" w:name="_Toc83763549"/>
      <w:r>
        <w:t>以上企业，不属于大企业的分支机构，不存在控股股东为大企业的情形，也不存在与大企业的负责人为同一人的情形。</w:t>
      </w:r>
      <w:bookmarkEnd w:id="137"/>
    </w:p>
    <w:p>
      <w:pPr>
        <w:adjustRightInd w:val="0"/>
        <w:snapToGrid w:val="0"/>
        <w:spacing w:line="360" w:lineRule="auto"/>
        <w:ind w:firstLineChars="200" w:firstLine="420"/>
      </w:pPr>
      <w:bookmarkStart w:id="138" w:name="_Toc83763550"/>
      <w:r>
        <w:t>本企业对上述声明内容的真实性负责。如有虚假，将依法承担相应责任。</w:t>
      </w:r>
      <w:bookmarkEnd w:id="138"/>
    </w:p>
    <w:p>
      <w:pPr>
        <w:adjustRightInd w:val="0"/>
        <w:snapToGrid w:val="0"/>
        <w:spacing w:line="360" w:lineRule="auto"/>
        <w:ind w:firstLineChars="200" w:firstLine="420"/>
      </w:pPr>
    </w:p>
    <w:p>
      <w:pPr>
        <w:adjustRightInd w:val="0"/>
        <w:snapToGrid w:val="0"/>
        <w:spacing w:line="360" w:lineRule="auto"/>
        <w:ind w:firstLineChars="200" w:firstLine="420"/>
      </w:pPr>
      <w:bookmarkStart w:id="139" w:name="_Toc83763551"/>
      <w:r>
        <w:t>企业名称（盖章）：</w:t>
      </w:r>
      <w:bookmarkEnd w:id="139"/>
    </w:p>
    <w:p>
      <w:pPr>
        <w:adjustRightInd w:val="0"/>
        <w:snapToGrid w:val="0"/>
        <w:spacing w:line="360" w:lineRule="auto"/>
        <w:ind w:firstLineChars="200" w:firstLine="420"/>
      </w:pPr>
      <w:bookmarkStart w:id="140" w:name="_Toc83763552"/>
    </w:p>
    <w:p>
      <w:pPr>
        <w:widowControl/>
        <w:jc w:val="left"/>
      </w:pPr>
      <w:r>
        <w:t>日 期：</w:t>
      </w:r>
      <w:bookmarkEnd w:id="140"/>
      <w:r>
        <w:br w:type="page"/>
      </w:r>
    </w:p>
    <w:p>
      <w:pPr>
        <w:adjustRightInd w:val="0"/>
        <w:snapToGrid w:val="0"/>
        <w:spacing w:line="360" w:lineRule="auto"/>
        <w:ind w:firstLineChars="200" w:firstLine="420"/>
      </w:pPr>
    </w:p>
    <w:p>
      <w:pPr>
        <w:pStyle w:val="2"/>
      </w:pPr>
      <w:bookmarkStart w:id="141" w:name="_Toc118294425"/>
      <w:bookmarkStart w:id="142" w:name="_Toc99240805"/>
      <w:bookmarkStart w:id="143" w:name="_Toc67843831"/>
      <w:r>
        <w:rPr>
          <w:rFonts w:hint="eastAsia"/>
        </w:rPr>
        <w:t>15、</w:t>
      </w:r>
      <w:bookmarkStart w:id="144" w:name="_Hlk64723125"/>
      <w:r>
        <w:rPr>
          <w:rFonts w:hint="eastAsia"/>
        </w:rPr>
        <w:t>残疾人福利性单位声明函</w:t>
      </w:r>
      <w:bookmarkEnd w:id="141"/>
      <w:bookmarkEnd w:id="142"/>
      <w:bookmarkEnd w:id="143"/>
      <w:bookmarkEnd w:id="144"/>
    </w:p>
    <w:p>
      <w:pPr>
        <w:spacing w:beforeLines="50" w:before="156" w:line="360" w:lineRule="auto"/>
        <w:ind w:firstLineChars="200" w:firstLine="444"/>
        <w:rPr>
          <w:spacing w:val="6"/>
        </w:rPr>
      </w:pPr>
      <w:r>
        <w:rPr>
          <w:spacing w:val="6"/>
        </w:rPr>
        <w:t>本单位郑重声明，根据《财政部 民政部 中国残疾人联合会关于促进残疾人就业政府采购政策的通知》（财库</w:t>
      </w:r>
      <w:r>
        <w:t>〔2017〕 141</w:t>
      </w:r>
      <w:r>
        <w:rPr>
          <w:spacing w:val="6"/>
        </w:rPr>
        <w:t>号）的规定，本单位为符合条件的残疾人福利性单位，且本单位参加______________单位的______________项目采购活动提供本单位制造的货物（由本单位承担工程/提供服务），或者提供其他残疾人福利性单位制造的货物（不包括使用非残疾人福利性单位注册商标的货物）。</w:t>
      </w:r>
    </w:p>
    <w:p>
      <w:pPr>
        <w:spacing w:line="360" w:lineRule="auto"/>
        <w:ind w:firstLineChars="200" w:firstLine="444"/>
        <w:rPr>
          <w:spacing w:val="6"/>
        </w:rPr>
      </w:pPr>
      <w:r>
        <w:rPr>
          <w:spacing w:val="6"/>
        </w:rPr>
        <w:t>本单位对上述声明的真实性负责。如有虚假，将依法承担相应责任。</w:t>
      </w:r>
    </w:p>
    <w:p>
      <w:pPr>
        <w:tabs>
          <w:tab w:val="left" w:pos="4860"/>
        </w:tabs>
        <w:spacing w:line="360" w:lineRule="auto"/>
        <w:ind w:right="1560" w:firstLineChars="200" w:firstLine="444"/>
        <w:rPr>
          <w:spacing w:val="6"/>
        </w:rPr>
      </w:pPr>
    </w:p>
    <w:p>
      <w:pPr>
        <w:tabs>
          <w:tab w:val="left" w:pos="4860"/>
        </w:tabs>
        <w:spacing w:line="360" w:lineRule="auto"/>
        <w:ind w:right="1560" w:firstLineChars="200" w:firstLine="444"/>
        <w:rPr>
          <w:spacing w:val="6"/>
        </w:rPr>
      </w:pPr>
      <w:r>
        <w:rPr>
          <w:spacing w:val="6"/>
        </w:rPr>
        <w:t>单位名称（盖章）：</w:t>
      </w:r>
    </w:p>
    <w:p>
      <w:pPr>
        <w:tabs>
          <w:tab w:val="left" w:pos="4860"/>
        </w:tabs>
        <w:spacing w:line="360" w:lineRule="auto"/>
        <w:ind w:right="1560" w:firstLineChars="200" w:firstLine="444"/>
        <w:rPr>
          <w:spacing w:val="6"/>
        </w:rPr>
      </w:pPr>
      <w:r>
        <w:rPr>
          <w:spacing w:val="6"/>
        </w:rPr>
        <w:t>日  期：</w:t>
      </w:r>
      <w:r>
        <w:rPr>
          <w:rFonts w:hint="eastAsia"/>
        </w:rPr>
        <w:t xml:space="preserve">    </w:t>
      </w:r>
      <w:r>
        <w:t>年   月   日</w:t>
      </w: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widowControl/>
        <w:jc w:val="left"/>
        <w:rPr>
          <w:b/>
          <w:bCs/>
        </w:rPr>
      </w:pPr>
      <w:r>
        <w:rPr>
          <w:b/>
          <w:bCs/>
        </w:rPr>
        <w:br w:type="page"/>
      </w:r>
    </w:p>
    <w:p>
      <w:pPr>
        <w:spacing w:beforeLines="50" w:before="156" w:line="360" w:lineRule="auto"/>
        <w:ind w:firstLineChars="200" w:firstLine="420"/>
        <w:rPr>
          <w:b/>
          <w:bCs/>
        </w:rPr>
      </w:pPr>
    </w:p>
    <w:p>
      <w:pPr>
        <w:pStyle w:val="2"/>
      </w:pPr>
      <w:bookmarkStart w:id="145" w:name="_Toc118294426"/>
      <w:bookmarkStart w:id="146" w:name="_Toc99240806"/>
      <w:bookmarkStart w:id="147" w:name="_Toc10874"/>
      <w:bookmarkStart w:id="148" w:name="_Toc67843832"/>
      <w:r>
        <w:t>1</w:t>
      </w:r>
      <w:r>
        <w:rPr>
          <w:rFonts w:hint="eastAsia"/>
        </w:rPr>
        <w:t>6、</w:t>
      </w:r>
      <w:bookmarkStart w:id="149" w:name="_Hlk64723183"/>
      <w:r>
        <w:t>监狱企业</w:t>
      </w:r>
      <w:r>
        <w:rPr>
          <w:rFonts w:hint="eastAsia"/>
        </w:rPr>
        <w:t>证明文件</w:t>
      </w:r>
      <w:bookmarkEnd w:id="145"/>
      <w:bookmarkEnd w:id="146"/>
      <w:bookmarkEnd w:id="147"/>
      <w:bookmarkEnd w:id="148"/>
    </w:p>
    <w:p>
      <w:pPr>
        <w:spacing w:beforeLines="50" w:before="156" w:line="360" w:lineRule="auto"/>
        <w:ind w:firstLineChars="200" w:firstLine="420"/>
        <w:rPr>
          <w:b/>
          <w:bCs/>
        </w:rPr>
      </w:pPr>
      <w:bookmarkEnd w:id="149"/>
    </w:p>
    <w:p>
      <w:pPr>
        <w:spacing w:beforeLines="50" w:before="156" w:line="360" w:lineRule="auto"/>
        <w:ind w:firstLineChars="200" w:firstLine="420"/>
      </w:pPr>
      <w:r>
        <w:t>监狱企业参加政府采购活动时，应当提供由省级以上监狱管理局、戒毒管理局（含新疆生产建设兵团）出具的属于监狱企业</w:t>
      </w:r>
      <w:r>
        <w:rPr>
          <w:rStyle w:val="37"/>
        </w:rPr>
        <w:footnoteReference w:id="3"/>
      </w:r>
      <w:r>
        <w:t>的证明文件。</w:t>
      </w:r>
    </w:p>
    <w:p>
      <w:pPr>
        <w:spacing w:beforeLines="50" w:before="156" w:line="360" w:lineRule="auto"/>
        <w:ind w:firstLineChars="200" w:firstLine="420"/>
      </w:pPr>
    </w:p>
    <w:p>
      <w:pPr>
        <w:spacing w:beforeLines="50" w:before="156" w:line="360" w:lineRule="auto"/>
        <w:ind w:firstLineChars="200" w:firstLine="420"/>
        <w:rPr>
          <w:b/>
          <w:bCs/>
        </w:rPr>
      </w:pPr>
    </w:p>
    <w:p>
      <w:pPr>
        <w:spacing w:beforeLines="50" w:before="156" w:line="360" w:lineRule="auto"/>
        <w:ind w:firstLineChars="200" w:firstLine="420"/>
        <w:rPr>
          <w:b/>
          <w:bCs/>
        </w:rPr>
      </w:pPr>
    </w:p>
    <w:p>
      <w:pPr>
        <w:spacing w:beforeLines="50" w:before="156" w:line="360" w:lineRule="auto"/>
        <w:ind w:firstLineChars="200" w:firstLine="420"/>
        <w:rPr>
          <w:b/>
          <w:bCs/>
        </w:rPr>
      </w:pPr>
    </w:p>
    <w:p>
      <w:pPr>
        <w:widowControl/>
        <w:jc w:val="left"/>
      </w:pPr>
      <w:r>
        <w:br w:type="page"/>
      </w:r>
    </w:p>
    <w:p>
      <w:pPr>
        <w:adjustRightInd w:val="0"/>
        <w:snapToGrid w:val="0"/>
        <w:spacing w:line="360" w:lineRule="auto"/>
        <w:ind w:firstLineChars="200" w:firstLine="420"/>
      </w:pPr>
    </w:p>
    <w:p/>
    <w:p>
      <w:pPr>
        <w:pStyle w:val="2"/>
        <w:rPr>
          <w:rFonts w:cs="宋体" w:hAnsi="宋体"/>
        </w:rPr>
      </w:pPr>
      <w:bookmarkStart w:id="150" w:name="_Toc67843833"/>
      <w:r>
        <w:rPr>
          <w:rFonts w:cs="宋体" w:hAnsi="宋体" w:hint="eastAsia"/>
        </w:rPr>
        <w:t>17、</w:t>
      </w:r>
      <w:r>
        <w:t>报价一览表</w:t>
      </w:r>
      <w:bookmarkEnd w:id="150"/>
    </w:p>
    <w:p>
      <w:pPr>
        <w:jc w:val="center"/>
        <w:rPr>
          <w:b/>
          <w:sz w:val="28"/>
          <w:szCs w:val="28"/>
        </w:rPr>
      </w:pPr>
    </w:p>
    <w:p>
      <w:pPr>
        <w:adjustRightInd w:val="0"/>
        <w:spacing w:line="360" w:lineRule="auto"/>
        <w:ind w:firstLineChars="175" w:firstLine="368"/>
      </w:pPr>
      <w:r>
        <w:t>招标编号：                        项目名称：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600" w:firstRow="0" w:lastRow="0" w:firstColumn="0" w:lastColumn="0" w:noHBand="1" w:noVBand="1"/>
      </w:tblPr>
      <w:tblGrid>
        <w:gridCol w:w="2693"/>
        <w:gridCol w:w="2358"/>
        <w:gridCol w:w="2349"/>
        <w:gridCol w:w="858"/>
        <w:gridCol w:w="858"/>
      </w:tblGrid>
      <w:tr>
        <w:trPr>
          <w:trHeight w:val="739"/>
        </w:trPr>
        <w:tc>
          <w:tcPr>
            <w:tcW w:w="2798"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hint="eastAsia"/>
                <w:b/>
                <w:bCs/>
              </w:rPr>
              <w:t>项目内容</w:t>
            </w:r>
          </w:p>
        </w:tc>
        <w:tc>
          <w:tcPr>
            <w:tcW w:w="2450"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含税</w:t>
            </w:r>
            <w:r>
              <w:rPr>
                <w:rFonts w:ascii="宋体" w:cs="宋体" w:hAnsi="宋体" w:hint="eastAsia"/>
                <w:b/>
                <w:bCs/>
              </w:rPr>
              <w:t>报价 （元）</w:t>
            </w:r>
          </w:p>
        </w:tc>
        <w:tc>
          <w:tcPr>
            <w:tcW w:w="2441"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不含税</w:t>
            </w:r>
            <w:r>
              <w:rPr>
                <w:rFonts w:ascii="宋体" w:cs="宋体" w:hAnsi="宋体" w:hint="eastAsia"/>
                <w:b/>
                <w:bCs/>
              </w:rPr>
              <w:t>报价 （元）</w:t>
            </w:r>
          </w:p>
        </w:tc>
        <w:tc>
          <w:tcPr>
            <w:tcW w:w="892"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税率%</w:t>
            </w:r>
          </w:p>
        </w:tc>
        <w:tc>
          <w:tcPr>
            <w:tcW w:w="892"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b/>
                <w:bCs/>
              </w:rPr>
            </w:pPr>
            <w:r>
              <w:rPr>
                <w:rFonts w:ascii="宋体" w:cs="宋体" w:hAnsi="宋体" w:hint="eastAsia"/>
                <w:b/>
                <w:bCs/>
              </w:rPr>
              <w:t>备注</w:t>
            </w:r>
          </w:p>
        </w:tc>
      </w:tr>
      <w:tr>
        <w:tc>
          <w:tcPr>
            <w:tcW w:w="2798"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r>
              <w:rPr>
                <w:bCs/>
              </w:rPr>
              <w:t>2026年度白沙县35座小型水质自动监测站运维服务</w:t>
            </w:r>
          </w:p>
        </w:tc>
        <w:tc>
          <w:tcPr>
            <w:tcW w:w="2450"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2441"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892"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892"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r>
    </w:tbl>
    <w:p>
      <w:pPr>
        <w:spacing w:before="240" w:line="480" w:lineRule="auto"/>
        <w:jc w:val="left"/>
      </w:pPr>
      <w:r>
        <w:t>注：本项目报价为总价限价</w:t>
      </w:r>
      <w:r>
        <w:rPr>
          <w:rFonts w:hAnsi="宋体" w:hint="eastAsia"/>
        </w:rPr>
        <w:t>1892426.00元</w:t>
      </w:r>
      <w:r>
        <w:t>。</w:t>
      </w:r>
    </w:p>
    <w:p>
      <w:pPr>
        <w:spacing w:before="240" w:line="480" w:lineRule="auto"/>
        <w:jc w:val="right"/>
        <w:rPr>
          <w:rFonts w:ascii="宋体" w:hAnsi="宋体"/>
          <w:iCs/>
          <w:szCs w:val="21"/>
          <w:u w:val="single"/>
        </w:rPr>
      </w:pPr>
      <w:r>
        <w:rPr>
          <w:rFonts w:ascii="宋体" w:hAnsi="宋体" w:hint="eastAsia"/>
          <w:szCs w:val="21"/>
        </w:rPr>
        <w:t xml:space="preserve">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snapToGrid w:val="0"/>
        <w:spacing w:before="240" w:line="480" w:lineRule="auto"/>
        <w:jc w:val="right"/>
        <w:rPr>
          <w:rFonts w:ascii="宋体" w:hAnsi="宋体"/>
          <w:szCs w:val="21"/>
        </w:rPr>
      </w:pPr>
      <w:r>
        <w:rPr>
          <w:rFonts w:ascii="宋体" w:hAnsi="宋体" w:hint="eastAsia"/>
          <w:szCs w:val="21"/>
        </w:rPr>
        <w:t>日期：  年  月  日</w:t>
      </w:r>
    </w:p>
    <w:p>
      <w:pPr>
        <w:rPr>
          <w:rFonts w:ascii="宋体" w:hAnsi="宋体"/>
          <w:szCs w:val="21"/>
        </w:rPr>
      </w:pPr>
      <w:r>
        <w:rPr>
          <w:rFonts w:ascii="宋体" w:hAnsi="宋体"/>
          <w:szCs w:val="21"/>
        </w:rPr>
        <w:br w:type="page"/>
      </w:r>
      <w:bookmarkStart w:id="151" w:name="_Toc317237643"/>
    </w:p>
    <w:p>
      <w:pPr>
        <w:adjustRightInd w:val="0"/>
        <w:spacing w:line="360" w:lineRule="auto"/>
        <w:ind w:firstLineChars="175" w:firstLine="490"/>
        <w:jc w:val="center"/>
        <w:rPr>
          <w:b/>
          <w:bCs/>
          <w:sz w:val="28"/>
          <w:szCs w:val="28"/>
        </w:rPr>
      </w:pPr>
      <w:r>
        <w:rPr>
          <w:b/>
          <w:bCs/>
          <w:sz w:val="28"/>
          <w:szCs w:val="28"/>
        </w:rPr>
        <w:t>第二次报价一览表</w:t>
      </w:r>
    </w:p>
    <w:p>
      <w:pPr>
        <w:adjustRightInd w:val="0"/>
        <w:spacing w:line="360" w:lineRule="auto"/>
        <w:ind w:firstLineChars="175" w:firstLine="368"/>
      </w:pPr>
      <w:r>
        <w:t>招标编号：                     项目名称：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600" w:firstRow="0" w:lastRow="0" w:firstColumn="0" w:lastColumn="0" w:noHBand="1" w:noVBand="1"/>
      </w:tblPr>
      <w:tblGrid>
        <w:gridCol w:w="2693"/>
        <w:gridCol w:w="2358"/>
        <w:gridCol w:w="2349"/>
        <w:gridCol w:w="858"/>
        <w:gridCol w:w="858"/>
      </w:tblGrid>
      <w:tr>
        <w:trPr>
          <w:trHeight w:val="739"/>
        </w:trPr>
        <w:tc>
          <w:tcPr>
            <w:tcW w:w="2798"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hint="eastAsia"/>
                <w:b/>
                <w:bCs/>
              </w:rPr>
              <w:t>项目内容</w:t>
            </w:r>
          </w:p>
        </w:tc>
        <w:tc>
          <w:tcPr>
            <w:tcW w:w="2450"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含税</w:t>
            </w:r>
            <w:r>
              <w:rPr>
                <w:rFonts w:ascii="宋体" w:cs="宋体" w:hAnsi="宋体" w:hint="eastAsia"/>
                <w:b/>
                <w:bCs/>
              </w:rPr>
              <w:t>报价 （元）</w:t>
            </w:r>
          </w:p>
        </w:tc>
        <w:tc>
          <w:tcPr>
            <w:tcW w:w="2441"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不含税</w:t>
            </w:r>
            <w:r>
              <w:rPr>
                <w:rFonts w:ascii="宋体" w:cs="宋体" w:hAnsi="宋体" w:hint="eastAsia"/>
                <w:b/>
                <w:bCs/>
              </w:rPr>
              <w:t>报价 （元）</w:t>
            </w:r>
          </w:p>
        </w:tc>
        <w:tc>
          <w:tcPr>
            <w:tcW w:w="892"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hint="eastAsia"/>
                <w:b/>
                <w:bCs/>
              </w:rPr>
            </w:pPr>
            <w:r>
              <w:rPr>
                <w:rFonts w:ascii="宋体" w:cs="宋体" w:hAnsi="宋体"/>
                <w:b/>
                <w:bCs/>
              </w:rPr>
              <w:t>税率%</w:t>
            </w:r>
          </w:p>
        </w:tc>
        <w:tc>
          <w:tcPr>
            <w:tcW w:w="892" w:type="dxa"/>
            <w:vAlign w:val="center"/>
          </w:tcPr>
          <w:p>
            <w:pPr>
              <w:pBdr>
                <w:top w:val="none" w:sz="0" w:space="0" w:color="auto"/>
                <w:left w:val="none" w:sz="0" w:space="0" w:color="auto"/>
                <w:bottom w:val="none" w:sz="0" w:space="0" w:color="auto"/>
                <w:right w:val="none" w:sz="0" w:space="0" w:color="auto"/>
              </w:pBdr>
              <w:adjustRightInd w:val="0"/>
              <w:spacing w:line="360" w:lineRule="auto"/>
              <w:jc w:val="center"/>
              <w:rPr>
                <w:rFonts w:ascii="宋体" w:cs="宋体" w:hAnsi="宋体"/>
                <w:b/>
                <w:bCs/>
              </w:rPr>
            </w:pPr>
            <w:r>
              <w:rPr>
                <w:rFonts w:ascii="宋体" w:cs="宋体" w:hAnsi="宋体" w:hint="eastAsia"/>
                <w:b/>
                <w:bCs/>
              </w:rPr>
              <w:t>备注</w:t>
            </w:r>
          </w:p>
        </w:tc>
      </w:tr>
      <w:tr>
        <w:tc>
          <w:tcPr>
            <w:tcW w:w="2798"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r>
              <w:rPr>
                <w:bCs/>
              </w:rPr>
              <w:t>2026年度白沙县35座小型水质自动监测站运维服务</w:t>
            </w:r>
          </w:p>
        </w:tc>
        <w:tc>
          <w:tcPr>
            <w:tcW w:w="2450"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2441"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892"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c>
          <w:tcPr>
            <w:tcW w:w="892" w:type="dxa"/>
            <w:tcBorders>
              <w:left w:val="single" w:sz="4" w:space="0" w:color="auto"/>
            </w:tcBorders>
            <w:vAlign w:val="center"/>
          </w:tcPr>
          <w:p>
            <w:pPr>
              <w:pBdr>
                <w:top w:val="none" w:sz="0" w:space="0" w:color="auto"/>
                <w:left w:val="none" w:sz="0" w:space="0" w:color="auto"/>
                <w:bottom w:val="none" w:sz="0" w:space="0" w:color="auto"/>
                <w:right w:val="none" w:sz="0" w:space="0" w:color="auto"/>
              </w:pBdr>
              <w:adjustRightInd w:val="0"/>
              <w:spacing w:line="360" w:lineRule="auto"/>
              <w:jc w:val="center"/>
              <w:rPr>
                <w:bCs/>
              </w:rPr>
            </w:pPr>
          </w:p>
        </w:tc>
      </w:tr>
    </w:tbl>
    <w:p>
      <w:pPr>
        <w:spacing w:line="274" w:lineRule="auto"/>
        <w:ind w:left="153" w:right="74"/>
        <w:rPr>
          <w:rFonts w:ascii="华文细黑" w:eastAsia="华文细黑" w:cs="微软雅黑" w:hAnsi="华文细黑"/>
          <w:spacing w:val="-14"/>
          <w:sz w:val="22"/>
        </w:rPr>
      </w:pPr>
      <w:r>
        <w:rPr>
          <w:rFonts w:ascii="华文细黑" w:eastAsia="华文细黑" w:cs="微软雅黑" w:hAnsi="华文细黑"/>
          <w:sz w:val="22"/>
        </w:rPr>
        <w:t>说明</w:t>
      </w:r>
      <w:r>
        <w:rPr>
          <w:rFonts w:ascii="华文细黑" w:eastAsia="华文细黑" w:cs="微软雅黑" w:hAnsi="华文细黑"/>
          <w:spacing w:val="-14"/>
          <w:sz w:val="22"/>
        </w:rPr>
        <w:t>：</w:t>
      </w:r>
    </w:p>
    <w:p>
      <w:pPr>
        <w:spacing w:line="274" w:lineRule="auto"/>
        <w:ind w:left="153" w:right="74"/>
        <w:rPr>
          <w:rFonts w:ascii="华文细黑" w:eastAsia="华文细黑" w:cs="微软雅黑" w:hAnsi="华文细黑"/>
          <w:sz w:val="22"/>
        </w:rPr>
      </w:pPr>
      <w:r>
        <w:rPr>
          <w:rFonts w:ascii="华文细黑" w:eastAsia="华文细黑" w:hAnsi="华文细黑"/>
          <w:sz w:val="22"/>
          <w:highlight w:val="lightGray"/>
        </w:rPr>
        <w:t>1</w:t>
      </w:r>
      <w:r>
        <w:rPr>
          <w:rFonts w:ascii="华文细黑" w:eastAsia="华文细黑" w:cs="微软雅黑" w:hAnsi="华文细黑"/>
          <w:spacing w:val="-14"/>
          <w:sz w:val="22"/>
          <w:highlight w:val="lightGray"/>
        </w:rPr>
        <w:t>、</w:t>
      </w:r>
      <w:r>
        <w:rPr>
          <w:rFonts w:ascii="华文细黑" w:eastAsia="华文细黑" w:cs="微软雅黑" w:hAnsi="华文细黑"/>
          <w:sz w:val="22"/>
          <w:highlight w:val="lightGray"/>
        </w:rPr>
        <w:t>本表价格</w:t>
      </w:r>
      <w:r>
        <w:rPr>
          <w:rFonts w:ascii="华文细黑" w:eastAsia="华文细黑" w:cs="微软雅黑" w:hAnsi="华文细黑"/>
          <w:spacing w:val="2"/>
          <w:sz w:val="22"/>
          <w:highlight w:val="lightGray"/>
        </w:rPr>
        <w:t>一</w:t>
      </w:r>
      <w:r>
        <w:rPr>
          <w:rFonts w:ascii="华文细黑" w:eastAsia="华文细黑" w:cs="微软雅黑" w:hAnsi="华文细黑"/>
          <w:sz w:val="22"/>
          <w:highlight w:val="lightGray"/>
        </w:rPr>
        <w:t>栏空白</w:t>
      </w:r>
      <w:r>
        <w:rPr>
          <w:rFonts w:ascii="华文细黑" w:eastAsia="华文细黑" w:cs="微软雅黑" w:hAnsi="华文细黑"/>
          <w:spacing w:val="-14"/>
          <w:sz w:val="22"/>
          <w:highlight w:val="lightGray"/>
        </w:rPr>
        <w:t>，</w:t>
      </w:r>
      <w:r>
        <w:rPr>
          <w:rFonts w:ascii="华文细黑" w:eastAsia="华文细黑" w:cs="微软雅黑" w:hAnsi="华文细黑"/>
          <w:sz w:val="22"/>
          <w:highlight w:val="lightGray"/>
        </w:rPr>
        <w:t>落款处</w:t>
      </w:r>
      <w:r>
        <w:rPr>
          <w:rFonts w:ascii="华文细黑" w:eastAsia="华文细黑" w:cs="微软雅黑" w:hAnsi="华文细黑" w:hint="eastAsia"/>
          <w:sz w:val="22"/>
          <w:highlight w:val="lightGray"/>
        </w:rPr>
        <w:t>响应人</w:t>
      </w:r>
      <w:r>
        <w:rPr>
          <w:rFonts w:ascii="华文细黑" w:eastAsia="华文细黑" w:cs="微软雅黑" w:hAnsi="华文细黑"/>
          <w:sz w:val="22"/>
          <w:highlight w:val="lightGray"/>
        </w:rPr>
        <w:t>名</w:t>
      </w:r>
      <w:r>
        <w:rPr>
          <w:rFonts w:ascii="华文细黑" w:eastAsia="华文细黑" w:cs="微软雅黑" w:hAnsi="华文细黑"/>
          <w:spacing w:val="-14"/>
          <w:sz w:val="22"/>
          <w:highlight w:val="lightGray"/>
        </w:rPr>
        <w:t>称</w:t>
      </w:r>
      <w:r>
        <w:rPr>
          <w:rFonts w:ascii="华文细黑" w:eastAsia="华文细黑" w:cs="微软雅黑" w:hAnsi="华文细黑"/>
          <w:sz w:val="22"/>
          <w:highlight w:val="lightGray"/>
        </w:rPr>
        <w:t>（盖章</w:t>
      </w:r>
      <w:r>
        <w:rPr>
          <w:rFonts w:ascii="华文细黑" w:eastAsia="华文细黑" w:cs="微软雅黑" w:hAnsi="华文细黑"/>
          <w:spacing w:val="-14"/>
          <w:sz w:val="22"/>
          <w:highlight w:val="lightGray"/>
        </w:rPr>
        <w:t>）</w:t>
      </w:r>
      <w:r>
        <w:rPr>
          <w:rFonts w:ascii="华文细黑" w:eastAsia="华文细黑" w:cs="微软雅黑" w:hAnsi="华文细黑"/>
          <w:sz w:val="22"/>
          <w:highlight w:val="lightGray"/>
        </w:rPr>
        <w:t>处由</w:t>
      </w:r>
      <w:r>
        <w:rPr>
          <w:rFonts w:ascii="华文细黑" w:eastAsia="华文细黑" w:cs="微软雅黑" w:hAnsi="华文细黑" w:hint="eastAsia"/>
          <w:sz w:val="22"/>
          <w:highlight w:val="lightGray"/>
        </w:rPr>
        <w:t>响应人</w:t>
      </w:r>
      <w:r>
        <w:rPr>
          <w:rFonts w:ascii="华文细黑" w:eastAsia="华文细黑" w:cs="微软雅黑" w:hAnsi="华文细黑"/>
          <w:sz w:val="22"/>
          <w:highlight w:val="lightGray"/>
        </w:rPr>
        <w:t>事先加盖公章</w:t>
      </w:r>
      <w:r>
        <w:rPr>
          <w:rFonts w:ascii="华文细黑" w:eastAsia="华文细黑" w:cs="微软雅黑" w:hAnsi="华文细黑" w:hint="eastAsia"/>
          <w:sz w:val="22"/>
          <w:highlight w:val="lightGray"/>
        </w:rPr>
        <w:t>并签字</w:t>
      </w:r>
      <w:r>
        <w:rPr>
          <w:rFonts w:ascii="华文细黑" w:eastAsia="华文细黑" w:cs="微软雅黑" w:hAnsi="华文细黑"/>
          <w:spacing w:val="-14"/>
          <w:sz w:val="22"/>
          <w:highlight w:val="lightGray"/>
        </w:rPr>
        <w:t>，</w:t>
      </w:r>
      <w:r>
        <w:rPr>
          <w:rFonts w:ascii="华文细黑" w:eastAsia="华文细黑" w:cs="微软雅黑" w:hAnsi="华文细黑"/>
          <w:sz w:val="22"/>
          <w:highlight w:val="lightGray"/>
        </w:rPr>
        <w:t>单独准备</w:t>
      </w:r>
      <w:r>
        <w:rPr>
          <w:rFonts w:ascii="华文细黑" w:eastAsia="华文细黑" w:cs="微软雅黑" w:hAnsi="华文细黑" w:hint="eastAsia"/>
          <w:sz w:val="22"/>
          <w:highlight w:val="lightGray"/>
        </w:rPr>
        <w:t>至少2</w:t>
      </w:r>
      <w:r>
        <w:rPr>
          <w:rFonts w:ascii="华文细黑" w:eastAsia="华文细黑" w:cs="微软雅黑" w:hAnsi="华文细黑"/>
          <w:sz w:val="22"/>
          <w:highlight w:val="lightGray"/>
        </w:rPr>
        <w:t>份，不与响应文件一同装订，</w:t>
      </w:r>
      <w:r>
        <w:rPr>
          <w:rFonts w:ascii="华文细黑" w:eastAsia="华文细黑" w:cs="微软雅黑" w:hAnsi="华文细黑" w:hint="eastAsia"/>
          <w:sz w:val="22"/>
          <w:highlight w:val="lightGray"/>
        </w:rPr>
        <w:t>须单独携带至</w:t>
      </w:r>
      <w:r>
        <w:rPr>
          <w:rFonts w:ascii="华文细黑" w:eastAsia="华文细黑" w:cs="微软雅黑" w:hAnsi="华文细黑"/>
          <w:sz w:val="22"/>
          <w:highlight w:val="lightGray"/>
        </w:rPr>
        <w:t>磋商</w:t>
      </w:r>
      <w:r>
        <w:rPr>
          <w:rFonts w:ascii="华文细黑" w:eastAsia="华文细黑" w:cs="微软雅黑" w:hAnsi="华文细黑" w:hint="eastAsia"/>
          <w:sz w:val="22"/>
          <w:highlight w:val="lightGray"/>
        </w:rPr>
        <w:t>现场</w:t>
      </w:r>
      <w:r>
        <w:rPr>
          <w:rFonts w:ascii="华文细黑" w:eastAsia="华文细黑" w:cs="微软雅黑" w:hAnsi="华文细黑"/>
          <w:sz w:val="22"/>
          <w:highlight w:val="lightGray"/>
        </w:rPr>
        <w:t>；</w:t>
      </w:r>
    </w:p>
    <w:p>
      <w:pPr>
        <w:spacing w:line="600" w:lineRule="exact"/>
        <w:ind w:leftChars="52" w:left="109"/>
        <w:rPr>
          <w:rFonts w:ascii="华文细黑" w:eastAsia="华文细黑" w:hAnsi="华文细黑"/>
          <w:sz w:val="22"/>
        </w:rPr>
      </w:pPr>
      <w:r>
        <w:rPr>
          <w:rFonts w:ascii="华文细黑" w:eastAsia="华文细黑" w:hAnsi="华文细黑"/>
          <w:sz w:val="22"/>
        </w:rPr>
        <w:t>2</w:t>
      </w:r>
      <w:r>
        <w:rPr>
          <w:rFonts w:ascii="华文细黑" w:eastAsia="华文细黑" w:cs="微软雅黑" w:hAnsi="华文细黑"/>
          <w:sz w:val="22"/>
        </w:rPr>
        <w:t>、本表根据现场</w:t>
      </w:r>
      <w:r>
        <w:rPr>
          <w:rFonts w:ascii="华文细黑" w:eastAsia="华文细黑" w:cs="微软雅黑" w:hAnsi="华文细黑" w:hint="eastAsia"/>
          <w:sz w:val="22"/>
        </w:rPr>
        <w:t>响应</w:t>
      </w:r>
      <w:r>
        <w:rPr>
          <w:rFonts w:ascii="华文细黑" w:eastAsia="华文细黑" w:cs="微软雅黑" w:hAnsi="华文细黑"/>
          <w:sz w:val="22"/>
        </w:rPr>
        <w:t>情况，在磋商现场手工填写作</w:t>
      </w:r>
      <w:r>
        <w:rPr>
          <w:rFonts w:ascii="华文细黑" w:eastAsia="华文细黑" w:hAnsi="华文细黑"/>
          <w:sz w:val="22"/>
        </w:rPr>
        <w:t>为</w:t>
      </w:r>
      <w:r>
        <w:rPr>
          <w:rFonts w:ascii="华文细黑" w:eastAsia="华文细黑" w:hAnsi="华文细黑" w:hint="eastAsia"/>
          <w:sz w:val="22"/>
        </w:rPr>
        <w:t>响应人</w:t>
      </w:r>
      <w:r>
        <w:rPr>
          <w:rFonts w:ascii="华文细黑" w:eastAsia="华文细黑" w:hAnsi="华文细黑"/>
          <w:sz w:val="22"/>
        </w:rPr>
        <w:t>对本项目的最终报价</w:t>
      </w:r>
      <w:r>
        <w:rPr>
          <w:rFonts w:ascii="华文细黑" w:eastAsia="华文细黑" w:hAnsi="华文细黑" w:hint="eastAsia"/>
          <w:sz w:val="22"/>
        </w:rPr>
        <w:t>。</w:t>
      </w:r>
    </w:p>
    <w:p>
      <w:pPr>
        <w:spacing w:before="240" w:line="480" w:lineRule="auto"/>
        <w:jc w:val="left"/>
        <w:rPr>
          <w:rFonts w:ascii="宋体" w:hAnsi="宋体"/>
          <w:szCs w:val="21"/>
        </w:rPr>
      </w:pPr>
    </w:p>
    <w:p>
      <w:pPr>
        <w:spacing w:before="240" w:line="480" w:lineRule="auto"/>
        <w:jc w:val="right"/>
        <w:rPr>
          <w:rFonts w:ascii="宋体" w:hAnsi="宋体"/>
          <w:iCs/>
          <w:szCs w:val="21"/>
          <w:u w:val="single"/>
        </w:rPr>
      </w:pPr>
      <w:r>
        <w:rPr>
          <w:rFonts w:ascii="宋体" w:hAnsi="宋体" w:hint="eastAsia"/>
          <w:szCs w:val="21"/>
        </w:rPr>
        <w:t xml:space="preserve">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snapToGrid w:val="0"/>
        <w:spacing w:before="240" w:line="480" w:lineRule="auto"/>
        <w:jc w:val="right"/>
        <w:rPr>
          <w:rFonts w:ascii="宋体" w:hAnsi="宋体"/>
          <w:szCs w:val="21"/>
        </w:rPr>
      </w:pPr>
      <w:r>
        <w:rPr>
          <w:rFonts w:ascii="宋体" w:hAnsi="宋体" w:hint="eastAsia"/>
          <w:szCs w:val="21"/>
        </w:rPr>
        <w:t>日期：  年  月  日</w:t>
      </w:r>
    </w:p>
    <w:p>
      <w:pPr>
        <w:rPr>
          <w:rFonts w:ascii="宋体" w:hAnsi="宋体"/>
          <w:bCs/>
          <w:sz w:val="24"/>
        </w:rPr>
      </w:pPr>
    </w:p>
    <w:p>
      <w:pPr>
        <w:ind w:left="0" w:right="420"/>
        <w:rPr>
          <w:rFonts w:ascii="宋体" w:hAnsi="宋体"/>
          <w:bCs/>
          <w:sz w:val="24"/>
        </w:rPr>
        <w:sectPr>
          <w:footnotePr/>
          <w:pgSz w:w="11906" w:h="16838"/>
          <w:pgMar w:top="1361" w:right="1418" w:bottom="1361" w:left="1588" w:header="851" w:footer="992" w:gutter="0"/>
          <w:cols w:num="1" w:space="720"/>
          <w:docGrid w:type="lines" w:linePitch="312" w:charSpace="0"/>
        </w:sectPr>
      </w:pPr>
    </w:p>
    <w:p>
      <w:pPr>
        <w:pStyle w:val="2"/>
        <w:rPr>
          <w:szCs w:val="28"/>
        </w:rPr>
      </w:pPr>
      <w:bookmarkStart w:id="152" w:name="_Toc317237647"/>
      <w:bookmarkStart w:id="153" w:name="_Toc17446"/>
      <w:bookmarkStart w:id="154" w:name="_Toc67843834"/>
      <w:bookmarkEnd w:id="113"/>
      <w:bookmarkEnd w:id="151"/>
      <w:r>
        <w:rPr>
          <w:rFonts w:hint="eastAsia"/>
          <w:szCs w:val="28"/>
        </w:rPr>
        <w:t>18、</w:t>
      </w:r>
      <w:bookmarkEnd w:id="152"/>
      <w:bookmarkEnd w:id="153"/>
      <w:r>
        <w:t>采购需求响应表</w:t>
      </w:r>
      <w:bookmarkEnd w:id="154"/>
    </w:p>
    <w:p>
      <w:pPr>
        <w:spacing w:before="240" w:line="480" w:lineRule="auto"/>
        <w:jc w:val="left"/>
      </w:pPr>
      <w:r>
        <w:t xml:space="preserve">招标编号：                        项目名称：     </w:t>
      </w:r>
    </w:p>
    <w:tbl>
      <w:tblPr>
        <w:jc w:val="left"/>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600" w:firstRow="0" w:lastRow="0" w:firstColumn="0" w:lastColumn="0" w:noHBand="1" w:noVBand="1"/>
      </w:tblPr>
      <w:tblGrid>
        <w:gridCol w:w="800"/>
        <w:gridCol w:w="2567"/>
        <w:gridCol w:w="2103"/>
        <w:gridCol w:w="1857"/>
        <w:gridCol w:w="1857"/>
      </w:tblGrid>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b/>
                <w:bCs/>
                <w:szCs w:val="21"/>
              </w:rPr>
            </w:pPr>
            <w:r>
              <w:rPr>
                <w:b/>
                <w:bCs/>
              </w:rPr>
              <w:t>序号</w:t>
            </w:r>
          </w:p>
        </w:tc>
        <w:tc>
          <w:tcPr>
            <w:tcW w:w="2567"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b/>
                <w:bCs/>
                <w:szCs w:val="21"/>
              </w:rPr>
            </w:pPr>
            <w:r>
              <w:rPr>
                <w:b/>
                <w:bCs/>
              </w:rPr>
              <w:t>磋商文件采购要求</w:t>
            </w:r>
          </w:p>
        </w:tc>
        <w:tc>
          <w:tcPr>
            <w:tcW w:w="2103"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b/>
                <w:bCs/>
                <w:szCs w:val="21"/>
              </w:rPr>
            </w:pPr>
            <w:r>
              <w:rPr>
                <w:b/>
                <w:bCs/>
              </w:rPr>
              <w:t>响应文件应答情况</w:t>
            </w:r>
          </w:p>
        </w:tc>
        <w:tc>
          <w:tcPr>
            <w:tcW w:w="1857"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b/>
                <w:bCs/>
                <w:szCs w:val="21"/>
              </w:rPr>
            </w:pPr>
            <w:r>
              <w:rPr>
                <w:b/>
                <w:bCs/>
              </w:rPr>
              <w:t>偏离/响应</w:t>
            </w:r>
          </w:p>
        </w:tc>
        <w:tc>
          <w:tcPr>
            <w:tcW w:w="1857"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b/>
                <w:bCs/>
                <w:szCs w:val="21"/>
              </w:rPr>
            </w:pPr>
            <w:r>
              <w:rPr>
                <w:b/>
                <w:bCs/>
              </w:rPr>
              <w:t>备注</w:t>
            </w: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r>
        <w:tc>
          <w:tcPr>
            <w:tcW w:w="800" w:type="dxa"/>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56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2103"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c>
          <w:tcPr>
            <w:tcW w:w="1857" w:type="dxa"/>
            <w:tcBorders>
              <w:left w:val="single" w:sz="4" w:space="0" w:color="auto"/>
            </w:tcBorders>
          </w:tcPr>
          <w:p>
            <w:pPr>
              <w:pBdr>
                <w:top w:val="none" w:sz="0" w:space="0" w:color="auto"/>
                <w:left w:val="none" w:sz="0" w:space="0" w:color="auto"/>
                <w:bottom w:val="none" w:sz="0" w:space="0" w:color="auto"/>
                <w:right w:val="none" w:sz="0" w:space="0" w:color="auto"/>
              </w:pBdr>
              <w:spacing w:before="240" w:line="480" w:lineRule="auto"/>
              <w:jc w:val="left"/>
              <w:rPr>
                <w:rFonts w:ascii="宋体" w:hAnsi="宋体"/>
                <w:szCs w:val="21"/>
              </w:rPr>
            </w:pPr>
          </w:p>
        </w:tc>
      </w:tr>
    </w:tbl>
    <w:p>
      <w:pPr>
        <w:jc w:val="left"/>
      </w:pPr>
      <w:r>
        <w:t>注：1．按照磋商文件第三章采购需求的全部内容的顺序对</w:t>
      </w:r>
      <w:r>
        <w:rPr>
          <w:highlight w:val="none"/>
        </w:rPr>
        <w:t xml:space="preserve">应逐条应答。 </w:t>
      </w:r>
    </w:p>
    <w:p>
      <w:pPr>
        <w:jc w:val="left"/>
      </w:pPr>
      <w:r>
        <w:t xml:space="preserve">2．供应商必须据实填写，不得虚假填写，否则将取消其报价或中选资格。 </w:t>
      </w:r>
    </w:p>
    <w:p>
      <w:pPr>
        <w:jc w:val="left"/>
        <w:rPr>
          <w:rFonts w:hAnsi="宋体"/>
        </w:rPr>
      </w:pPr>
      <w:r>
        <w:t>3．</w:t>
      </w:r>
      <w:r>
        <w:rPr>
          <w:rFonts w:hAnsi="宋体"/>
        </w:rPr>
        <w:t>采购需求</w:t>
      </w:r>
      <w:r>
        <w:rPr>
          <w:rFonts w:hAnsi="宋体" w:hint="eastAsia"/>
        </w:rPr>
        <w:t>中标注“★”的为实质性响应参数，投标人</w:t>
      </w:r>
      <w:r>
        <w:rPr>
          <w:rFonts w:hAnsi="宋体" w:hint="eastAsia"/>
          <w:lang w:val="en-US" w:eastAsia="zh-CN"/>
        </w:rPr>
        <w:t>须</w:t>
      </w:r>
      <w:r>
        <w:rPr>
          <w:rFonts w:hAnsi="宋体" w:hint="eastAsia"/>
        </w:rPr>
        <w:t>做实质性响应，不允许负偏离，否则视为无效投标；标注“▲”的为重要参数，投标人如不满足则根据综合评分要求进行相应扣分；未标注“▲”的为一般性参数，投标人如不满足则根据综合评分要求进行相应扣分。</w:t>
      </w:r>
    </w:p>
    <w:p>
      <w:pPr>
        <w:jc w:val="left"/>
      </w:pPr>
      <w:r>
        <w:t>4．</w:t>
      </w:r>
      <w:r>
        <w:rPr>
          <w:rFonts w:hAnsi="宋体"/>
        </w:rPr>
        <w:t>采购需求</w:t>
      </w:r>
      <w:r>
        <w:rPr>
          <w:rFonts w:hAnsi="宋体" w:hint="eastAsia"/>
        </w:rPr>
        <w:t>中</w:t>
      </w:r>
      <w:r>
        <w:rPr>
          <w:rFonts w:hAnsi="宋体"/>
          <w:highlight w:val="lightGray"/>
        </w:rPr>
        <w:t>如需</w:t>
      </w:r>
      <w:r>
        <w:rPr>
          <w:rFonts w:hAnsi="宋体"/>
          <w:lang w:val="en-US" w:eastAsia="zh-CN"/>
          <w:highlight w:val="lightGray"/>
        </w:rPr>
        <w:t>另</w:t>
      </w:r>
      <w:r>
        <w:rPr>
          <w:rFonts w:hAnsi="宋体" w:hint="eastAsia"/>
          <w:lang w:val="en-US" w:eastAsia="zh-CN"/>
          <w:highlight w:val="lightGray"/>
        </w:rPr>
        <w:t>附佐证</w:t>
      </w:r>
      <w:r>
        <w:rPr>
          <w:rFonts w:hAnsi="宋体" w:hint="eastAsia"/>
          <w:lang w:val="en-US" w:eastAsia="zh-CN" w:bidi="ar-SA"/>
          <w:highlight w:val="lightGray"/>
        </w:rPr>
        <w:t>材料</w:t>
      </w:r>
      <w:r>
        <w:rPr>
          <w:rFonts w:hAnsi="宋体"/>
          <w:lang w:val="en-US" w:eastAsia="zh-CN" w:bidi="ar-SA"/>
          <w:highlight w:val="lightGray"/>
        </w:rPr>
        <w:t>的需按要求</w:t>
      </w:r>
      <w:r>
        <w:rPr>
          <w:rFonts w:hAnsi="宋体"/>
          <w:lang w:val="en-US" w:eastAsia="zh-CN"/>
          <w:highlight w:val="lightGray"/>
        </w:rPr>
        <w:t>另</w:t>
      </w:r>
      <w:r>
        <w:rPr>
          <w:rFonts w:hAnsi="宋体" w:hint="eastAsia"/>
          <w:lang w:val="en-US" w:eastAsia="zh-CN"/>
          <w:highlight w:val="lightGray"/>
        </w:rPr>
        <w:t>附佐证</w:t>
      </w:r>
      <w:r>
        <w:rPr>
          <w:rFonts w:hAnsi="宋体" w:hint="eastAsia"/>
          <w:lang w:val="en-US" w:eastAsia="zh-CN" w:bidi="ar-SA"/>
          <w:highlight w:val="lightGray"/>
        </w:rPr>
        <w:t>材料并加盖公章</w:t>
      </w:r>
      <w:r>
        <w:rPr>
          <w:rFonts w:hAnsi="宋体"/>
          <w:lang w:val="en-US" w:eastAsia="zh-CN" w:bidi="ar-SA"/>
          <w:highlight w:val="lightGray"/>
        </w:rPr>
        <w:t>。</w:t>
      </w:r>
    </w:p>
    <w:p>
      <w:pPr>
        <w:spacing w:before="240" w:line="480" w:lineRule="auto"/>
        <w:jc w:val="right"/>
      </w:pPr>
      <w:r>
        <w:rPr>
          <w:rFonts w:ascii="宋体" w:hAnsi="宋体" w:hint="eastAsia"/>
          <w:szCs w:val="21"/>
        </w:rPr>
        <w:t xml:space="preserve">响应人名称（公章）： </w:t>
      </w:r>
    </w:p>
    <w:p>
      <w:pPr>
        <w:snapToGrid w:val="0"/>
        <w:spacing w:before="240" w:line="480" w:lineRule="auto"/>
        <w:jc w:val="right"/>
        <w:rPr>
          <w:rFonts w:ascii="宋体" w:hAnsi="宋体"/>
          <w:iCs/>
          <w:szCs w:val="21"/>
        </w:rPr>
      </w:pPr>
      <w:r>
        <w:rPr>
          <w:rFonts w:ascii="宋体" w:hAnsi="宋体" w:hint="eastAsia"/>
          <w:szCs w:val="21"/>
        </w:rPr>
        <w:t xml:space="preserve">         </w:t>
      </w:r>
      <w:r>
        <w:rPr>
          <w:rFonts w:ascii="宋体" w:hAnsi="宋体"/>
          <w:szCs w:val="21"/>
        </w:rPr>
        <w:t>法定代表人或其委托代理人</w:t>
      </w:r>
      <w:r>
        <w:rPr>
          <w:rFonts w:ascii="宋体" w:hAnsi="宋体" w:hint="eastAsia"/>
          <w:szCs w:val="21"/>
          <w:u w:val="single"/>
        </w:rPr>
        <w:t xml:space="preserve">：          </w:t>
      </w:r>
      <w:r>
        <w:rPr>
          <w:rFonts w:hint="eastAsia"/>
          <w:color w:val="000000"/>
        </w:rPr>
        <w:t>（签字或盖章）</w:t>
      </w:r>
      <w:r>
        <w:rPr>
          <w:rFonts w:ascii="宋体" w:hAnsi="宋体" w:hint="eastAsia"/>
          <w:iCs/>
          <w:szCs w:val="21"/>
        </w:rPr>
        <w:t xml:space="preserve">     </w:t>
      </w:r>
    </w:p>
    <w:p>
      <w:pPr>
        <w:jc w:val="right"/>
        <w:rPr>
          <w:rFonts w:ascii="宋体" w:hAnsi="宋体"/>
          <w:szCs w:val="21"/>
        </w:rPr>
      </w:pPr>
      <w:r>
        <w:rPr>
          <w:rFonts w:ascii="宋体" w:hAnsi="宋体" w:hint="eastAsia"/>
          <w:szCs w:val="21"/>
        </w:rPr>
        <w:t>日期：  年  月  日</w:t>
      </w:r>
      <w:r>
        <w:rPr>
          <w:rFonts w:ascii="宋体" w:hAnsi="宋体"/>
          <w:szCs w:val="21"/>
        </w:rPr>
        <w:br w:type="page"/>
      </w:r>
    </w:p>
    <w:p>
      <w:pPr>
        <w:rPr>
          <w:rFonts w:ascii="宋体" w:hAnsi="宋体"/>
          <w:szCs w:val="21"/>
        </w:rPr>
      </w:pPr>
    </w:p>
    <w:p>
      <w:pPr>
        <w:pStyle w:val="2"/>
        <w:rPr>
          <w:szCs w:val="28"/>
        </w:rPr>
      </w:pPr>
      <w:bookmarkStart w:id="155" w:name="_Toc67843835"/>
      <w:r>
        <w:rPr>
          <w:rFonts w:hint="eastAsia"/>
          <w:szCs w:val="28"/>
        </w:rPr>
        <w:t>1</w:t>
      </w:r>
      <w:r>
        <w:rPr>
          <w:szCs w:val="28"/>
        </w:rPr>
        <w:t>9</w:t>
      </w:r>
      <w:r>
        <w:rPr>
          <w:rFonts w:hint="eastAsia"/>
          <w:szCs w:val="28"/>
        </w:rPr>
        <w:t>、</w:t>
      </w:r>
      <w:r>
        <w:rPr>
          <w:rFonts w:ascii="宋体" w:hAnsi="宋体"/>
          <w:szCs w:val="21"/>
        </w:rPr>
        <w:t>技术服务方案</w:t>
      </w:r>
      <w:bookmarkEnd w:id="155"/>
    </w:p>
    <w:p>
      <w:pPr>
        <w:rPr>
          <w:rFonts w:ascii="宋体" w:hAnsi="宋体"/>
          <w:szCs w:val="21"/>
        </w:rPr>
      </w:pPr>
      <w:r>
        <w:rPr>
          <w:rFonts w:ascii="宋体" w:hAnsi="宋体"/>
          <w:szCs w:val="21"/>
        </w:rPr>
        <w:t>格式自拟</w:t>
        <w:br w:type="page"/>
      </w:r>
    </w:p>
    <w:p>
      <w:pPr>
        <w:pStyle w:val="2"/>
      </w:pPr>
      <w:bookmarkStart w:id="156" w:name="_Toc67843836"/>
      <w:r>
        <w:t>20</w:t>
      </w:r>
      <w:r>
        <w:rPr>
          <w:rFonts w:hint="eastAsia"/>
        </w:rPr>
        <w:t>、</w:t>
      </w:r>
      <w:r>
        <w:t>项目业绩表</w:t>
      </w:r>
      <w:bookmarkEnd w:id="156"/>
    </w:p>
    <w:p>
      <w:pPr>
        <w:spacing w:before="240" w:line="480" w:lineRule="auto"/>
        <w:jc w:val="left"/>
      </w:pPr>
      <w:r>
        <w:t xml:space="preserve">招标编号：                        项目名称：      </w:t>
      </w:r>
    </w:p>
    <w:tbl>
      <w:tblPr>
        <w:jc w:val="left"/>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600" w:firstRow="0" w:lastRow="0" w:firstColumn="0" w:lastColumn="0" w:noHBand="1" w:noVBand="1"/>
      </w:tblPr>
      <w:tblGrid>
        <w:gridCol w:w="760"/>
        <w:gridCol w:w="887"/>
        <w:gridCol w:w="1473"/>
        <w:gridCol w:w="1837"/>
        <w:gridCol w:w="1409"/>
        <w:gridCol w:w="1409"/>
        <w:gridCol w:w="1409"/>
      </w:tblGrid>
      <w:tr>
        <w:trPr>
          <w:trHeight w:val="685"/>
        </w:trPr>
        <w:tc>
          <w:tcPr>
            <w:tcW w:w="800" w:type="dxa"/>
            <w:vAlign w:val="center"/>
          </w:tcPr>
          <w:p>
            <w:pPr>
              <w:pBdr>
                <w:top w:val="none" w:sz="0" w:space="0" w:color="auto"/>
                <w:left w:val="none" w:sz="0" w:space="0" w:color="auto"/>
                <w:bottom w:val="none" w:sz="0" w:space="0" w:color="auto"/>
                <w:right w:val="none" w:sz="0" w:space="0" w:color="auto"/>
              </w:pBdr>
              <w:spacing w:beforeAutospacing="0" w:afterAutospacing="0"/>
              <w:jc w:val="center"/>
              <w:rPr>
                <w:rFonts w:ascii="宋体" w:hAnsi="宋体"/>
                <w:b/>
                <w:bCs/>
                <w:szCs w:val="21"/>
              </w:rPr>
            </w:pPr>
            <w:r>
              <w:rPr>
                <w:b/>
                <w:bCs/>
              </w:rPr>
              <w:t>序号</w:t>
            </w:r>
          </w:p>
        </w:tc>
        <w:tc>
          <w:tcPr>
            <w:tcW w:w="933" w:type="dxa"/>
            <w:vAlign w:val="center"/>
          </w:tcPr>
          <w:p>
            <w:pPr>
              <w:spacing w:before="0" w:beforeAutospacing="0" w:afterAutospacing="0"/>
              <w:jc w:val="center"/>
              <w:rPr>
                <w:b/>
                <w:bCs/>
              </w:rPr>
            </w:pPr>
            <w:r>
              <w:rPr>
                <w:b/>
                <w:bCs/>
              </w:rPr>
              <w:t>年份</w:t>
            </w:r>
          </w:p>
        </w:tc>
        <w:tc>
          <w:tcPr>
            <w:tcW w:w="1550" w:type="dxa"/>
            <w:vAlign w:val="center"/>
          </w:tcPr>
          <w:p>
            <w:pPr>
              <w:spacing w:before="0" w:beforeAutospacing="0" w:afterAutospacing="0"/>
              <w:jc w:val="center"/>
              <w:rPr>
                <w:b/>
                <w:bCs/>
              </w:rPr>
            </w:pPr>
            <w:r>
              <w:rPr>
                <w:b/>
                <w:bCs/>
              </w:rPr>
              <w:t>用户名称</w:t>
            </w:r>
          </w:p>
        </w:tc>
        <w:tc>
          <w:tcPr>
            <w:tcW w:w="1933" w:type="dxa"/>
            <w:vAlign w:val="center"/>
          </w:tcPr>
          <w:p>
            <w:pPr>
              <w:pBdr>
                <w:top w:val="none" w:sz="0" w:space="0" w:color="auto"/>
                <w:left w:val="none" w:sz="0" w:space="0" w:color="auto"/>
                <w:bottom w:val="none" w:sz="0" w:space="0" w:color="auto"/>
                <w:right w:val="none" w:sz="0" w:space="0" w:color="auto"/>
              </w:pBdr>
              <w:spacing w:beforeAutospacing="0" w:afterAutospacing="0"/>
              <w:jc w:val="center"/>
              <w:rPr>
                <w:rFonts w:hAnsi="宋体"/>
                <w:b/>
                <w:bCs/>
              </w:rPr>
            </w:pPr>
            <w:r>
              <w:rPr>
                <w:b/>
                <w:bCs/>
              </w:rPr>
              <w:t>项目名称</w:t>
            </w:r>
          </w:p>
        </w:tc>
        <w:tc>
          <w:tcPr>
            <w:tcW w:w="1483" w:type="dxa"/>
            <w:vAlign w:val="center"/>
          </w:tcPr>
          <w:p>
            <w:pPr>
              <w:pBdr>
                <w:top w:val="none" w:sz="0" w:space="0" w:color="auto"/>
                <w:left w:val="none" w:sz="0" w:space="0" w:color="auto"/>
                <w:bottom w:val="none" w:sz="0" w:space="0" w:color="auto"/>
                <w:right w:val="none" w:sz="0" w:space="0" w:color="auto"/>
              </w:pBdr>
              <w:spacing w:beforeAutospacing="0" w:afterAutospacing="0"/>
              <w:jc w:val="center"/>
              <w:rPr>
                <w:rFonts w:hAnsi="宋体"/>
                <w:b/>
                <w:bCs/>
              </w:rPr>
            </w:pPr>
            <w:r>
              <w:rPr>
                <w:b/>
                <w:bCs/>
              </w:rPr>
              <w:t>签订时间</w:t>
            </w:r>
          </w:p>
        </w:tc>
        <w:tc>
          <w:tcPr>
            <w:tcW w:w="1483" w:type="dxa"/>
            <w:vAlign w:val="center"/>
          </w:tcPr>
          <w:p>
            <w:pPr>
              <w:pBdr>
                <w:top w:val="none" w:sz="0" w:space="0" w:color="auto"/>
                <w:left w:val="none" w:sz="0" w:space="0" w:color="auto"/>
                <w:bottom w:val="none" w:sz="0" w:space="0" w:color="auto"/>
                <w:right w:val="none" w:sz="0" w:space="0" w:color="auto"/>
              </w:pBdr>
              <w:spacing w:beforeAutospacing="0" w:afterAutospacing="0"/>
              <w:jc w:val="center"/>
              <w:rPr>
                <w:b/>
                <w:bCs/>
              </w:rPr>
            </w:pPr>
            <w:r>
              <w:rPr>
                <w:b/>
                <w:bCs/>
              </w:rPr>
              <w:t>合同金额</w:t>
            </w:r>
          </w:p>
        </w:tc>
        <w:tc>
          <w:tcPr>
            <w:tcW w:w="1483" w:type="dxa"/>
            <w:vAlign w:val="center"/>
          </w:tcPr>
          <w:p>
            <w:pPr>
              <w:pBdr>
                <w:top w:val="none" w:sz="0" w:space="0" w:color="auto"/>
                <w:left w:val="none" w:sz="0" w:space="0" w:color="auto"/>
                <w:bottom w:val="none" w:sz="0" w:space="0" w:color="auto"/>
                <w:right w:val="none" w:sz="0" w:space="0" w:color="auto"/>
              </w:pBdr>
              <w:spacing w:beforeAutospacing="0" w:afterAutospacing="0"/>
              <w:jc w:val="center"/>
              <w:rPr>
                <w:b/>
                <w:bCs/>
              </w:rPr>
            </w:pPr>
            <w:r>
              <w:rPr>
                <w:b/>
                <w:bCs/>
              </w:rPr>
              <w:t>备注</w:t>
            </w: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r>
        <w:tc>
          <w:tcPr>
            <w:tcW w:w="800" w:type="dxa"/>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550"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93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c>
          <w:tcPr>
            <w:tcW w:w="1483" w:type="dxa"/>
            <w:tcBorders>
              <w:left w:val="single" w:sz="4" w:space="0" w:color="auto"/>
            </w:tcBorders>
            <w:vAlign w:val="center"/>
          </w:tcPr>
          <w:p>
            <w:pPr>
              <w:pBdr>
                <w:top w:val="none" w:sz="0" w:space="0" w:color="auto"/>
                <w:left w:val="none" w:sz="0" w:space="0" w:color="auto"/>
                <w:bottom w:val="none" w:sz="0" w:space="0" w:color="auto"/>
                <w:right w:val="none" w:sz="0" w:space="0" w:color="auto"/>
              </w:pBdr>
              <w:spacing w:before="240" w:line="480" w:lineRule="auto"/>
              <w:jc w:val="center"/>
              <w:rPr>
                <w:rFonts w:ascii="宋体" w:hAnsi="宋体"/>
                <w:szCs w:val="21"/>
              </w:rPr>
            </w:pPr>
          </w:p>
        </w:tc>
      </w:tr>
    </w:tbl>
    <w:p>
      <w:pPr>
        <w:rPr>
          <w:rFonts w:ascii="Arial" w:eastAsia="黑体" w:hAnsi="Arial"/>
          <w:b/>
          <w:sz w:val="32"/>
          <w:szCs w:val="32"/>
        </w:rPr>
      </w:pPr>
      <w:r>
        <w:rPr>
          <w:rFonts w:ascii="Arial" w:eastAsia="黑体" w:hAnsi="Arial"/>
          <w:b/>
          <w:sz w:val="32"/>
          <w:szCs w:val="32"/>
        </w:rPr>
        <w:br w:type="page"/>
      </w:r>
    </w:p>
    <w:p>
      <w:pPr>
        <w:pStyle w:val="2"/>
        <w:spacing w:line="360" w:lineRule="auto"/>
        <w:rPr>
          <w:rFonts w:hAnsi="Arial"/>
          <w:b/>
        </w:rPr>
      </w:pPr>
      <w:bookmarkStart w:id="157" w:name="_Toc67843837"/>
      <w:r>
        <w:rPr>
          <w:rFonts w:hAnsi="Arial"/>
          <w:b/>
        </w:rPr>
        <w:t>21、其它说明材料</w:t>
      </w:r>
      <w:bookmarkEnd w:id="157"/>
    </w:p>
    <w:p>
      <w:pPr>
        <w:rPr>
          <w:rFonts w:hAnsi="宋体"/>
        </w:rPr>
      </w:pPr>
      <w:r>
        <w:t>磋商文件要求提供的其它证明材料或供应商根据情况自行提供补充说明材料证明的文件。（格式自定</w:t>
      </w:r>
    </w:p>
    <w:sectPr>
      <w:pgSz w:w="11906" w:h="16838"/>
      <w:pgMar w:top="1361" w:right="1418" w:bottom="1361" w:left="1418" w:header="851" w:footer="992" w:gutter="0"/>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34"/>
    <w:family w:val="auto"/>
    <w:pitch w:val="variable"/>
    <w:sig w:usb0="00000003" w:usb1="288F0000" w:usb2="00000006" w:usb3="00000000" w:csb0="00040001" w:csb1="00000000"/>
  </w:font>
  <w:font w:name="仿宋_GB2312">
    <w:panose1 w:val="02010609030101010101"/>
    <w:charset w:val="86"/>
    <w:family w:val="modern"/>
    <w:pitch w:val="variable"/>
    <w:sig w:usb0="00000001" w:usb1="080E0000" w:usb2="00000000" w:usb3="00000000" w:csb0="00040000" w:csb1="00000000"/>
  </w:font>
  <w:font w:name="华文细黑">
    <w:panose1 w:val="02010600040101010101"/>
    <w:charset w:val="86"/>
    <w:family w:val="auto"/>
    <w:pitch w:val="variable"/>
    <w:sig w:usb0="00000287" w:usb1="080F0000" w:usb2="00000000" w:usb3="00000000" w:csb0="0004009F" w:csb1="DFD70000"/>
  </w:font>
  <w:font w:name="Arial">
    <w:panose1 w:val="020B0604020202020204"/>
    <w:charset w:val="01"/>
    <w:family w:val="swiss"/>
    <w:pitch w:val="variable"/>
    <w:sig w:usb0="E0002AFF" w:usb1="C0007843" w:usb2="00000009" w:usb3="00000000" w:csb0="400001FF" w:csb1="FFFF0000"/>
  </w:font>
  <w:font w:name="Times New Roman">
    <w:panose1 w:val="02020603050405020304"/>
    <w:charset w:val="CC"/>
    <w:family w:val="roman"/>
    <w:pitch w:val="variable"/>
    <w:sig w:usb0="E0002AFF" w:usb1="C0007841" w:usb2="00000009" w:usb3="00000000" w:csb0="400001FF" w:csb1="FFFF0000"/>
  </w:font>
  <w:font w:name="等线">
    <w:altName w:val="微软雅黑"/>
    <w:panose1 w:val="02010600030101010101"/>
    <w:charset w:val="86"/>
    <w:family w:val="auto"/>
    <w:pitch w:val="variable"/>
    <w:sig w:usb0="00000000" w:usb1="00000000" w:usb2="00000016" w:usb3="00000000" w:csb0="0004000F" w:csb1="00000000"/>
  </w:font>
  <w:font w:name="Wingdings 2">
    <w:altName w:val="Wingdings"/>
    <w:panose1 w:val="05020102010507070707"/>
    <w:charset w:val="02"/>
    <w:family w:val="auto"/>
    <w:pitch w:val="variable"/>
    <w:sig w:usb0="00000000" w:usb1="00000000" w:usb2="00000000" w:usb3="00000000" w:csb0="80000000" w:csb1="00000000"/>
  </w:font>
  <w:font w:name="仿宋">
    <w:panose1 w:val="02010609060101010101"/>
    <w:charset w:val="86"/>
    <w:family w:val="auto"/>
    <w:pitch w:val="variable"/>
    <w:sig w:usb0="800002BF" w:usb1="38CF7CFA" w:usb2="00000016" w:usb3="00000000" w:csb0="00040001" w:csb1="00000000"/>
  </w:font>
  <w:font w:name="楷体">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2000019F" w:csb1="00000000"/>
  </w:font>
  <w:font w:name="Courier New">
    <w:panose1 w:val="02070309020205020404"/>
    <w:charset w:val="01"/>
    <w:family w:val="modern"/>
    <w:pitch w:val="variable"/>
    <w:sig w:usb0="E0002AFF" w:usb1="C0007843" w:usb2="00000009" w:usb3="00000000" w:csb0="400001FF" w:csb1="FFFF0000"/>
  </w:font>
  <w:font w:name="Georgia">
    <w:panose1 w:val="02040502050405020303"/>
    <w:charset w:val="00"/>
    <w:family w:val="roman"/>
    <w:pitch w:val="variable"/>
    <w:sig w:usb0="00000287" w:usb1="00000000" w:usb2="00000000" w:usb3="00000000" w:csb0="2000009F" w:csb1="00000000"/>
  </w:font>
  <w:font w:name="楷体_GB2312">
    <w:panose1 w:val="02010609030101010101"/>
    <w:charset w:val="86"/>
    <w:family w:val="auto"/>
    <w:pitch w:val="variable"/>
    <w:sig w:usb0="00000001" w:usb1="080E0000" w:usb2="00000000" w:usb3="00000000" w:csb0="00040000" w:csb1="00000000"/>
  </w:font>
  <w:font w:name="PingFang SC">
    <w:altName w:val="宋体"/>
    <w:panose1 w:val="020B0400000000000000"/>
    <w:charset w:val="86"/>
    <w:family w:val="auto"/>
    <w:pitch w:val="variable"/>
    <w:sig w:usb0="00000000" w:usb1="00000000" w:usb2="00000017"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6"/>
      <w:tabs>
        <w:tab w:val="center" w:pos="4153"/>
        <w:tab w:val="right" w:pos="8306"/>
      </w:tabs>
      <w:ind w:firstLine="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6"/>
      <w:tabs>
        <w:tab w:val="center" w:pos="4153"/>
        <w:tab w:val="right" w:pos="8306"/>
      </w:tabs>
      <w:jc w:val="center"/>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6"/>
      <w:tabs>
        <w:tab w:val="center" w:pos="4153"/>
        <w:tab w:val="right" w:pos="8306"/>
      </w:tabs>
      <w:jc w:val="center"/>
    </w:pPr>
    <w:r>
      <w:rPr>
        <w:sz w:val="21"/>
        <w:szCs w:val="21"/>
        <w:lang w:val="zh-CN"/>
      </w:rPr>
      <w:t xml:space="preserve"> </w:t>
    </w:r>
    <w:r>
      <w:rPr>
        <w:b/>
        <w:bCs/>
        <w:sz w:val="21"/>
        <w:szCs w:val="21"/>
      </w:rPr>
      <w:fldChar w:fldCharType="begin"/>
    </w:r>
    <w:r>
      <w:rPr>
        <w:b/>
        <w:bCs/>
        <w:sz w:val="21"/>
        <w:szCs w:val="21"/>
      </w:rPr>
      <w:instrText>PAGE</w:instrText>
    </w:r>
    <w:r>
      <w:rPr>
        <w:b/>
        <w:bCs/>
        <w:sz w:val="21"/>
        <w:szCs w:val="21"/>
      </w:rPr>
      <w:fldChar w:fldCharType="separate"/>
    </w:r>
    <w:r>
      <w:rPr>
        <w:b/>
        <w:bCs/>
        <w:sz w:val="21"/>
        <w:szCs w:val="21"/>
        <w:lang w:val="zh-CN"/>
      </w:rPr>
      <w:t>2</w:t>
    </w:r>
    <w:r>
      <w:rPr>
        <w:b/>
        <w:bCs/>
        <w:sz w:val="21"/>
        <w:szCs w:val="21"/>
      </w:rPr>
      <w:fldChar w:fldCharType="end"/>
    </w:r>
    <w:r>
      <w:rPr>
        <w:sz w:val="21"/>
        <w:szCs w:val="21"/>
        <w:lang w:val="zh-CN"/>
      </w:rPr>
      <w:t xml:space="preserve"> / </w:t>
    </w:r>
    <w:r>
      <w:rPr>
        <w:b/>
        <w:bCs/>
        <w:sz w:val="21"/>
        <w:szCs w:val="21"/>
      </w:rPr>
      <w:t>12</w:t>
    </w:r>
  </w:p>
  <w:p>
    <w:pPr>
      <w:pStyle w:val="26"/>
      <w:tabs>
        <w:tab w:val="center" w:pos="4153"/>
        <w:tab w:val="right" w:pos="8306"/>
      </w:tabs>
      <w:jc w:val="cente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33"/>
      </w:rPr>
      <w:fldChar w:fldCharType="begin"/>
    </w:r>
    <w:r>
      <w:rPr>
        <w:rStyle w:val="33"/>
      </w:rPr>
      <w:instrText>Page</w:instrText>
    </w:r>
    <w:r>
      <w:rPr>
        <w:rStyle w:val="33"/>
      </w:rPr>
      <w:fldChar w:fldCharType="separate"/>
    </w:r>
    <w:r>
      <w:rPr>
        <w:rStyle w:val="33"/>
      </w:rPr>
      <w:t>2</w:t>
    </w:r>
    <w:r>
      <w:rPr>
        <w:rStyle w:val="33"/>
      </w:rPr>
      <w:fldChar w:fldCharType="end"/>
    </w:r>
  </w:p>
  <w:p>
    <w:pPr>
      <w:pStyle w:val="26"/>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33"/>
      </w:rPr>
      <w:fldChar w:fldCharType="begin"/>
    </w:r>
    <w:r>
      <w:rPr>
        <w:rStyle w:val="33"/>
      </w:rPr>
      <w:instrText>Page</w:instrText>
    </w:r>
    <w:r>
      <w:rPr>
        <w:rStyle w:val="33"/>
      </w:rPr>
      <w:fldChar w:fldCharType="separate"/>
    </w:r>
    <w:r>
      <w:rPr>
        <w:rStyle w:val="33"/>
      </w:rPr>
      <w:t>1</w:t>
    </w:r>
    <w:r>
      <w:rPr>
        <w:rStyle w:val="33"/>
      </w:rPr>
      <w:fldChar w:fldCharType="end"/>
    </w:r>
  </w:p>
  <w:p>
    <w:pPr>
      <w:pStyle w:val="26"/>
      <w:framePr w:w="0" w:hRule="auto" w:wrap="around" w:vAnchor="text" w:hAnchor="margin" w:xAlign="center" w:y="1" w:anchorLock="0"/>
      <w:tabs>
        <w:tab w:val="center" w:pos="4153"/>
        <w:tab w:val="right" w:pos="8306"/>
      </w:tabs>
      <w:rPr>
        <w:rStyle w:val="63"/>
      </w:rPr>
    </w:pPr>
    <w:r>
      <w:rPr>
        <w:rStyle w:val="63"/>
      </w:rPr>
      <w:fldChar w:fldCharType="begin"/>
    </w:r>
    <w:r>
      <w:rPr>
        <w:rStyle w:val="63"/>
      </w:rPr>
      <w:instrText xml:space="preserve">PAGE  </w:instrText>
    </w:r>
    <w:r>
      <w:fldChar w:fldCharType="separate"/>
    </w:r>
    <w:r>
      <w:rPr>
        <w:rStyle w:val="63"/>
      </w:rPr>
      <w:t>1</w:t>
    </w:r>
    <w:r>
      <w:fldChar w:fldCharType="end"/>
    </w:r>
  </w:p>
  <w:p>
    <w:pPr>
      <w:pStyle w:val="26"/>
      <w:tabs>
        <w:tab w:val="center" w:pos="4153"/>
        <w:tab w:val="right" w:pos="8306"/>
      </w:tabs>
    </w:pPr>
  </w:p>
</w:ftr>
</file>

<file path=word/footnotes.xml><?xml version="1.0" encoding="utf-8"?>
<w:footnotes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footnote w:type="separator" w:id="0">
    <w:p>
      <w:r>
        <w:separator/>
      </w:r>
    </w:p>
  </w:footnote>
  <w:footnote w:type="continuationSeparator" w:id="1">
    <w:p>
      <w:r>
        <w:continuationSeparator/>
      </w:r>
    </w:p>
  </w:footnote>
  <w:footnote w:id="2">
    <w:p>
      <w:pPr>
        <w:pStyle w:val="29"/>
        <w:spacing w:line="360" w:lineRule="auto"/>
        <w:rPr>
          <w:sz w:val="21"/>
          <w:szCs w:val="21"/>
        </w:rPr>
      </w:pPr>
      <w:r>
        <w:rPr>
          <w:rStyle w:val="37"/>
          <w:sz w:val="21"/>
          <w:szCs w:val="21"/>
        </w:rPr>
        <w:footnoteRef/>
      </w:r>
      <w:r>
        <w:rPr>
          <w:rFonts w:hint="eastAsia"/>
          <w:sz w:val="21"/>
          <w:szCs w:val="21"/>
        </w:rPr>
        <w:t>注：</w:t>
      </w:r>
    </w:p>
    <w:p>
      <w:pPr>
        <w:pStyle w:val="29"/>
        <w:spacing w:line="360" w:lineRule="auto"/>
        <w:rPr>
          <w:sz w:val="21"/>
          <w:szCs w:val="21"/>
        </w:rPr>
      </w:pPr>
      <w:r>
        <w:rPr>
          <w:rFonts w:hint="eastAsia"/>
          <w:sz w:val="21"/>
          <w:szCs w:val="21"/>
        </w:rPr>
        <w:t>1、</w:t>
      </w:r>
      <w:r>
        <w:rPr>
          <w:sz w:val="21"/>
          <w:szCs w:val="21"/>
        </w:rPr>
        <w:t>从业人员、 营业收入、 资产总额填报上一年度数据， 无上一年度数据的新成立企业可不填报。</w:t>
      </w:r>
    </w:p>
  </w:footnote>
  <w:footnote w:id="3">
    <w:p>
      <w:pPr>
        <w:pStyle w:val="29"/>
        <w:spacing w:line="360" w:lineRule="auto"/>
        <w:rPr>
          <w:sz w:val="21"/>
          <w:szCs w:val="21"/>
        </w:rPr>
      </w:pPr>
      <w:r>
        <w:rPr>
          <w:rStyle w:val="37"/>
          <w:sz w:val="21"/>
          <w:szCs w:val="21"/>
        </w:rPr>
        <w:footnoteRef/>
      </w:r>
      <w:r>
        <w:rPr>
          <w:sz w:val="21"/>
          <w:szCs w:val="21"/>
        </w:rPr>
        <w:t xml:space="preserve"> 注：</w:t>
      </w:r>
    </w:p>
    <w:p>
      <w:pPr>
        <w:snapToGrid w:val="0"/>
        <w:spacing w:line="360" w:lineRule="auto"/>
        <w:ind w:firstLineChars="200" w:firstLine="420"/>
        <w:rPr>
          <w:szCs w:val="21"/>
        </w:rPr>
      </w:pPr>
      <w:r>
        <w:rPr>
          <w:rFonts w:hint="eastAsia"/>
          <w:szCs w:val="21"/>
        </w:rPr>
        <w:t>1、</w:t>
      </w:r>
      <w:r>
        <w:rPr>
          <w:szCs w:val="21"/>
        </w:rPr>
        <w:t>在政府采购活动中，监狱企业视同小型、微型企业，享受预留份额、评审中价格扣除等政府采购促进中小企业发展的政府采购政策。</w:t>
      </w:r>
    </w:p>
    <w:p>
      <w:pPr>
        <w:adjustRightInd w:val="0"/>
        <w:snapToGrid w:val="0"/>
        <w:spacing w:line="360" w:lineRule="auto"/>
        <w:ind w:firstLineChars="200" w:firstLine="420"/>
        <w:rPr>
          <w:szCs w:val="21"/>
        </w:rPr>
      </w:pPr>
      <w:r>
        <w:rPr>
          <w:rFonts w:hint="eastAsia"/>
          <w:szCs w:val="21"/>
        </w:rPr>
        <w:t>2、投标人为非监狱企业的，可不提供此项证明文件。</w:t>
      </w:r>
    </w:p>
    <w:p>
      <w:pPr>
        <w:snapToGrid w:val="0"/>
        <w:spacing w:line="360" w:lineRule="auto"/>
        <w:ind w:firstLineChars="200" w:firstLine="420"/>
        <w:rPr>
          <w:color w:val="000000"/>
          <w:szCs w:val="21"/>
        </w:rPr>
      </w:pPr>
      <w:r>
        <w:rPr>
          <w:rFonts w:hint="eastAsia"/>
          <w:color w:val="000000"/>
          <w:szCs w:val="21"/>
        </w:rPr>
        <w:t>3、</w:t>
      </w:r>
      <w:r>
        <w:rPr>
          <w:color w:val="000000"/>
          <w:szCs w:val="21"/>
        </w:rPr>
        <w:t>成交</w:t>
      </w:r>
      <w:r>
        <w:rPr>
          <w:rFonts w:hint="eastAsia"/>
          <w:color w:val="000000"/>
          <w:szCs w:val="21"/>
        </w:rPr>
        <w:t>供应商</w:t>
      </w:r>
      <w:r>
        <w:rPr>
          <w:color w:val="000000"/>
          <w:szCs w:val="21"/>
        </w:rPr>
        <w:t>为监狱企业且评审中享受了监狱企业相关政府采购支持政策的，其《监狱企业声明函》将在中标、中选公示中公告，接受社会监督。</w:t>
      </w:r>
    </w:p>
  </w:footnote>
</w:footnotes>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7"/>
      <w:tabs>
        <w:tab w:val="center" w:pos="4153"/>
        <w:tab w:val="right" w:pos="8306"/>
      </w:tabs>
      <w:ind w:firstLine="360"/>
      <w:jc w:val="right"/>
    </w:pPr>
    <w:r>
      <w:drawing>
        <wp:inline distT="0" distB="0" distL="85725" distR="85725">
          <wp:extent cx="1437640" cy="323851"/>
          <wp:effectExtent l="0" t="0" r="1" b="1"/>
          <wp:docPr id="2" name="图片 2"/>
          <wp:cNvGraphicFramePr>
            <a:graphicFrameLocks noChangeAspect="1"/>
          </wp:cNvGraphicFramePr>
          <a:graphic>
            <a:graphicData uri="http://schemas.openxmlformats.org/drawingml/2006/picture">
              <pic:pic>
                <pic:nvPicPr>
                  <pic:cNvPr id="2" name="图片 2"/>
                  <pic:cNvPicPr/>
                </pic:nvPicPr>
                <pic:blipFill>
                  <a:blip r:embed="rId1"/>
                  <a:stretch>
                    <a:fillRect/>
                  </a:stretch>
                </pic:blipFill>
                <pic:spPr>
                  <a:xfrm rot="0">
                    <a:off x="0" y="0"/>
                    <a:ext cx="1437640" cy="323851"/>
                  </a:xfrm>
                  <a:prstGeom prst="rect"/>
                  <a:noFill/>
                  <a:ln w="9525" cmpd="sng" cap="flat">
                    <a:noFill/>
                    <a:prstDash val="solid"/>
                    <a:miter/>
                  </a:ln>
                  <a:effectLst/>
                </pic:spPr>
              </pic:pic>
            </a:graphicData>
          </a:graphic>
        </wp:inline>
      </w:drawing>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7"/>
      <w:pBdr>
        <w:top w:val="none" w:sz="0" w:space="1" w:color="auto"/>
        <w:left w:val="none" w:sz="0" w:space="4" w:color="auto"/>
        <w:bottom w:val="none" w:sz="0" w:space="0" w:color="auto"/>
        <w:right w:val="none" w:sz="0" w:space="4" w:color="auto"/>
      </w:pBdr>
      <w:tabs>
        <w:tab w:val="center" w:pos="4153"/>
        <w:tab w:val="right" w:pos="8306"/>
      </w:tabs>
    </w:pPr>
  </w:p>
  <w:p>
    <w:pPr>
      <w:pStyle w:val="27"/>
      <w:pBdr>
        <w:top w:val="none" w:sz="0" w:space="1" w:color="auto"/>
        <w:left w:val="none" w:sz="0" w:space="4" w:color="auto"/>
        <w:bottom w:val="none" w:sz="0" w:space="0" w:color="auto"/>
        <w:right w:val="none" w:sz="0" w:space="4"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F47F0EA"/>
    <w:multiLevelType w:val="singleLevel"/>
    <w:tmpl w:val="FF47F0EA"/>
    <w:lvl w:ilvl="0">
      <w:start w:val="1"/>
      <w:numFmt w:val="decimal"/>
      <w:lvlRestart w:val="0"/>
      <w:suff w:val="nothing"/>
      <w:lvlText w:val="%1、"/>
      <w:lvlJc w:val="left"/>
      <w:pPr/>
    </w:lvl>
  </w:abstractNum>
  <w:abstractNum w:abstractNumId="1">
    <w:nsid w:val="57C3F3D7"/>
    <w:multiLevelType w:val="singleLevel"/>
    <w:tmpl w:val="57C3F3D7"/>
    <w:lvl w:ilvl="0">
      <w:start w:val="1"/>
      <w:numFmt w:val="decimal"/>
      <w:lvlRestart w:val="0"/>
      <w:suff w:val="nothing"/>
      <w:lvlText w:val="（%1）"/>
      <w:lvlJc w:val="left"/>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bordersDoNotSurroundFooter/>
  <w:defaultTabStop w:val="420"/>
  <w:drawingGridHorizontalSpacing w:val="0"/>
  <w:drawingGridVerticalSpacing w:val="156"/>
  <w:displayHorizontalDrawingGridEvery w:val="0"/>
  <w:displayVerticalDrawingGridEvery w:val="1"/>
  <w:noPunctuationKerning/>
  <w:characterSpacingControl w:val="compressPunctuation"/>
  <w:footnotePr>
    <w:footnote w:id="0"/>
    <w:footnote w:id="1"/>
  </w:footnotePr>
  <w:compat>
    <w:spaceForUL/>
    <w:balanceSingleByteDoubleByteWidth/>
    <w:ulTrailSpace/>
    <w:doNotExpandShiftReturn/>
    <w:adjustLineHeightInTable/>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doNotIncludeSubdocsInStat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qFormat/>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qFormat/>
    <w:basedOn w:val="0"/>
    <w:next w:val="0"/>
    <w:link w:val="2Char"/>
    <w:pPr>
      <w:keepNext/>
      <w:keepLines/>
      <w:spacing w:line="360" w:lineRule="auto"/>
      <w:outlineLvl w:val="1"/>
    </w:pPr>
    <w:rPr>
      <w:rFonts w:ascii="Arial" w:eastAsia="黑体" w:hAnsi="Arial"/>
      <w:b/>
      <w:bCs/>
      <w:sz w:val="32"/>
      <w:szCs w:val="32"/>
    </w:rPr>
  </w:style>
  <w:style w:type="character" w:customStyle="1" w:styleId="2Char">
    <w:name w:val="heading 2 Char"/>
    <w:basedOn w:val="10"/>
    <w:link w:val="2"/>
    <w:rPr>
      <w:rFonts w:ascii="Arial" w:eastAsia="黑体" w:cs="Times New Roman" w:hAnsi="Arial"/>
      <w:b/>
      <w:bCs/>
      <w:kern w:val="2"/>
      <w:sz w:val="32"/>
      <w:szCs w:val="32"/>
      <w:lang w:val="en-US" w:eastAsia="zh-CN" w:bidi="ar-SA"/>
    </w:rPr>
  </w:style>
  <w:style w:type="paragraph" w:styleId="3">
    <w:name w:val="heading 3"/>
    <w:qFormat/>
    <w:basedOn w:val="0"/>
    <w:next w:val="0"/>
    <w:link w:val="3Char"/>
    <w:pPr>
      <w:keepNext/>
      <w:keepLines/>
      <w:spacing w:line="413" w:lineRule="auto"/>
      <w:outlineLvl w:val="2"/>
    </w:pPr>
    <w:rPr>
      <w:b/>
      <w:sz w:val="32"/>
    </w:rPr>
  </w:style>
  <w:style w:type="character" w:customStyle="1" w:styleId="3Char">
    <w:name w:val="heading 3 Char"/>
    <w:basedOn w:val="10"/>
    <w:link w:val="3"/>
    <w:rPr>
      <w:rFonts w:ascii="Times New Roman" w:eastAsia="宋体" w:cs="Times New Roman" w:hAnsi="Times New Roman"/>
      <w:b/>
      <w:kern w:val="2"/>
      <w:sz w:val="32"/>
      <w:szCs w:val="24"/>
      <w:lang w:val="en-US" w:eastAsia="zh-CN" w:bidi="ar-SA"/>
    </w:rPr>
  </w:style>
  <w:style w:type="paragraph" w:styleId="4">
    <w:name w:val="heading 4"/>
    <w:qFormat/>
    <w:basedOn w:val="0"/>
    <w:next w:val="0"/>
    <w:link w:val="4Char"/>
    <w:pPr>
      <w:tabs>
        <w:tab w:val="left" w:pos="425"/>
        <w:tab w:val="left" w:pos="992"/>
      </w:tabs>
      <w:spacing w:line="360" w:lineRule="auto"/>
      <w:jc w:val="left"/>
      <w:outlineLvl w:val="3"/>
    </w:pPr>
    <w:rPr>
      <w:rFonts w:ascii="宋体" w:hAnsi="宋体"/>
      <w:b/>
      <w:bCs/>
      <w:sz w:val="24"/>
      <w:szCs w:val="28"/>
    </w:rPr>
  </w:style>
  <w:style w:type="character" w:customStyle="1" w:styleId="4Char">
    <w:name w:val="heading 4 Char"/>
    <w:basedOn w:val="10"/>
    <w:link w:val="4"/>
    <w:rPr>
      <w:rFonts w:ascii="宋体" w:eastAsia="宋体" w:cs="Times New Roman" w:hAnsi="宋体"/>
      <w:b/>
      <w:bCs/>
      <w:kern w:val="2"/>
      <w:sz w:val="24"/>
      <w:szCs w:val="28"/>
      <w:lang w:val="en-US" w:eastAsia="zh-CN" w:bidi="ar-SA"/>
    </w:rPr>
  </w:style>
  <w:style w:type="paragraph" w:styleId="5">
    <w:name w:val="heading 5"/>
    <w:qFormat/>
    <w:basedOn w:val="0"/>
    <w:next w:val="0"/>
    <w:link w:val="5Char"/>
    <w:pPr>
      <w:keepNext/>
      <w:keepLines/>
      <w:spacing w:before="280" w:after="290" w:line="377" w:lineRule="auto"/>
      <w:outlineLvl w:val="4"/>
    </w:pPr>
    <w:rPr>
      <w:b/>
      <w:bCs/>
      <w:sz w:val="28"/>
      <w:szCs w:val="28"/>
    </w:rPr>
  </w:style>
  <w:style w:type="character" w:customStyle="1" w:styleId="5Char">
    <w:name w:val="heading 5 Char"/>
    <w:basedOn w:val="10"/>
    <w:link w:val="5"/>
    <w:rPr>
      <w:rFonts w:ascii="Times New Roman" w:eastAsia="宋体" w:cs="Times New Roman" w:hAnsi="Times New Roman"/>
      <w:b/>
      <w:bCs/>
      <w:kern w:val="2"/>
      <w:sz w:val="28"/>
      <w:szCs w:val="28"/>
      <w:lang w:val="en-US" w:eastAsia="zh-CN" w:bidi="ar-SA"/>
    </w:rPr>
  </w:style>
  <w:style w:type="character" w:default="1" w:styleId="10">
    <w:name w:val="Default Paragraph Font"/>
    <w:qFormat/>
  </w:style>
  <w:style w:type="paragraph" w:customStyle="1" w:yozoId="4094" w:styleId="15">
    <w:name w:val="表格文字"/>
    <w:qFormat/>
    <w:basedOn w:val="0"/>
    <w:pPr>
      <w:spacing w:before="25" w:after="25"/>
      <w:jc w:val="left"/>
    </w:pPr>
    <w:rPr>
      <w:rFonts w:ascii="Times New Roman" w:hAnsi="Times New Roman"/>
      <w:bCs/>
      <w:spacing w:val="10"/>
      <w:kern w:val="0"/>
      <w:sz w:val="24"/>
      <w:szCs w:val="20"/>
    </w:rPr>
  </w:style>
  <w:style w:type="paragraph" w:styleId="16">
    <w:name w:val="Normal Indent"/>
    <w:qFormat/>
    <w:basedOn w:val="0"/>
    <w:pPr>
      <w:ind w:firstLineChars="200" w:firstLine="200"/>
    </w:pPr>
  </w:style>
  <w:style w:type="paragraph" w:styleId="17">
    <w:name w:val="Document Map"/>
    <w:qFormat/>
    <w:basedOn w:val="0"/>
    <w:rPr>
      <w:rFonts w:ascii="微软雅黑" w:hAnsi="微软雅黑"/>
      <w:sz w:val="18"/>
      <w:szCs w:val="18"/>
    </w:rPr>
  </w:style>
  <w:style w:type="paragraph" w:styleId="18">
    <w:name w:val="annotation text"/>
    <w:qFormat/>
    <w:basedOn w:val="0"/>
    <w:pPr>
      <w:jc w:val="left"/>
    </w:pPr>
  </w:style>
  <w:style w:type="paragraph" w:styleId="19">
    <w:name w:val="Body Text 3"/>
    <w:qFormat/>
    <w:basedOn w:val="0"/>
    <w:rPr>
      <w:rFonts w:ascii="宋体"/>
      <w:sz w:val="24"/>
      <w:szCs w:val="20"/>
    </w:rPr>
  </w:style>
  <w:style w:type="paragraph" w:styleId="20">
    <w:name w:val="Body Text"/>
    <w:qFormat/>
    <w:basedOn w:val="0"/>
    <w:pPr>
      <w:spacing w:after="120"/>
    </w:pPr>
    <w:rPr>
      <w:rFonts w:ascii="Calibri" w:eastAsia="宋体" w:hAnsi="Calibri"/>
      <w:sz w:val="21"/>
    </w:rPr>
  </w:style>
  <w:style w:type="paragraph" w:styleId="21">
    <w:name w:val="Body Text Indent"/>
    <w:qFormat/>
    <w:basedOn w:val="0"/>
    <w:pPr>
      <w:spacing w:before="100" w:beforeAutospacing="1" w:after="120"/>
      <w:ind w:leftChars="200" w:left="200"/>
    </w:pPr>
    <w:rPr>
      <w:rFonts w:ascii="Times New Roman" w:eastAsia="宋体" w:hAnsi="Times New Roman"/>
      <w:sz w:val="21"/>
    </w:rPr>
  </w:style>
  <w:style w:type="paragraph" w:styleId="22">
    <w:name w:val="toc 3"/>
    <w:qFormat/>
    <w:basedOn w:val="0"/>
    <w:next w:val="0"/>
    <w:pPr>
      <w:ind w:leftChars="400" w:left="400"/>
    </w:pPr>
  </w:style>
  <w:style w:type="paragraph" w:styleId="23">
    <w:name w:val="Plain Text"/>
    <w:qFormat/>
    <w:basedOn w:val="0"/>
    <w:pPr>
      <w:widowControl w:val="0"/>
      <w:jc w:val="both"/>
    </w:pPr>
    <w:rPr>
      <w:rFonts w:ascii="宋体" w:eastAsia="宋体" w:cs="Arial" w:hAnsi="Courier New"/>
      <w:kern w:val="2"/>
      <w:sz w:val="28"/>
      <w:szCs w:val="24"/>
      <w:lang w:val="en-US" w:eastAsia="zh-CN" w:bidi="ar-SA"/>
    </w:rPr>
  </w:style>
  <w:style w:type="paragraph" w:styleId="24">
    <w:name w:val="Date"/>
    <w:qFormat/>
    <w:basedOn w:val="0"/>
    <w:next w:val="0"/>
    <w:pPr>
      <w:widowControl w:val="0"/>
      <w:jc w:val="both"/>
    </w:pPr>
    <w:rPr>
      <w:rFonts w:ascii="Calibri" w:eastAsia="宋体" w:cs="Arial" w:hAnsi="Calibri"/>
      <w:kern w:val="2"/>
      <w:sz w:val="21"/>
      <w:szCs w:val="20"/>
      <w:lang w:val="en-US" w:eastAsia="zh-CN" w:bidi="ar-SA"/>
    </w:rPr>
  </w:style>
  <w:style w:type="paragraph" w:styleId="25">
    <w:name w:val="Balloon Text"/>
    <w:qFormat/>
    <w:basedOn w:val="0"/>
    <w:rPr>
      <w:sz w:val="18"/>
      <w:szCs w:val="18"/>
    </w:rPr>
  </w:style>
  <w:style w:type="paragraph" w:styleId="26">
    <w:name w:val="footer"/>
    <w:qFormat/>
    <w:basedOn w:val="0"/>
    <w:pPr>
      <w:tabs>
        <w:tab w:val="center" w:pos="4153"/>
        <w:tab w:val="right" w:pos="8306"/>
      </w:tabs>
      <w:snapToGrid w:val="0"/>
      <w:jc w:val="left"/>
    </w:pPr>
    <w:rPr>
      <w:sz w:val="18"/>
    </w:rPr>
  </w:style>
  <w:style w:type="paragraph" w:styleId="27">
    <w:name w:val="header"/>
    <w:qFormat/>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28">
    <w:name w:val="toc 1"/>
    <w:qFormat/>
    <w:basedOn w:val="0"/>
    <w:next w:val="0"/>
    <w:pPr>
      <w:jc w:val="left"/>
    </w:pPr>
    <w:rPr>
      <w:b/>
      <w:bCs/>
      <w:caps/>
      <w:smallCaps w:val="0"/>
      <w:sz w:val="20"/>
      <w:szCs w:val="20"/>
    </w:rPr>
  </w:style>
  <w:style w:type="paragraph" w:styleId="29">
    <w:name w:val="footnote text"/>
    <w:qFormat/>
    <w:basedOn w:val="0"/>
    <w:pPr>
      <w:widowControl/>
      <w:snapToGrid w:val="0"/>
      <w:jc w:val="left"/>
    </w:pPr>
    <w:rPr>
      <w:rFonts w:ascii="宋体" w:cs="宋体" w:hAnsi="宋体"/>
      <w:kern w:val="0"/>
      <w:sz w:val="18"/>
      <w:szCs w:val="18"/>
    </w:rPr>
  </w:style>
  <w:style w:type="paragraph" w:styleId="30">
    <w:name w:val="Body Text Indent 3"/>
    <w:qFormat/>
    <w:basedOn w:val="0"/>
    <w:next w:val="25"/>
    <w:pPr>
      <w:widowControl w:val="0"/>
      <w:ind w:firstLine="480"/>
      <w:jc w:val="both"/>
    </w:pPr>
    <w:rPr>
      <w:rFonts w:ascii="Times New Roman" w:eastAsia="仿宋_GB2312" w:cs="Times New Roman" w:hAnsi="Times New Roman"/>
      <w:kern w:val="2"/>
      <w:sz w:val="24"/>
      <w:szCs w:val="20"/>
      <w:lang w:val="en-US" w:eastAsia="zh-CN" w:bidi="ar-SA"/>
    </w:rPr>
  </w:style>
  <w:style w:type="paragraph" w:styleId="31">
    <w:name w:val="toc 2"/>
    <w:qFormat/>
    <w:basedOn w:val="0"/>
    <w:next w:val="0"/>
    <w:pPr>
      <w:ind w:left="210"/>
      <w:jc w:val="left"/>
    </w:pPr>
    <w:rPr>
      <w:caps w:val="0"/>
      <w:smallCaps/>
      <w:sz w:val="20"/>
      <w:szCs w:val="20"/>
    </w:rPr>
  </w:style>
  <w:style w:type="paragraph" w:styleId="32">
    <w:name w:val="Normal (Web)"/>
    <w:qFormat/>
    <w:basedOn w:val="0"/>
    <w:pPr>
      <w:widowControl/>
      <w:spacing w:before="100" w:beforeAutospacing="1" w:after="100" w:afterAutospacing="1"/>
      <w:jc w:val="left"/>
    </w:pPr>
    <w:rPr>
      <w:rFonts w:ascii="宋体" w:cs="宋体" w:hAnsi="宋体"/>
      <w:kern w:val="0"/>
      <w:sz w:val="24"/>
    </w:rPr>
  </w:style>
  <w:style w:type="character" w:styleId="33">
    <w:name w:val="page number"/>
    <w:qFormat/>
    <w:basedOn w:val="10"/>
  </w:style>
  <w:style w:type="character" w:styleId="34">
    <w:name w:val="FollowedHyperlink"/>
    <w:qFormat/>
    <w:basedOn w:val="10"/>
    <w:rPr>
      <w:color w:val="0000CC"/>
      <w:sz w:val="18"/>
      <w:szCs w:val="18"/>
      <w:u w:val="single"/>
    </w:rPr>
  </w:style>
  <w:style w:type="character" w:styleId="35">
    <w:name w:val="Emphasis"/>
    <w:qFormat/>
    <w:basedOn w:val="10"/>
  </w:style>
  <w:style w:type="character" w:styleId="36">
    <w:name w:val="Hyperlink"/>
    <w:qFormat/>
    <w:basedOn w:val="10"/>
    <w:rPr>
      <w:color w:val="0000CC"/>
      <w:sz w:val="18"/>
      <w:szCs w:val="18"/>
      <w:u w:val="single"/>
    </w:rPr>
  </w:style>
  <w:style w:type="character" w:styleId="37">
    <w:name w:val="footnote reference"/>
    <w:qFormat/>
    <w:basedOn w:val="10"/>
    <w:rPr>
      <w:vertAlign w:val="superscript"/>
    </w:rPr>
  </w:style>
  <w:style w:type="character" w:customStyle="1" w:yozoId="4094" w:styleId="38">
    <w:name w:val="apple-converted-space"/>
    <w:qFormat/>
    <w:basedOn w:val="10"/>
  </w:style>
  <w:style w:type="character" w:customStyle="1" w:yozoId="4094" w:styleId="39">
    <w:name w:val="english"/>
    <w:qFormat/>
    <w:basedOn w:val="10"/>
    <w:rPr>
      <w:rFonts w:ascii="微软雅黑" w:eastAsia="微软雅黑" w:cs="微软雅黑" w:hAnsi="微软雅黑"/>
      <w:color w:val="000000"/>
      <w:sz w:val="12"/>
      <w:szCs w:val="12"/>
    </w:rPr>
  </w:style>
  <w:style w:type="character" w:customStyle="1" w:yozoId="4094" w:styleId="40">
    <w:name w:val="ts_tip_2"/>
    <w:qFormat/>
    <w:basedOn w:val="10"/>
    <w:rPr>
      <w:color w:val="E43023"/>
    </w:rPr>
  </w:style>
  <w:style w:type="character" w:customStyle="1" w:yozoId="4094" w:styleId="41">
    <w:name w:val="font41"/>
    <w:qFormat/>
    <w:basedOn w:val="10"/>
    <w:rPr>
      <w:rFonts w:ascii="Times New Roman" w:cs="Times New Roman" w:hAnsi="Times New Roman"/>
      <w:color w:val="000000"/>
      <w:sz w:val="18"/>
      <w:szCs w:val="18"/>
      <w:u w:val="none"/>
    </w:rPr>
  </w:style>
  <w:style w:type="character" w:customStyle="1" w:yozoId="4094" w:styleId="42">
    <w:name w:val="time_dis"/>
    <w:qFormat/>
    <w:basedOn w:val="10"/>
  </w:style>
  <w:style w:type="character" w:customStyle="1" w:yozoId="4094" w:styleId="43">
    <w:name w:val="bus_type_tip"/>
    <w:qFormat/>
    <w:basedOn w:val="10"/>
    <w:rPr>
      <w:color w:val="FFFFFF"/>
      <w:sz w:val="18"/>
      <w:szCs w:val="18"/>
    </w:rPr>
  </w:style>
  <w:style w:type="character" w:customStyle="1" w:yozoId="4094" w:styleId="44">
    <w:name w:val="linebg_on"/>
    <w:qFormat/>
    <w:basedOn w:val="10"/>
  </w:style>
  <w:style w:type="character" w:customStyle="1" w:yozoId="4094" w:styleId="45">
    <w:name w:val="font21"/>
    <w:qFormat/>
    <w:basedOn w:val="10"/>
    <w:rPr>
      <w:rFonts w:ascii="Times New Roman" w:cs="Times New Roman" w:hAnsi="Times New Roman"/>
      <w:color w:val="000000"/>
      <w:sz w:val="28"/>
      <w:szCs w:val="28"/>
      <w:u w:val="none"/>
    </w:rPr>
  </w:style>
  <w:style w:type="character" w:customStyle="1" w:yozoId="4094" w:styleId="46">
    <w:name w:val="english1"/>
    <w:qFormat/>
    <w:basedOn w:val="10"/>
    <w:rPr>
      <w:rFonts w:ascii="微软雅黑" w:eastAsia="微软雅黑" w:cs="微软雅黑" w:hAnsi="微软雅黑"/>
      <w:i/>
      <w:caps/>
      <w:smallCaps w:val="0"/>
      <w:color w:val="9E9E9E"/>
      <w:sz w:val="21"/>
      <w:szCs w:val="21"/>
    </w:rPr>
  </w:style>
  <w:style w:type="character" w:customStyle="1" w:yozoId="4094" w:styleId="47">
    <w:name w:val="font51"/>
    <w:qFormat/>
    <w:basedOn w:val="10"/>
    <w:rPr>
      <w:rFonts w:ascii="宋体" w:eastAsia="宋体" w:cs="宋体" w:hAnsi="宋体"/>
      <w:b/>
      <w:color w:val="000000"/>
      <w:sz w:val="18"/>
      <w:szCs w:val="18"/>
      <w:u w:val="none"/>
    </w:rPr>
  </w:style>
  <w:style w:type="character" w:customStyle="1" w:yozoId="4094" w:styleId="48">
    <w:name w:val="font31"/>
    <w:qFormat/>
    <w:basedOn w:val="10"/>
    <w:rPr>
      <w:rFonts w:ascii="宋体" w:eastAsia="宋体" w:cs="宋体" w:hAnsi="宋体"/>
      <w:color w:val="000000"/>
      <w:sz w:val="18"/>
      <w:szCs w:val="18"/>
      <w:u w:val="none"/>
    </w:rPr>
  </w:style>
  <w:style w:type="character" w:customStyle="1" w:yozoId="4094" w:styleId="49">
    <w:name w:val="bs_tm1"/>
    <w:qFormat/>
    <w:basedOn w:val="10"/>
  </w:style>
  <w:style w:type="character" w:customStyle="1" w:yozoId="4094" w:styleId="50">
    <w:name w:val="ts_tip_1"/>
    <w:qFormat/>
    <w:basedOn w:val="10"/>
    <w:rPr>
      <w:color w:val="468B02"/>
    </w:rPr>
  </w:style>
  <w:style w:type="character" w:customStyle="1" w:yozoId="4094" w:styleId="51">
    <w:name w:val="english2"/>
    <w:qFormat/>
    <w:basedOn w:val="10"/>
    <w:rPr>
      <w:rFonts w:ascii="微软雅黑" w:eastAsia="微软雅黑" w:cs="微软雅黑" w:hAnsi="微软雅黑"/>
      <w:i/>
      <w:caps/>
      <w:smallCaps w:val="0"/>
      <w:color w:val="9E9E9E"/>
      <w:sz w:val="21"/>
      <w:szCs w:val="21"/>
    </w:rPr>
  </w:style>
  <w:style w:type="character" w:customStyle="1" w:yozoId="4094" w:styleId="52">
    <w:name w:val="linebg"/>
    <w:qFormat/>
    <w:basedOn w:val="10"/>
  </w:style>
  <w:style w:type="character" w:customStyle="1" w:yozoId="4094" w:styleId="53">
    <w:name w:val="input_span1"/>
    <w:qFormat/>
    <w:basedOn w:val="10"/>
  </w:style>
  <w:style w:type="character" w:customStyle="1" w:yozoId="4094" w:styleId="54">
    <w:name w:val="linebg_on1"/>
    <w:qFormat/>
    <w:basedOn w:val="10"/>
  </w:style>
  <w:style w:type="character" w:customStyle="1" w:yozoId="4094" w:styleId="55">
    <w:name w:val="input_span11"/>
    <w:qFormat/>
    <w:basedOn w:val="10"/>
  </w:style>
  <w:style w:type="character" w:customStyle="1" w:yozoId="4094" w:styleId="56">
    <w:name w:val="n-grey1"/>
    <w:qFormat/>
    <w:basedOn w:val="10"/>
  </w:style>
  <w:style w:type="character" w:customStyle="1" w:yozoId="4094" w:styleId="57">
    <w:name w:val="font11"/>
    <w:qFormat/>
    <w:basedOn w:val="10"/>
    <w:rPr>
      <w:rFonts w:ascii="宋体" w:eastAsia="宋体" w:cs="宋体" w:hAnsi="宋体"/>
      <w:color w:val="000000"/>
      <w:sz w:val="28"/>
      <w:szCs w:val="28"/>
      <w:u w:val="none"/>
    </w:rPr>
  </w:style>
  <w:style w:type="paragraph" w:customStyle="1" w:yozoId="4094" w:styleId="58">
    <w:name w:val="无间隔1"/>
    <w:qFormat/>
    <w:rPr>
      <w:rFonts w:ascii="Georgia" w:eastAsia="宋体" w:cs="Times New Roman" w:hAnsi="Georgia"/>
      <w:sz w:val="22"/>
      <w:szCs w:val="22"/>
      <w:lang w:val="en-US" w:eastAsia="zh-CN" w:bidi="ar-SA"/>
    </w:rPr>
  </w:style>
  <w:style w:type="character" w:customStyle="1" w:yozoId="4094" w:styleId="59">
    <w:name w:val="time"/>
    <w:qFormat/>
    <w:basedOn w:val="10"/>
  </w:style>
  <w:style w:type="character" w:customStyle="1" w:yozoId="4094" w:styleId="60">
    <w:name w:val="bs_tm"/>
    <w:qFormat/>
    <w:basedOn w:val="10"/>
  </w:style>
  <w:style w:type="character" w:customStyle="1" w:yozoId="4094" w:styleId="61">
    <w:name w:val="linebg1"/>
    <w:qFormat/>
    <w:basedOn w:val="10"/>
  </w:style>
  <w:style w:type="character" w:customStyle="1" w:yozoId="4094" w:styleId="62">
    <w:name w:val="font81"/>
    <w:qFormat/>
    <w:basedOn w:val="10"/>
    <w:rPr>
      <w:rFonts w:ascii="Times New Roman" w:cs="Times New Roman" w:hAnsi="Times New Roman"/>
      <w:color w:val="000000"/>
      <w:sz w:val="18"/>
      <w:szCs w:val="18"/>
      <w:u w:val="none"/>
    </w:rPr>
  </w:style>
  <w:style w:type="character" w:customStyle="1" w:yozoId="4094" w:styleId="63">
    <w:name w:val="页码1"/>
    <w:qFormat/>
    <w:basedOn w:val="10"/>
  </w:style>
  <w:style w:type="character" w:customStyle="1" w:yozoId="4094" w:styleId="64">
    <w:name w:val="map_taglist"/>
    <w:qFormat/>
    <w:basedOn w:val="10"/>
    <w:rPr>
      <w:color w:val="666666"/>
    </w:rPr>
  </w:style>
  <w:style w:type="character" w:customStyle="1" w:yozoId="4094" w:styleId="65">
    <w:name w:val="bus_type_4"/>
    <w:qFormat/>
    <w:basedOn w:val="10"/>
    <w:rPr>
      <w:shd w:val="clear" w:color="auto" w:fill="333F89"/>
    </w:rPr>
  </w:style>
  <w:style w:type="character" w:customStyle="1" w:yozoId="4094" w:styleId="66">
    <w:name w:val="bus_type_3"/>
    <w:qFormat/>
    <w:basedOn w:val="10"/>
    <w:rPr>
      <w:shd w:val="clear" w:color="auto" w:fill="43CC8D"/>
    </w:rPr>
  </w:style>
  <w:style w:type="character" w:customStyle="1" w:yozoId="4094" w:styleId="67">
    <w:name w:val="bus_type_0"/>
    <w:qFormat/>
    <w:basedOn w:val="10"/>
    <w:rPr>
      <w:shd w:val="clear" w:color="auto" w:fill="FF8853"/>
    </w:rPr>
  </w:style>
  <w:style w:type="character" w:customStyle="1" w:yozoId="4094" w:styleId="68">
    <w:name w:val="bus_type_2"/>
    <w:qFormat/>
    <w:basedOn w:val="10"/>
    <w:rPr>
      <w:shd w:val="clear" w:color="auto" w:fill="FF4141"/>
    </w:rPr>
  </w:style>
  <w:style w:type="character" w:customStyle="1" w:yozoId="4094" w:styleId="69">
    <w:name w:val="bs_cal"/>
    <w:qFormat/>
    <w:basedOn w:val="10"/>
  </w:style>
  <w:style w:type="paragraph" w:customStyle="1" w:yozoId="4094" w:styleId="70">
    <w:name w:val="列出段落1"/>
    <w:qFormat/>
    <w:basedOn w:val="0"/>
    <w:next w:val="26"/>
    <w:pPr>
      <w:widowControl w:val="0"/>
      <w:ind w:firstLineChars="200" w:firstLine="200"/>
      <w:jc w:val="both"/>
    </w:pPr>
    <w:rPr>
      <w:rFonts w:ascii="Calibri" w:eastAsia="宋体" w:cs="Arial" w:hAnsi="Calibri"/>
      <w:kern w:val="2"/>
      <w:sz w:val="21"/>
      <w:szCs w:val="24"/>
      <w:lang w:val="en-US" w:eastAsia="zh-CN" w:bidi="ar-SA"/>
    </w:rPr>
  </w:style>
  <w:style w:type="character" w:customStyle="1" w:yozoId="4094" w:styleId="71">
    <w:name w:val="time1"/>
    <w:qFormat/>
    <w:basedOn w:val="10"/>
  </w:style>
  <w:style w:type="character" w:customStyle="1" w:yozoId="4094" w:styleId="72">
    <w:name w:val="bs_clc"/>
    <w:qFormat/>
    <w:basedOn w:val="10"/>
  </w:style>
  <w:style w:type="paragraph" w:customStyle="1" w:yozoId="4094" w:styleId="73">
    <w:name w:val="文档结构图1"/>
    <w:qFormat/>
    <w:basedOn w:val="0"/>
    <w:pPr>
      <w:widowControl/>
      <w:spacing w:line="360" w:lineRule="auto"/>
      <w:jc w:val="left"/>
    </w:pPr>
    <w:rPr>
      <w:rFonts w:ascii="宋体" w:cs="黑体" w:hAnsi="宋体"/>
      <w:sz w:val="18"/>
      <w:szCs w:val="18"/>
    </w:rPr>
  </w:style>
  <w:style w:type="character" w:customStyle="1" w:yozoId="4094" w:styleId="74">
    <w:name w:val="time2"/>
    <w:qFormat/>
    <w:basedOn w:val="10"/>
  </w:style>
  <w:style w:type="paragraph" w:customStyle="1" w:yozoId="4094" w:styleId="75">
    <w:name w:val="正文空2格  1."/>
    <w:qFormat/>
    <w:basedOn w:val="0"/>
    <w:pPr>
      <w:ind w:firstLineChars="200" w:firstLine="200"/>
    </w:pPr>
    <w:rPr>
      <w:rFonts w:cs="宋体"/>
      <w:szCs w:val="20"/>
    </w:rPr>
  </w:style>
  <w:style w:type="paragraph" w:customStyle="1" w:yozoId="4094" w:styleId="76">
    <w:name w:val="列出段落3"/>
    <w:qFormat/>
    <w:basedOn w:val="0"/>
    <w:pPr>
      <w:ind w:firstLineChars="200" w:firstLine="200"/>
    </w:pPr>
  </w:style>
  <w:style w:type="paragraph" w:customStyle="1" w:yozoId="4094" w:styleId="77">
    <w:name w:val="List Paragraph11"/>
    <w:qFormat/>
    <w:basedOn w:val="0"/>
    <w:pPr>
      <w:ind w:firstLineChars="200" w:firstLine="200"/>
    </w:pPr>
    <w:rPr>
      <w:rFonts w:ascii="Calibri" w:hAnsi="Calibri"/>
      <w:szCs w:val="22"/>
    </w:rPr>
  </w:style>
  <w:style w:type="paragraph" w:customStyle="1" w:yozoId="4094" w:styleId="78">
    <w:name w:val="List Paragraph1"/>
    <w:qFormat/>
    <w:basedOn w:val="0"/>
    <w:pPr>
      <w:ind w:firstLineChars="200" w:firstLine="200"/>
    </w:pPr>
  </w:style>
  <w:style w:type="paragraph" w:customStyle="1" w:yozoId="4094" w:styleId="79">
    <w:name w:val="列出段落2"/>
    <w:qFormat/>
    <w:basedOn w:val="0"/>
    <w:pPr>
      <w:ind w:firstLineChars="200" w:firstLine="200"/>
    </w:pPr>
  </w:style>
  <w:style w:type="paragraph" w:customStyle="1" w:yozoId="4094" w:styleId="80">
    <w:name w:val="Char Char Char Char Char Char Char Char Char Char1"/>
    <w:qFormat/>
    <w:basedOn w:val="0"/>
    <w:pPr>
      <w:adjustRightInd w:val="0"/>
      <w:spacing w:line="360" w:lineRule="auto"/>
    </w:pPr>
  </w:style>
  <w:style w:type="paragraph" w:customStyle="1" w:yozoId="4094" w:styleId="81">
    <w:name w:val="正文-首缩2字符"/>
    <w:qFormat/>
    <w:basedOn w:val="0"/>
    <w:pPr>
      <w:ind w:firstLineChars="200" w:firstLine="200"/>
      <w:jc w:val="left"/>
    </w:pPr>
    <w:rPr>
      <w:rFonts w:cs="宋体" w:hAnsi="宋体"/>
    </w:rPr>
  </w:style>
  <w:style w:type="paragraph" w:customStyle="1" w:yozoId="4094" w:styleId="82">
    <w:name w:val="纯文本1"/>
    <w:qFormat/>
    <w:basedOn w:val="0"/>
    <w:pPr>
      <w:adjustRightInd w:val="0"/>
      <w:textAlignment w:val="baseline"/>
    </w:pPr>
    <w:rPr>
      <w:rFonts w:ascii="宋体" w:eastAsia="楷体_GB2312" w:hAnsi="Courier New"/>
      <w:sz w:val="28"/>
      <w:szCs w:val="20"/>
    </w:rPr>
  </w:style>
  <w:style w:type="paragraph" w:customStyle="1" w:yozoId="4094" w:styleId="83">
    <w:name w:val="正文缩进1"/>
    <w:qFormat/>
    <w:basedOn w:val="0"/>
    <w:pPr>
      <w:adjustRightInd w:val="0"/>
      <w:ind w:firstLine="420"/>
      <w:jc w:val="left"/>
      <w:textAlignment w:val="baseline"/>
    </w:pPr>
    <w:rPr>
      <w:rFonts w:eastAsia="楷体_GB2312"/>
      <w:sz w:val="24"/>
      <w:szCs w:val="20"/>
    </w:rPr>
  </w:style>
  <w:style w:type="paragraph" w:customStyle="1" w:yozoId="4094" w:styleId="84">
    <w:name w:val="表内"/>
    <w:qFormat/>
    <w:basedOn w:val="0"/>
    <w:pPr>
      <w:spacing w:line="300" w:lineRule="auto"/>
    </w:pPr>
    <w:rPr>
      <w:bCs/>
      <w:kern w:val="0"/>
      <w:szCs w:val="21"/>
      <w:lang w:eastAsia="zh-TW"/>
    </w:rPr>
  </w:style>
  <w:style w:type="paragraph" w:customStyle="1" w:yozoId="4094" w:styleId="85">
    <w:name w:val="HTML 预设格式1"/>
    <w:qFormat/>
    <w:basedOn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PingFang SC" w:eastAsia="PingFang SC" w:hAnsi="PingFang SC"/>
      <w:kern w:val="0"/>
      <w:sz w:val="24"/>
    </w:rPr>
  </w:style>
  <w:style w:type="paragraph" w:customStyle="1" w:yozoId="4094" w:styleId="86">
    <w:name w:val="正文文本缩进1"/>
    <w:qFormat/>
    <w:basedOn w:val="0"/>
    <w:next w:val="0"/>
    <w:pPr>
      <w:spacing w:after="120"/>
      <w:ind w:leftChars="200" w:left="200"/>
    </w:pPr>
    <w:rPr>
      <w:sz w:val="24"/>
    </w:rPr>
  </w:style>
  <w:style w:type="paragraph" w:customStyle="1" w:yozoId="4094" w:styleId="87">
    <w:name w:val="Default"/>
    <w:qFormat/>
    <w:pPr>
      <w:widowControl w:val="0"/>
      <w:autoSpaceDE w:val="0"/>
      <w:autoSpaceDN w:val="0"/>
      <w:adjustRightInd w:val="0"/>
    </w:pPr>
    <w:rPr>
      <w:rFonts w:ascii="黑体" w:eastAsia="黑体" w:cs="黑体" w:hAnsi="Times New Roman"/>
      <w:color w:val="000000"/>
      <w:sz w:val="24"/>
      <w:szCs w:val="24"/>
      <w:lang w:val="en-US" w:eastAsia="zh-CN" w:bidi="ar-SA"/>
    </w:rPr>
  </w:style>
  <w:style w:type="paragraph" w:customStyle="1" w:yozoId="4094" w:styleId="88">
    <w:name w:val="列出段落4"/>
    <w:qFormat/>
    <w:basedOn w:val="0"/>
    <w:pPr>
      <w:ind w:firstLineChars="200" w:firstLine="200"/>
    </w:pPr>
  </w:style>
  <w:style w:type="paragraph" w:customStyle="1" w:yozoId="4094" w:styleId="89">
    <w:name w:val="普通(网站)1"/>
    <w:qFormat/>
    <w:basedOn w:val="0"/>
    <w:pPr>
      <w:widowControl/>
      <w:spacing w:before="100" w:beforeAutospacing="1" w:after="100" w:afterAutospacing="1"/>
      <w:jc w:val="left"/>
    </w:pPr>
    <w:rPr>
      <w:rFonts w:ascii="宋体" w:cs="宋体" w:hAnsi="宋体"/>
      <w:kern w:val="0"/>
      <w:sz w:val="24"/>
    </w:rPr>
  </w:style>
  <w:style w:type="paragraph" w:customStyle="1" w:yozoId="4094" w:styleId="90">
    <w:name w:val="Char Char Char Char Char Char Char Char Char Char"/>
    <w:qFormat/>
    <w:basedOn w:val="0"/>
    <w:pPr>
      <w:adjustRightInd w:val="0"/>
      <w:spacing w:line="360" w:lineRule="auto"/>
    </w:pPr>
  </w:style>
  <w:style w:type="paragraph" w:customStyle="1" w:yozoId="4094" w:styleId="91">
    <w:name w:val="p0"/>
    <w:qFormat/>
    <w:basedOn w:val="0"/>
    <w:pPr>
      <w:widowControl/>
    </w:pPr>
    <w:rPr>
      <w:kern w:val="0"/>
      <w:szCs w:val="21"/>
    </w:rPr>
  </w:style>
  <w:style w:type="paragraph" w:styleId="92">
    <w:name w:val="List Paragraph"/>
    <w:qFormat/>
    <w:basedOn w:val="0"/>
    <w:pPr>
      <w:widowControl w:val="0"/>
      <w:adjustRightInd/>
      <w:snapToGrid/>
      <w:spacing w:before="100" w:beforeAutospacing="1" w:after="100" w:afterAutospacing="1"/>
      <w:jc w:val="both"/>
    </w:pPr>
    <w:rPr>
      <w:rFonts w:ascii="宋体" w:eastAsia="宋体" w:cs="宋体" w:hAnsi="宋体"/>
      <w:kern w:val="2"/>
      <w:sz w:val="24"/>
      <w:szCs w:val="24"/>
      <w:lang w:val="en-US" w:eastAsia="zh-CN" w:bidi="ar-SA"/>
    </w:rPr>
  </w:style>
  <w:style w:type="paragraph" w:customStyle="1" w:yozoId="4094" w:styleId="93">
    <w:name w:val="Table Text"/>
    <w:qFormat/>
    <w:basedOn w:val="0"/>
    <w:pPr>
      <w:widowControl w:val="0"/>
      <w:jc w:val="both"/>
    </w:pPr>
    <w:rPr>
      <w:rFonts w:ascii="宋体" w:eastAsia="宋体" w:cs="宋体" w:hAnsi="宋体"/>
      <w:kern w:val="2"/>
      <w:sz w:val="17"/>
      <w:szCs w:val="17"/>
      <w:lang w:val="en-US" w:bidi="ar-SA"/>
    </w:rPr>
  </w:style>
  <w:style w:type="paragraph" w:customStyle="1" w:yozoId="4094" w:styleId="94">
    <w:name w:val="Table Paragraph"/>
    <w:qFormat/>
    <w:basedOn w:val="0"/>
    <w:pPr>
      <w:widowControl w:val="0"/>
      <w:spacing w:beforeAutospacing="0" w:afterAutospacing="0" w:line="277" w:lineRule="exact"/>
      <w:ind w:left="110"/>
      <w:jc w:val="both"/>
    </w:pPr>
    <w:rPr>
      <w:rFonts w:ascii="宋体" w:eastAsia="宋体" w:cs="宋体" w:hAnsi="宋体"/>
      <w:kern w:val="2"/>
      <w:sz w:val="21"/>
      <w:szCs w:val="24"/>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notes" Target="footnotes.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customXml" Target="../customXml/item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1.png"/></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mpd="sng" cap="flat">
          <a:solidFill>
            <a:schemeClr val="phClr"/>
          </a:solidFill>
          <a:prstDash val="solid"/>
          <a:miter/>
        </a:ln>
        <a:ln w="12700" cmpd="sng" cap="flat">
          <a:solidFill>
            <a:schemeClr val="phClr"/>
          </a:solidFill>
          <a:prstDash val="solid"/>
          <a:miter/>
        </a:ln>
        <a:ln w="19050" cmpd="sng" cap="flat">
          <a:solidFill>
            <a:schemeClr val="phClr"/>
          </a:solidFill>
          <a:prstDash val="solid"/>
          <a:miter/>
        </a:ln>
      </a:lnStyleLst>
      <a:effectStyleLst>
        <a:effectStyle>
          <a:effectLst/>
        </a:effectStyle>
        <a:effectStyle>
          <a:effectLst/>
        </a:effectStyle>
        <a:effectStyle>
          <a:effectLst>
            <a:outerShdw sx="100000" sy="100000" algn="ctr" rotWithShape="0" blurRad="57150" dist="19050" dir="540000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26650 1 1 1 1 1"/>
    <sectPr/>
    <sectPr/>
    <sectPr/>
    <sectPr/>
    <sectPr/>
    <sectPr/>
    <sectPr/>
  </customProps>
</customData>
</file>

<file path=customXml/itemProps1.xml><?xml version="1.0" encoding="utf-8"?>
<ds:datastoreItem xmlns:ds="http://schemas.openxmlformats.org/officeDocument/2006/customXml" ds:itemID="{11B8ED55-4FF8-4867-A4FB-AE81A3A6997E}">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55</TotalTime>
  <Application>WPS_Yozo_Office9.0.6876.102ZH.SP1</Application>
  <Pages>77</Pages>
  <Words>0</Words>
  <Characters>35365</Characters>
  <Lines>0</Lines>
  <Paragraphs>1007</Paragraphs>
  <CharactersWithSpaces>47154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X!ao贱立</dc:title>
  <dc:creator>123456</dc:creator>
  <cp:lastModifiedBy>DELL</cp:lastModifiedBy>
  <cp:revision>461</cp:revision>
  <cp:lastPrinted>2017-12-18T08:57:00Z</cp:lastPrinted>
  <dcterms:created xsi:type="dcterms:W3CDTF">2019-07-18T16:39:00Z</dcterms:created>
  <dcterms:modified xsi:type="dcterms:W3CDTF">2025-12-26T07:25:56Z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2052-11.8.2.8875</vt:lpwstr>
  </property>
  <property fmtid="{D5CDD505-2E9C-101B-9397-08002B2CF9AE}" pid="3" name="ICV">
    <vt:lpwstr>80DAD86968804CDC91EE6F35EE34F57B</vt:lpwstr>
  </property>
  <property fmtid="{D5CDD505-2E9C-101B-9397-08002B2CF9AE}" pid="4" name="KSOTemplateDocerSaveRecord">
    <vt:lpwstr>eyJoZGlkIjoiNTdlOTg2YzlmMjBmOWIwMjcwNTc2NTk1ODc0NjFhMDYiLCJ1c2VySWQiOiIzNTk5ODkwNzYifQ==</vt:lpwstr>
  </property>
</Properties>
</file>