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C1EA1D">
      <w:pPr>
        <w:numPr>
          <w:ilvl w:val="0"/>
          <w:numId w:val="1"/>
        </w:numPr>
        <w:spacing w:line="460" w:lineRule="exact"/>
        <w:rPr>
          <w:rFonts w:hint="eastAsia" w:ascii="宋体" w:hAnsi="宋体" w:eastAsia="宋体" w:cs="宋体"/>
          <w:b/>
          <w:bCs/>
          <w:color w:val="auto"/>
          <w:kern w:val="2"/>
          <w:sz w:val="24"/>
          <w:szCs w:val="24"/>
        </w:rPr>
      </w:pPr>
      <w:r>
        <w:rPr>
          <w:rFonts w:hint="eastAsia" w:ascii="宋体" w:hAnsi="宋体" w:eastAsia="宋体" w:cs="宋体"/>
          <w:b/>
          <w:bCs/>
          <w:color w:val="auto"/>
          <w:kern w:val="2"/>
          <w:sz w:val="24"/>
          <w:szCs w:val="24"/>
        </w:rPr>
        <w:t>采购项目概况</w:t>
      </w:r>
    </w:p>
    <w:p w14:paraId="058C65DF">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（一）项目背景及概述</w:t>
      </w:r>
    </w:p>
    <w:p w14:paraId="3E7B6CC1">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全国法院“一张网”纵向覆盖全国四级法院，服务于全国法院干警，建设范围广、应用变化大，因此对其运维服务遵循“首问负责制”。依据《全国法院“一张网”运维保障工作方案》要求，“一张网”具体运维保障工作采用“中基层法院处置50%的问题、高级法院处置30%的问题、最高法院处置20%的问题”的“532”保障模式，实现各级法院分层分工、递进流转和高效协作。</w:t>
      </w:r>
    </w:p>
    <w:p w14:paraId="5B6D0F4B">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为切实保障全国法院“一张网”上线后中山法院能安全、稳定、高效的开展业务工作，采购应用系统运维保障服务。</w:t>
      </w:r>
    </w:p>
    <w:p w14:paraId="34A0B907">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（二）项目预算</w:t>
      </w:r>
    </w:p>
    <w:p w14:paraId="6D7B582D">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本项目预算金额为</w:t>
      </w:r>
      <w:r>
        <w:rPr>
          <w:rFonts w:hint="eastAsia" w:ascii="宋体" w:hAnsi="宋体" w:eastAsia="宋体" w:cs="宋体"/>
          <w:color w:val="auto"/>
          <w:sz w:val="24"/>
          <w:szCs w:val="24"/>
          <w:lang w:val="en-US" w:eastAsia="zh-CN"/>
        </w:rPr>
        <w:t>20.4</w:t>
      </w:r>
      <w:r>
        <w:rPr>
          <w:rFonts w:hint="eastAsia" w:ascii="宋体" w:hAnsi="宋体" w:eastAsia="宋体" w:cs="宋体"/>
          <w:color w:val="auto"/>
          <w:sz w:val="24"/>
          <w:szCs w:val="24"/>
        </w:rPr>
        <w:t>万元。</w:t>
      </w:r>
    </w:p>
    <w:p w14:paraId="0A4BF51E">
      <w:pPr>
        <w:numPr>
          <w:ilvl w:val="0"/>
          <w:numId w:val="1"/>
        </w:numPr>
        <w:spacing w:line="460" w:lineRule="exact"/>
        <w:rPr>
          <w:rFonts w:hint="eastAsia" w:ascii="宋体" w:hAnsi="宋体" w:eastAsia="宋体" w:cs="宋体"/>
          <w:b/>
          <w:bCs/>
          <w:color w:val="auto"/>
          <w:kern w:val="2"/>
          <w:sz w:val="24"/>
          <w:szCs w:val="24"/>
        </w:rPr>
      </w:pPr>
      <w:r>
        <w:rPr>
          <w:rFonts w:hint="eastAsia" w:ascii="仿宋_GB2312" w:hAnsi="仿宋_GB2312" w:eastAsia="仿宋_GB2312" w:cs="仿宋_GB2312"/>
          <w:b/>
          <w:bCs/>
          <w:color w:val="auto"/>
          <w:sz w:val="24"/>
          <w:szCs w:val="24"/>
          <w:lang w:val="en-US" w:eastAsia="zh-CN"/>
        </w:rPr>
        <w:t>★</w:t>
      </w:r>
      <w:r>
        <w:rPr>
          <w:rFonts w:hint="eastAsia" w:ascii="宋体" w:hAnsi="宋体" w:eastAsia="宋体" w:cs="宋体"/>
          <w:b/>
          <w:bCs/>
          <w:color w:val="auto"/>
          <w:kern w:val="2"/>
          <w:sz w:val="24"/>
          <w:szCs w:val="24"/>
        </w:rPr>
        <w:t>项目服务内容及要求</w:t>
      </w:r>
    </w:p>
    <w:p w14:paraId="42DE55C2">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（一）应用服务的范围及内容</w:t>
      </w:r>
    </w:p>
    <w:p w14:paraId="5077F5F3">
      <w:pPr>
        <w:spacing w:line="46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成交供应商派驻</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名工程师常驻</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lang w:eastAsia="zh-CN"/>
        </w:rPr>
        <w:t>中院，构建“最高-高院-市院”三级协同运维体系，向</w:t>
      </w:r>
      <w:r>
        <w:rPr>
          <w:rFonts w:hint="eastAsia" w:ascii="宋体" w:hAnsi="宋体" w:eastAsia="宋体" w:cs="宋体"/>
          <w:color w:val="auto"/>
          <w:sz w:val="24"/>
          <w:szCs w:val="24"/>
          <w:lang w:val="en-US" w:eastAsia="zh-CN"/>
        </w:rPr>
        <w:t>海口中院及辖区法院</w:t>
      </w:r>
      <w:r>
        <w:rPr>
          <w:rFonts w:hint="eastAsia" w:ascii="宋体" w:hAnsi="宋体" w:eastAsia="宋体" w:cs="宋体"/>
          <w:color w:val="auto"/>
          <w:sz w:val="24"/>
          <w:szCs w:val="24"/>
          <w:lang w:eastAsia="zh-CN"/>
        </w:rPr>
        <w:t>提供“一张网”信息化应用系统日常维护、定期巡检、培训指导、电话和远程支持及必要的上门服务。</w:t>
      </w:r>
    </w:p>
    <w:p w14:paraId="5A0FCB97">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本项目的运维服务范围主要分为面向“运维对象”和面向“服务对象”两个方面</w:t>
      </w:r>
      <w:r>
        <w:rPr>
          <w:rFonts w:hint="eastAsia" w:ascii="宋体" w:hAnsi="宋体" w:eastAsia="宋体" w:cs="宋体"/>
          <w:color w:val="auto"/>
          <w:sz w:val="24"/>
          <w:szCs w:val="24"/>
        </w:rPr>
        <w:t>：</w:t>
      </w:r>
    </w:p>
    <w:p w14:paraId="5A65F1BD">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运维对象：“一张网”应用系统运维对象为“一张网”的办案办公工作桌面、诉讼服务、立案、审判、执行、信访、通用业务、移动办案、审判管理、行政办公、人事管理、纪检监察与审务督察、业务中台13项一级业务应用，对其开展日常巡检、运行监控、应用咨询、问题处置、系统配置、优化改善和培训回访等运维保障工作，及时发现问题、处理问题确保“一张网”处于稳定、高效和安全的运行状态。同时需要定期进行“一张网”运行质效管理，通过“一张网”运行数据采集分析，发现影响运行的隐患、瓶颈问题，及时掌握应用使用运行情况，推动“一张网”优化改进及深度应用。</w:t>
      </w:r>
    </w:p>
    <w:p w14:paraId="2C4CFA63">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2、服务对象： 一是为解决</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两级法院法官干警无法处理的应用咨询问题、疑难问题、应用缺陷、应用需求等，通过热线电话、CoCall及工单等渠道，快速定位、分析和解决</w:t>
      </w:r>
      <w:r>
        <w:rPr>
          <w:rFonts w:hint="eastAsia" w:ascii="宋体" w:hAnsi="宋体" w:eastAsia="宋体" w:cs="宋体"/>
          <w:color w:val="auto"/>
          <w:sz w:val="24"/>
          <w:szCs w:val="24"/>
          <w:lang w:val="en-US" w:eastAsia="zh-CN"/>
        </w:rPr>
        <w:t>海口两级</w:t>
      </w:r>
      <w:r>
        <w:rPr>
          <w:rFonts w:hint="eastAsia" w:ascii="宋体" w:hAnsi="宋体" w:eastAsia="宋体" w:cs="宋体"/>
          <w:color w:val="auto"/>
          <w:sz w:val="24"/>
          <w:szCs w:val="24"/>
        </w:rPr>
        <w:t>法院各类问题。二是为中院本级干警提供“一张网”应用咨询、权限配置、问题处理、需求上报服务等运维支持，确保中院本级业务工作不受影响。三是为了有效支持社会公众，及时解决律师和当事人群体在使用“一张网”中遇到的技术问题。</w:t>
      </w:r>
    </w:p>
    <w:p w14:paraId="419236BE">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应用运维工作内容包括：</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1154"/>
        <w:gridCol w:w="4687"/>
        <w:gridCol w:w="1029"/>
        <w:gridCol w:w="1062"/>
      </w:tblGrid>
      <w:tr w14:paraId="1EED3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46" w:type="pct"/>
            <w:noWrap w:val="0"/>
            <w:vAlign w:val="center"/>
          </w:tcPr>
          <w:p w14:paraId="681D76D0">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677" w:type="pct"/>
            <w:noWrap w:val="0"/>
            <w:vAlign w:val="center"/>
          </w:tcPr>
          <w:p w14:paraId="2DE61197">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运维类别</w:t>
            </w:r>
          </w:p>
        </w:tc>
        <w:tc>
          <w:tcPr>
            <w:tcW w:w="2750" w:type="pct"/>
            <w:noWrap w:val="0"/>
            <w:vAlign w:val="center"/>
          </w:tcPr>
          <w:p w14:paraId="503B69FC">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服务内容</w:t>
            </w:r>
          </w:p>
        </w:tc>
        <w:tc>
          <w:tcPr>
            <w:tcW w:w="604" w:type="pct"/>
            <w:noWrap w:val="0"/>
            <w:vAlign w:val="center"/>
          </w:tcPr>
          <w:p w14:paraId="4AFEB6C7">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需要人数</w:t>
            </w:r>
          </w:p>
        </w:tc>
        <w:tc>
          <w:tcPr>
            <w:tcW w:w="623" w:type="pct"/>
            <w:noWrap w:val="0"/>
            <w:vAlign w:val="center"/>
          </w:tcPr>
          <w:p w14:paraId="6191E5A2">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服务方式</w:t>
            </w:r>
          </w:p>
        </w:tc>
      </w:tr>
      <w:tr w14:paraId="66002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noWrap w:val="0"/>
            <w:vAlign w:val="center"/>
          </w:tcPr>
          <w:p w14:paraId="04BE97C3">
            <w:pP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677" w:type="pct"/>
            <w:noWrap w:val="0"/>
            <w:vAlign w:val="center"/>
          </w:tcPr>
          <w:p w14:paraId="159279AD">
            <w:pPr>
              <w:rPr>
                <w:rFonts w:hint="eastAsia" w:ascii="宋体" w:hAnsi="宋体" w:eastAsia="宋体" w:cs="宋体"/>
                <w:color w:val="auto"/>
                <w:sz w:val="24"/>
                <w:szCs w:val="24"/>
              </w:rPr>
            </w:pPr>
            <w:r>
              <w:rPr>
                <w:rFonts w:hint="eastAsia" w:ascii="宋体" w:hAnsi="宋体" w:eastAsia="宋体" w:cs="宋体"/>
                <w:color w:val="auto"/>
                <w:sz w:val="24"/>
                <w:szCs w:val="24"/>
              </w:rPr>
              <w:t>“一张网”应用系统运维支持服务</w:t>
            </w:r>
          </w:p>
        </w:tc>
        <w:tc>
          <w:tcPr>
            <w:tcW w:w="2750" w:type="pct"/>
            <w:noWrap w:val="0"/>
            <w:vAlign w:val="center"/>
          </w:tcPr>
          <w:p w14:paraId="6DF99BC9">
            <w:pPr>
              <w:rPr>
                <w:rFonts w:hint="eastAsia" w:ascii="宋体" w:hAnsi="宋体" w:eastAsia="宋体" w:cs="宋体"/>
                <w:color w:val="auto"/>
                <w:sz w:val="24"/>
                <w:szCs w:val="24"/>
              </w:rPr>
            </w:pPr>
            <w:r>
              <w:rPr>
                <w:rFonts w:hint="eastAsia" w:ascii="宋体" w:hAnsi="宋体" w:eastAsia="宋体" w:cs="宋体"/>
                <w:color w:val="auto"/>
                <w:sz w:val="24"/>
                <w:szCs w:val="24"/>
              </w:rPr>
              <w:t xml:space="preserve"> “一张网”应用运维服务需求</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具体服务内容如下：</w:t>
            </w:r>
          </w:p>
          <w:p w14:paraId="0D0A6885">
            <w:pPr>
              <w:rPr>
                <w:rFonts w:hint="eastAsia" w:ascii="宋体" w:hAnsi="宋体" w:eastAsia="宋体" w:cs="宋体"/>
                <w:color w:val="auto"/>
                <w:sz w:val="24"/>
                <w:szCs w:val="24"/>
              </w:rPr>
            </w:pPr>
            <w:r>
              <w:rPr>
                <w:rFonts w:hint="eastAsia" w:ascii="宋体" w:hAnsi="宋体" w:eastAsia="宋体" w:cs="宋体"/>
                <w:color w:val="auto"/>
                <w:sz w:val="24"/>
                <w:szCs w:val="24"/>
              </w:rPr>
              <w:t>（1）业务应用例行巡检：每日开展应用系统可用性巡检服务、应用监控服务。</w:t>
            </w:r>
          </w:p>
          <w:p w14:paraId="6AAAECB5">
            <w:pPr>
              <w:rPr>
                <w:rFonts w:hint="eastAsia" w:ascii="宋体" w:hAnsi="宋体" w:eastAsia="宋体" w:cs="宋体"/>
                <w:color w:val="auto"/>
                <w:sz w:val="24"/>
                <w:szCs w:val="24"/>
              </w:rPr>
            </w:pPr>
            <w:r>
              <w:rPr>
                <w:rFonts w:hint="eastAsia" w:ascii="宋体" w:hAnsi="宋体" w:eastAsia="宋体" w:cs="宋体"/>
                <w:color w:val="auto"/>
                <w:sz w:val="24"/>
                <w:szCs w:val="24"/>
              </w:rPr>
              <w:t>（2）知识梳理下发：梳理全市性应用系统运维问题，形成运维知识并下发。</w:t>
            </w:r>
          </w:p>
          <w:p w14:paraId="61C474FA">
            <w:pPr>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两级法院使用咨询：受理解答</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两级法院干警应用功能使用操作、流程操作等技术咨询问题，必要时提供上门指导。</w:t>
            </w:r>
          </w:p>
          <w:p w14:paraId="774BB6DE">
            <w:pPr>
              <w:rPr>
                <w:rFonts w:hint="eastAsia"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两级法院的工单处理：受理解答全市法院上报转办到中院的工单。</w:t>
            </w:r>
          </w:p>
          <w:p w14:paraId="6B832CCC">
            <w:pPr>
              <w:rPr>
                <w:rFonts w:hint="eastAsia" w:ascii="宋体" w:hAnsi="宋体" w:eastAsia="宋体" w:cs="宋体"/>
                <w:color w:val="auto"/>
                <w:sz w:val="24"/>
                <w:szCs w:val="24"/>
              </w:rPr>
            </w:pPr>
            <w:r>
              <w:rPr>
                <w:rFonts w:hint="eastAsia" w:ascii="宋体" w:hAnsi="宋体" w:eastAsia="宋体" w:cs="宋体"/>
                <w:color w:val="auto"/>
                <w:sz w:val="24"/>
                <w:szCs w:val="24"/>
              </w:rPr>
              <w:t>（5）业务故障处理及故障记录：一张网BUG记录与处理，对中院本级以及</w:t>
            </w:r>
            <w:r>
              <w:rPr>
                <w:rFonts w:hint="eastAsia" w:ascii="宋体" w:hAnsi="宋体" w:eastAsia="宋体" w:cs="宋体"/>
                <w:color w:val="auto"/>
                <w:sz w:val="24"/>
                <w:szCs w:val="24"/>
                <w:lang w:val="en-US" w:eastAsia="zh-CN"/>
              </w:rPr>
              <w:t>辖区法院</w:t>
            </w:r>
            <w:r>
              <w:rPr>
                <w:rFonts w:hint="eastAsia" w:ascii="宋体" w:hAnsi="宋体" w:eastAsia="宋体" w:cs="宋体"/>
                <w:color w:val="auto"/>
                <w:sz w:val="24"/>
                <w:szCs w:val="24"/>
              </w:rPr>
              <w:t>无法解决的应用疑难问题进行排查分析并反馈，如应用流程问题、应用功能问题等。</w:t>
            </w:r>
          </w:p>
          <w:p w14:paraId="6FF74F1B">
            <w:pPr>
              <w:rPr>
                <w:rFonts w:hint="eastAsia" w:ascii="宋体" w:hAnsi="宋体" w:eastAsia="宋体" w:cs="宋体"/>
                <w:color w:val="auto"/>
                <w:sz w:val="24"/>
                <w:szCs w:val="24"/>
              </w:rPr>
            </w:pPr>
            <w:r>
              <w:rPr>
                <w:rFonts w:hint="eastAsia" w:ascii="宋体" w:hAnsi="宋体" w:eastAsia="宋体" w:cs="宋体"/>
                <w:color w:val="auto"/>
                <w:sz w:val="24"/>
                <w:szCs w:val="24"/>
              </w:rPr>
              <w:t>（6）应用故障上报：对</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两级法院无法解决的故障和需求上报高院二线专家，如平台无法打开、无法登陆或报错、流程报错或空白、审批状态异常等。</w:t>
            </w:r>
          </w:p>
          <w:p w14:paraId="26ABBDC1">
            <w:pPr>
              <w:rPr>
                <w:rFonts w:hint="eastAsia" w:ascii="宋体" w:hAnsi="宋体" w:eastAsia="宋体" w:cs="宋体"/>
                <w:color w:val="auto"/>
                <w:sz w:val="24"/>
                <w:szCs w:val="24"/>
              </w:rPr>
            </w:pPr>
            <w:r>
              <w:rPr>
                <w:rFonts w:hint="eastAsia" w:ascii="宋体" w:hAnsi="宋体" w:eastAsia="宋体" w:cs="宋体"/>
                <w:color w:val="auto"/>
                <w:sz w:val="24"/>
                <w:szCs w:val="24"/>
              </w:rPr>
              <w:t>（7）账户权限处理（应用权限、账户、组织机构）：提供账号、权限等配置，以及系统对接产生的问题沟通协调，具体问题包含账户的修改、账户权限问题的赋能、忘记密码或密码重置、所属部门调整、状态调整、组织机构调整。</w:t>
            </w:r>
          </w:p>
          <w:p w14:paraId="53601F4E">
            <w:pPr>
              <w:rPr>
                <w:rFonts w:hint="eastAsia" w:ascii="宋体" w:hAnsi="宋体" w:eastAsia="宋体" w:cs="宋体"/>
                <w:color w:val="auto"/>
                <w:sz w:val="24"/>
                <w:szCs w:val="24"/>
              </w:rPr>
            </w:pPr>
            <w:r>
              <w:rPr>
                <w:rFonts w:hint="eastAsia" w:ascii="宋体" w:hAnsi="宋体" w:eastAsia="宋体" w:cs="宋体"/>
                <w:color w:val="auto"/>
                <w:sz w:val="24"/>
                <w:szCs w:val="24"/>
              </w:rPr>
              <w:t>（8）业务流程配置：根据</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两级法院用户提出的诉服事项业务进行流程配置、业务规则配置、文书模板等调整需求，进行后台配置。</w:t>
            </w:r>
          </w:p>
          <w:p w14:paraId="1C9BAB9E">
            <w:pPr>
              <w:rPr>
                <w:rFonts w:hint="eastAsia" w:ascii="宋体" w:hAnsi="宋体" w:eastAsia="宋体" w:cs="宋体"/>
                <w:color w:val="auto"/>
                <w:sz w:val="24"/>
                <w:szCs w:val="24"/>
              </w:rPr>
            </w:pPr>
            <w:r>
              <w:rPr>
                <w:rFonts w:hint="eastAsia" w:ascii="宋体" w:hAnsi="宋体" w:eastAsia="宋体" w:cs="宋体"/>
                <w:color w:val="auto"/>
                <w:sz w:val="24"/>
                <w:szCs w:val="24"/>
              </w:rPr>
              <w:t>（9）缺陷跟踪与反馈：对反馈并确认为软件缺陷问题的处理进展进行跟踪和反馈。</w:t>
            </w:r>
          </w:p>
          <w:p w14:paraId="17D480F7">
            <w:pPr>
              <w:rPr>
                <w:rFonts w:hint="eastAsia" w:ascii="宋体" w:hAnsi="宋体" w:eastAsia="宋体" w:cs="宋体"/>
                <w:color w:val="auto"/>
                <w:sz w:val="24"/>
                <w:szCs w:val="24"/>
              </w:rPr>
            </w:pPr>
            <w:r>
              <w:rPr>
                <w:rFonts w:hint="eastAsia" w:ascii="宋体" w:hAnsi="宋体" w:eastAsia="宋体" w:cs="宋体"/>
                <w:color w:val="auto"/>
                <w:sz w:val="24"/>
                <w:szCs w:val="24"/>
              </w:rPr>
              <w:t>（10）升级测试验证：配合应用系统升级进行相关的功能测试验证，确认新功能或缺陷修复情况。</w:t>
            </w:r>
          </w:p>
          <w:p w14:paraId="725DE8FA">
            <w:pPr>
              <w:rPr>
                <w:rFonts w:hint="eastAsia" w:ascii="宋体" w:hAnsi="宋体" w:eastAsia="宋体" w:cs="宋体"/>
                <w:color w:val="auto"/>
                <w:sz w:val="24"/>
                <w:szCs w:val="24"/>
              </w:rPr>
            </w:pPr>
            <w:r>
              <w:rPr>
                <w:rFonts w:hint="eastAsia" w:ascii="宋体" w:hAnsi="宋体" w:eastAsia="宋体" w:cs="宋体"/>
                <w:color w:val="auto"/>
                <w:sz w:val="24"/>
                <w:szCs w:val="24"/>
              </w:rPr>
              <w:t>（11）分析总结：对产生的工单定期进行分类总结，形成周期性报告。</w:t>
            </w:r>
          </w:p>
          <w:p w14:paraId="73706867">
            <w:pP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完成本院安排的其他临时性运维保障服务。</w:t>
            </w:r>
          </w:p>
        </w:tc>
        <w:tc>
          <w:tcPr>
            <w:tcW w:w="604" w:type="pct"/>
            <w:noWrap w:val="0"/>
            <w:vAlign w:val="center"/>
          </w:tcPr>
          <w:p w14:paraId="1A26468B">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人</w:t>
            </w:r>
          </w:p>
        </w:tc>
        <w:tc>
          <w:tcPr>
            <w:tcW w:w="623" w:type="pct"/>
            <w:noWrap w:val="0"/>
            <w:vAlign w:val="center"/>
          </w:tcPr>
          <w:p w14:paraId="6F05D3FA">
            <w:pPr>
              <w:rPr>
                <w:rFonts w:hint="eastAsia" w:ascii="宋体" w:hAnsi="宋体" w:eastAsia="宋体" w:cs="宋体"/>
                <w:color w:val="auto"/>
                <w:sz w:val="24"/>
                <w:szCs w:val="24"/>
              </w:rPr>
            </w:pPr>
            <w:r>
              <w:rPr>
                <w:rFonts w:hint="eastAsia" w:ascii="宋体" w:hAnsi="宋体" w:eastAsia="宋体" w:cs="宋体"/>
                <w:color w:val="auto"/>
                <w:sz w:val="24"/>
                <w:szCs w:val="24"/>
              </w:rPr>
              <w:t>提供不少于法院正式干警上班时长的现场运维服务，提供7*24 小时电话支特服务。</w:t>
            </w:r>
          </w:p>
        </w:tc>
      </w:tr>
    </w:tbl>
    <w:p w14:paraId="6C00DE87">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w:t>
      </w: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）项目服务能力要求</w:t>
      </w:r>
    </w:p>
    <w:p w14:paraId="239A614D">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成交供应商应具备全国法院“一张网”运维保障服务的能力：</w:t>
      </w:r>
    </w:p>
    <w:p w14:paraId="3C1C6467">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（1）成交供应商应熟悉全国法院“一张网”相关政策、规范、系统；</w:t>
      </w:r>
    </w:p>
    <w:p w14:paraId="4BF13D03">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（2）成交供应商应密切对接二线服务团队（</w:t>
      </w:r>
      <w:r>
        <w:rPr>
          <w:rFonts w:hint="eastAsia" w:ascii="宋体" w:hAnsi="宋体" w:eastAsia="宋体" w:cs="宋体"/>
          <w:color w:val="auto"/>
          <w:sz w:val="24"/>
          <w:szCs w:val="24"/>
          <w:lang w:val="en-US" w:eastAsia="zh-CN"/>
        </w:rPr>
        <w:t>海南</w:t>
      </w:r>
      <w:r>
        <w:rPr>
          <w:rFonts w:hint="eastAsia" w:ascii="宋体" w:hAnsi="宋体" w:eastAsia="宋体" w:cs="宋体"/>
          <w:color w:val="auto"/>
          <w:sz w:val="24"/>
          <w:szCs w:val="24"/>
        </w:rPr>
        <w:t>高院、最高法院），支撑驻场服务人员提供运维保障服务；</w:t>
      </w:r>
    </w:p>
    <w:p w14:paraId="27B2E429">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（3）成交供应商应具备在全国其他“一张网”省份的运维保障服务经验。</w:t>
      </w:r>
    </w:p>
    <w:p w14:paraId="4067ED7C">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（4）成交供应商应提供固定的7×24小时故障受理电话服务。</w:t>
      </w:r>
    </w:p>
    <w:p w14:paraId="4A9F89CF">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（5）重大时间段根据用户要求，提供特殊时间段的运维服务；</w:t>
      </w:r>
    </w:p>
    <w:p w14:paraId="3DD06EC7">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（6）响应时限：根据故障响应级别，接障后运维人员必须按相应的服务响应要求作出响应，详细记录故障现象。接障后按服务级别内解决并完成服务需求。</w:t>
      </w:r>
    </w:p>
    <w:p w14:paraId="3B7C99E5">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（7）节假日现场值班服务：根据需要，节假日提供现场值班服务，记录及处理突发事件。</w:t>
      </w:r>
    </w:p>
    <w:p w14:paraId="21275682">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w:t>
      </w:r>
      <w:r>
        <w:rPr>
          <w:rFonts w:hint="eastAsia" w:ascii="宋体" w:hAnsi="宋体" w:eastAsia="宋体" w:cs="宋体"/>
          <w:b/>
          <w:color w:val="auto"/>
          <w:sz w:val="24"/>
          <w:szCs w:val="24"/>
          <w:lang w:val="en-US" w:eastAsia="zh-CN"/>
        </w:rPr>
        <w:t>三</w:t>
      </w:r>
      <w:r>
        <w:rPr>
          <w:rFonts w:hint="eastAsia" w:ascii="宋体" w:hAnsi="宋体" w:eastAsia="宋体" w:cs="宋体"/>
          <w:b/>
          <w:color w:val="auto"/>
          <w:sz w:val="24"/>
          <w:szCs w:val="24"/>
        </w:rPr>
        <w:t>）项目服务保密要求</w:t>
      </w:r>
    </w:p>
    <w:p w14:paraId="28B92BDE">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1.成交供应商应签订保密协议，对其因身份、职务、职业或技术关系而知悉的采购人商业秘密和党政机关保密信息应严格保守，保证不被披露或使用，包括意外或过失。</w:t>
      </w:r>
    </w:p>
    <w:p w14:paraId="7E97EDC8">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成交供应商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成交供应商在从事政府项目时，不得擅自记录、复制、拍摄、摘抄、收藏在工作中涉及的保密信息，严禁将涉及政府项目的任何资料、数据透露或以其他方式提供给项目以外的其他方或成交供应商内部与该项目无关的任何人员。</w:t>
      </w:r>
    </w:p>
    <w:p w14:paraId="711A2EC6">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成交供应商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w:t>
      </w:r>
    </w:p>
    <w:p w14:paraId="00FCE2A7">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4.严禁泄露在工作中接触到的政府机关科技研究、发明、装备器材及其技术资料和政府工作信息。</w:t>
      </w:r>
    </w:p>
    <w:p w14:paraId="043C2252">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5.其他保密要求参照系统运维服务要求。</w:t>
      </w:r>
    </w:p>
    <w:p w14:paraId="489ACFEA">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w:t>
      </w:r>
      <w:r>
        <w:rPr>
          <w:rFonts w:hint="eastAsia" w:ascii="宋体" w:hAnsi="宋体" w:eastAsia="宋体" w:cs="宋体"/>
          <w:b/>
          <w:color w:val="auto"/>
          <w:sz w:val="24"/>
          <w:szCs w:val="24"/>
          <w:lang w:val="en-US" w:eastAsia="zh-CN"/>
        </w:rPr>
        <w:t>四</w:t>
      </w:r>
      <w:r>
        <w:rPr>
          <w:rFonts w:hint="eastAsia" w:ascii="宋体" w:hAnsi="宋体" w:eastAsia="宋体" w:cs="宋体"/>
          <w:b/>
          <w:color w:val="auto"/>
          <w:sz w:val="24"/>
          <w:szCs w:val="24"/>
        </w:rPr>
        <w:t>）验收方式</w:t>
      </w:r>
    </w:p>
    <w:p w14:paraId="56DEC3A1">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1.成交供应商按照国家项目档案管理的相关规定，在服务期届满之日起30天内向采购人提出验收申请，采购人对本项目进行验收。</w:t>
      </w:r>
    </w:p>
    <w:p w14:paraId="6F1826D5">
      <w:pPr>
        <w:spacing w:line="460" w:lineRule="exact"/>
        <w:ind w:firstLine="480" w:firstLineChars="200"/>
        <w:rPr>
          <w:rFonts w:hint="eastAsia" w:ascii="宋体" w:hAnsi="宋体" w:eastAsia="宋体" w:cs="宋体"/>
          <w:b/>
          <w:bCs/>
          <w:color w:val="auto"/>
          <w:sz w:val="24"/>
          <w:szCs w:val="24"/>
        </w:rPr>
      </w:pPr>
      <w:r>
        <w:rPr>
          <w:rFonts w:hint="eastAsia" w:ascii="宋体" w:hAnsi="宋体" w:eastAsia="宋体" w:cs="宋体"/>
          <w:color w:val="auto"/>
          <w:sz w:val="24"/>
          <w:szCs w:val="24"/>
        </w:rPr>
        <w:t>2.</w:t>
      </w:r>
      <w:r>
        <w:rPr>
          <w:rFonts w:hint="eastAsia" w:ascii="宋体" w:hAnsi="宋体" w:eastAsia="宋体" w:cs="宋体"/>
          <w:b/>
          <w:bCs/>
          <w:color w:val="auto"/>
          <w:sz w:val="24"/>
          <w:szCs w:val="24"/>
        </w:rPr>
        <w:t>验收要求：本项目进行一次性验收，运维服务成果符合项目要求，并将服务过程的中间产物全部移交</w:t>
      </w:r>
      <w:r>
        <w:rPr>
          <w:rFonts w:hint="eastAsia" w:ascii="宋体" w:hAnsi="宋体" w:eastAsia="宋体" w:cs="宋体"/>
          <w:b/>
          <w:bCs/>
          <w:color w:val="auto"/>
          <w:sz w:val="24"/>
          <w:szCs w:val="24"/>
          <w:lang w:val="en-US" w:eastAsia="zh-CN"/>
        </w:rPr>
        <w:t>海口</w:t>
      </w:r>
      <w:r>
        <w:rPr>
          <w:rFonts w:hint="eastAsia" w:ascii="宋体" w:hAnsi="宋体" w:eastAsia="宋体" w:cs="宋体"/>
          <w:b/>
          <w:bCs/>
          <w:color w:val="auto"/>
          <w:sz w:val="24"/>
          <w:szCs w:val="24"/>
        </w:rPr>
        <w:t>市中级人民法院，经过考核并按考核管理的内容完成奖惩工作，根据用户反馈评价结果进行评价。</w:t>
      </w:r>
    </w:p>
    <w:p w14:paraId="4093BFB1">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3.验收内容包括：a.文档资料：检查提交的文档是否齐全、是否合格。b.响应支持：服务过程中是否建立了有效的技术支持机制，用户在遇到问题时是否得到及时的帮助和解决方案。以及用户反馈评价结果。</w:t>
      </w:r>
    </w:p>
    <w:p w14:paraId="2D017F26">
      <w:pPr>
        <w:spacing w:line="46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w:t>
      </w:r>
      <w:r>
        <w:rPr>
          <w:rFonts w:hint="eastAsia" w:ascii="宋体" w:hAnsi="宋体" w:eastAsia="宋体" w:cs="宋体"/>
          <w:b/>
          <w:color w:val="auto"/>
          <w:sz w:val="24"/>
          <w:szCs w:val="24"/>
          <w:lang w:val="en-US" w:eastAsia="zh-CN"/>
        </w:rPr>
        <w:t>五</w:t>
      </w:r>
      <w:r>
        <w:rPr>
          <w:rFonts w:hint="eastAsia" w:ascii="宋体" w:hAnsi="宋体" w:eastAsia="宋体" w:cs="宋体"/>
          <w:b/>
          <w:color w:val="auto"/>
          <w:sz w:val="24"/>
          <w:szCs w:val="24"/>
        </w:rPr>
        <w:t>）资产权属</w:t>
      </w:r>
    </w:p>
    <w:p w14:paraId="4BDBC9A4">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1.项目合同不会引起任何已申请、登记的知识产权所有权的转移。</w:t>
      </w:r>
    </w:p>
    <w:p w14:paraId="08854FE7">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2.成交供应商、采购人双方一致同意，项目合同所涉服务成果的知识产权归属按下列第1种方式处理：</w:t>
      </w:r>
    </w:p>
    <w:p w14:paraId="582A952C">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（1）成交供应商为履行项目合同义务所形成的服务成果的知识产权归采购人所有。</w:t>
      </w:r>
    </w:p>
    <w:p w14:paraId="28851BB3">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采购人基于项目合同约定委托成交供应商提供的产品、程序、服务等的知识产权归采购人、成交供应商（含成交供应商合作商）共同所有，成交供应商应按采购人书面要求交付该共有部分的源代码；成交供应商（含成交供应商合作商）在共有部分的基础上进行二次开发的及对二次开发形成的产品、程序等财产进行处置的，需经采购人书面同意，二次开发所形成的产品、程序、服务等的知识产权归开发者所有，共有部分仍归采购人、成交供应商（含成交供应商合作商）共同所有。</w:t>
      </w:r>
    </w:p>
    <w:p w14:paraId="4A86FA4B">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（3）共有部分的知识产权甲方可授权给法院行业使用（费用已包含在报价中）。</w:t>
      </w:r>
    </w:p>
    <w:p w14:paraId="1FBC7F7E">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3.项目合同所涉及的数据所有权归法院所有。成交供应商只能用于履行项目合同之义务。</w:t>
      </w:r>
    </w:p>
    <w:p w14:paraId="64DA8E93">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 成交供应商提供的相关软件应是自行开发的产品或具备合法、合规授权，满足知识产权、安全等级保护等方面的有关规定和要求。</w:t>
      </w:r>
    </w:p>
    <w:p w14:paraId="6920F4AC">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 成交供应商保证向采购人提供的服务成果是其独立实施完成，不存在任何侵犯第三方专利权、商标权、著作权等合法权益。如因成交供应商提供的服务成果侵犯任何第三方的合法权益，导致该第三方追究采购人责任的，成交供应商应负责解决并赔偿因此给采购人造成的全部</w:t>
      </w:r>
      <w:bookmarkStart w:id="0" w:name="_GoBack"/>
      <w:bookmarkEnd w:id="0"/>
      <w:r>
        <w:rPr>
          <w:rFonts w:hint="eastAsia" w:ascii="宋体" w:hAnsi="宋体" w:eastAsia="宋体" w:cs="宋体"/>
          <w:color w:val="auto"/>
          <w:sz w:val="24"/>
          <w:szCs w:val="24"/>
        </w:rPr>
        <w:t>损失。</w:t>
      </w:r>
    </w:p>
    <w:p w14:paraId="5F6CDA98">
      <w:pPr>
        <w:numPr>
          <w:ilvl w:val="0"/>
          <w:numId w:val="1"/>
        </w:numPr>
        <w:spacing w:line="460" w:lineRule="exact"/>
        <w:rPr>
          <w:rFonts w:hint="eastAsia" w:ascii="宋体" w:hAnsi="宋体" w:eastAsia="宋体" w:cs="宋体"/>
          <w:b/>
          <w:bCs/>
          <w:color w:val="auto"/>
          <w:kern w:val="2"/>
          <w:sz w:val="24"/>
          <w:szCs w:val="24"/>
        </w:rPr>
      </w:pPr>
      <w:r>
        <w:rPr>
          <w:rFonts w:hint="eastAsia" w:ascii="仿宋_GB2312" w:hAnsi="仿宋_GB2312" w:eastAsia="仿宋_GB2312" w:cs="仿宋_GB2312"/>
          <w:b/>
          <w:bCs/>
          <w:color w:val="auto"/>
          <w:sz w:val="24"/>
          <w:szCs w:val="24"/>
          <w:lang w:val="en-US" w:eastAsia="zh-CN"/>
        </w:rPr>
        <w:t>★</w:t>
      </w:r>
      <w:r>
        <w:rPr>
          <w:rFonts w:hint="eastAsia" w:ascii="宋体" w:hAnsi="宋体" w:eastAsia="宋体" w:cs="宋体"/>
          <w:b/>
          <w:bCs/>
          <w:color w:val="auto"/>
          <w:kern w:val="2"/>
          <w:sz w:val="24"/>
          <w:szCs w:val="24"/>
        </w:rPr>
        <w:t>采购项目商务要求</w:t>
      </w:r>
    </w:p>
    <w:p w14:paraId="3D77C785">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1、服务期</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合同履行期限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自合同签订生效之日起1年</w:t>
      </w:r>
      <w:r>
        <w:rPr>
          <w:rFonts w:hint="eastAsia" w:ascii="宋体" w:hAnsi="宋体" w:eastAsia="宋体" w:cs="宋体"/>
          <w:color w:val="auto"/>
          <w:sz w:val="24"/>
          <w:szCs w:val="24"/>
        </w:rPr>
        <w:t>。</w:t>
      </w:r>
    </w:p>
    <w:p w14:paraId="7E164ED9">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2、服务地点：</w:t>
      </w:r>
      <w:r>
        <w:rPr>
          <w:rFonts w:hint="eastAsia" w:ascii="宋体" w:hAnsi="宋体" w:eastAsia="宋体" w:cs="宋体"/>
          <w:color w:val="auto"/>
          <w:sz w:val="24"/>
          <w:szCs w:val="24"/>
          <w:lang w:val="en-US" w:eastAsia="zh-CN"/>
        </w:rPr>
        <w:t>海口</w:t>
      </w:r>
      <w:r>
        <w:rPr>
          <w:rFonts w:hint="eastAsia" w:ascii="宋体" w:hAnsi="宋体" w:eastAsia="宋体" w:cs="宋体"/>
          <w:color w:val="auto"/>
          <w:sz w:val="24"/>
          <w:szCs w:val="24"/>
        </w:rPr>
        <w:t>市中级人民法院。</w:t>
      </w:r>
    </w:p>
    <w:p w14:paraId="1AB275C6">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3、报价要求：应为人民币含税全包价，包括</w:t>
      </w:r>
      <w:r>
        <w:rPr>
          <w:rFonts w:hint="eastAsia" w:ascii="宋体" w:hAnsi="宋体" w:eastAsia="宋体" w:cs="宋体"/>
          <w:color w:val="auto"/>
          <w:sz w:val="24"/>
          <w:szCs w:val="24"/>
          <w:lang w:val="en-US" w:eastAsia="zh-CN"/>
        </w:rPr>
        <w:t>但不限于配合原供应一张网厂商</w:t>
      </w:r>
      <w:r>
        <w:rPr>
          <w:rFonts w:hint="eastAsia" w:ascii="宋体" w:hAnsi="宋体" w:eastAsia="宋体" w:cs="宋体"/>
          <w:color w:val="auto"/>
          <w:sz w:val="24"/>
          <w:szCs w:val="24"/>
        </w:rPr>
        <w:t>软件、安装调试、运行维护、培训及验收等一切费用。</w:t>
      </w:r>
    </w:p>
    <w:p w14:paraId="1A3C804E">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4、付款方式：第一笔款 ：合同签订后，用户方在收到成交供应商开具的等额国家正式发票15个工作日内，向成交供应商支付合同总金额的50%。第二笔款：在项目验收合格后，用户方在收到成交供应商开具的等额国家正式发票15个工作日内，向成交供应商支付合同总金额的50%。</w:t>
      </w:r>
    </w:p>
    <w:p w14:paraId="6C85A70B">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5、验收要求：成交供应商应按照采购方规定进行服务工作，所完成的服务需达到采购方要求。</w:t>
      </w:r>
    </w:p>
    <w:p w14:paraId="7DB42624">
      <w:pPr>
        <w:spacing w:line="46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6、其他：驻场服务人员遵守法院相关制度规定，接受法院管理。</w:t>
      </w:r>
    </w:p>
    <w:p w14:paraId="2AC675C1">
      <w:pPr>
        <w:pStyle w:val="2"/>
        <w:rPr>
          <w:rFonts w:hint="default" w:eastAsia="仿宋_GB2312"/>
          <w:b/>
          <w:bCs/>
          <w:color w:val="auto"/>
          <w:sz w:val="20"/>
          <w:szCs w:val="20"/>
          <w:lang w:val="en-US" w:eastAsia="zh-CN"/>
        </w:rPr>
      </w:pPr>
      <w:r>
        <w:rPr>
          <w:rFonts w:hint="eastAsia" w:ascii="仿宋_GB2312" w:hAnsi="仿宋_GB2312" w:eastAsia="仿宋_GB2312" w:cs="仿宋_GB2312"/>
          <w:b/>
          <w:bCs/>
          <w:color w:val="auto"/>
          <w:sz w:val="28"/>
          <w:szCs w:val="28"/>
          <w:lang w:val="en-US" w:eastAsia="zh-CN"/>
        </w:rPr>
        <w:t>注：以上标有“★”条款为实质性响应条款，不允许偏离，若偏离则视为无效投标处理。</w:t>
      </w:r>
    </w:p>
    <w:p w14:paraId="240BABCF"/>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194F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1E028">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791E028">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9E6912"/>
    <w:multiLevelType w:val="multilevel"/>
    <w:tmpl w:val="5F9E6912"/>
    <w:lvl w:ilvl="0" w:tentative="0">
      <w:start w:val="1"/>
      <w:numFmt w:val="chineseCountingThousand"/>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270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before="60"/>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2026-02-06T01:28:05Z</dcterms:created>
  <dc:creator>Administrator</dc:creator>
  <cp:lastModifiedBy>符号</cp:lastModifiedBy>
  <dcterms:modified xsi:type="dcterms:W3CDTF">2026-02-06T01:28:19Z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eyJoZGlkIjoiM2Y2MGI1YzgzYTQxMWFhM2UwYWIxMTI3OGJhMWI2OTEiLCJ1c2VySWQiOiIxMTc1MDcyNTUwIn0=</vt:lpwstr>
  </property>
  <property fmtid="{D5CDD505-2E9C-101B-9397-08002B2CF9AE}" pid="4" name="ICV">
    <vt:lpwstr>B3D93C92B8E04A19949DAF3830204F05_12</vt:lpwstr>
  </property>
</Properties>
</file>