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6EE0D">
      <w:pPr>
        <w:spacing w:after="0"/>
        <w:jc w:val="center"/>
        <w:rPr>
          <w:rFonts w:hint="eastAsia" w:asciiTheme="minorEastAsia" w:hAnsiTheme="minorEastAsia" w:eastAsiaTheme="minorEastAsia"/>
          <w:b/>
          <w:sz w:val="72"/>
          <w:szCs w:val="56"/>
          <w:lang w:eastAsia="zh-CN"/>
        </w:rPr>
      </w:pPr>
      <w:r>
        <w:rPr>
          <w:rFonts w:hint="eastAsia" w:asciiTheme="minorEastAsia" w:hAnsiTheme="minorEastAsia" w:eastAsiaTheme="minorEastAsia"/>
          <w:b/>
          <w:sz w:val="72"/>
          <w:szCs w:val="56"/>
          <w:lang w:eastAsia="zh-CN"/>
        </w:rPr>
        <w:drawing>
          <wp:anchor distT="0" distB="0" distL="114300" distR="114300" simplePos="0" relativeHeight="251662336" behindDoc="0" locked="0" layoutInCell="1" allowOverlap="1">
            <wp:simplePos x="0" y="0"/>
            <wp:positionH relativeFrom="column">
              <wp:posOffset>-1141095</wp:posOffset>
            </wp:positionH>
            <wp:positionV relativeFrom="paragraph">
              <wp:posOffset>-936625</wp:posOffset>
            </wp:positionV>
            <wp:extent cx="7569200" cy="10706735"/>
            <wp:effectExtent l="0" t="0" r="12700" b="18415"/>
            <wp:wrapTopAndBottom/>
            <wp:docPr id="2" name="图片 2" descr="IMG_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0007"/>
                    <pic:cNvPicPr>
                      <a:picLocks noChangeAspect="1"/>
                    </pic:cNvPicPr>
                  </pic:nvPicPr>
                  <pic:blipFill>
                    <a:blip r:embed="rId12"/>
                    <a:stretch>
                      <a:fillRect/>
                    </a:stretch>
                  </pic:blipFill>
                  <pic:spPr>
                    <a:xfrm>
                      <a:off x="0" y="0"/>
                      <a:ext cx="7569200" cy="10706735"/>
                    </a:xfrm>
                    <a:prstGeom prst="rect">
                      <a:avLst/>
                    </a:prstGeom>
                  </pic:spPr>
                </pic:pic>
              </a:graphicData>
            </a:graphic>
          </wp:anchor>
        </w:drawing>
      </w:r>
    </w:p>
    <w:p w14:paraId="2FC6B20E">
      <w:pPr>
        <w:pStyle w:val="13"/>
        <w:keepNext w:val="0"/>
        <w:keepLines w:val="0"/>
        <w:pageBreakBefore w:val="0"/>
        <w:widowControl/>
        <w:tabs>
          <w:tab w:val="right" w:leader="dot" w:pos="9446"/>
        </w:tabs>
        <w:kinsoku/>
        <w:wordWrap/>
        <w:overflowPunct/>
        <w:topLinePunct w:val="0"/>
        <w:autoSpaceDE/>
        <w:autoSpaceDN/>
        <w:bidi w:val="0"/>
        <w:adjustRightInd/>
        <w:snapToGrid/>
        <w:spacing w:before="313" w:beforeLines="100" w:after="313" w:afterLines="100" w:line="480" w:lineRule="auto"/>
        <w:jc w:val="center"/>
        <w:textAlignment w:val="auto"/>
        <w:rPr>
          <w:rFonts w:ascii="宋体" w:hAnsi="宋体" w:cs="宋体"/>
          <w:b/>
          <w:bCs/>
          <w:color w:val="auto"/>
          <w:sz w:val="48"/>
          <w:szCs w:val="48"/>
          <w:highlight w:val="none"/>
        </w:rPr>
      </w:pPr>
      <w:r>
        <w:rPr>
          <w:rFonts w:ascii="宋体" w:hAnsi="宋体" w:cs="宋体"/>
          <w:b/>
          <w:bCs/>
          <w:color w:val="auto"/>
          <w:sz w:val="48"/>
          <w:szCs w:val="48"/>
          <w:highlight w:val="none"/>
        </w:rPr>
        <w:t>目  录</w:t>
      </w:r>
    </w:p>
    <w:p w14:paraId="1611BB49">
      <w:pPr>
        <w:pStyle w:val="13"/>
        <w:pageBreakBefore w:val="0"/>
        <w:tabs>
          <w:tab w:val="right" w:leader="dot" w:pos="8879"/>
        </w:tabs>
        <w:kinsoku/>
        <w:wordWrap/>
        <w:overflowPunct/>
        <w:topLinePunct w:val="0"/>
        <w:autoSpaceDE/>
        <w:autoSpaceDN/>
        <w:bidi w:val="0"/>
        <w:adjustRightInd/>
        <w:snapToGrid/>
        <w:spacing w:line="560" w:lineRule="exact"/>
        <w:textAlignment w:val="auto"/>
        <w:rPr>
          <w:sz w:val="36"/>
          <w:szCs w:val="36"/>
        </w:rPr>
      </w:pPr>
      <w:r>
        <w:rPr>
          <w:rFonts w:hint="eastAsia" w:ascii="宋体" w:hAnsi="宋体" w:eastAsia="宋体" w:cs="宋体"/>
          <w:color w:val="auto"/>
          <w:sz w:val="44"/>
          <w:szCs w:val="44"/>
          <w:highlight w:val="none"/>
        </w:rPr>
        <w:fldChar w:fldCharType="begin"/>
      </w:r>
      <w:r>
        <w:rPr>
          <w:rFonts w:hint="eastAsia" w:ascii="宋体" w:hAnsi="宋体" w:eastAsia="宋体" w:cs="宋体"/>
          <w:color w:val="auto"/>
          <w:sz w:val="44"/>
          <w:szCs w:val="44"/>
          <w:highlight w:val="none"/>
        </w:rPr>
        <w:instrText xml:space="preserve">TOC \o "1-1" \h \u </w:instrText>
      </w:r>
      <w:r>
        <w:rPr>
          <w:rFonts w:hint="eastAsia" w:ascii="宋体" w:hAnsi="宋体" w:eastAsia="宋体" w:cs="宋体"/>
          <w:color w:val="auto"/>
          <w:sz w:val="44"/>
          <w:szCs w:val="44"/>
          <w:highlight w:val="none"/>
        </w:rPr>
        <w:fldChar w:fldCharType="separate"/>
      </w:r>
      <w:r>
        <w:rPr>
          <w:rFonts w:hint="eastAsia" w:ascii="宋体" w:hAnsi="宋体" w:eastAsia="宋体" w:cs="宋体"/>
          <w:color w:val="auto"/>
          <w:sz w:val="36"/>
          <w:szCs w:val="44"/>
          <w:highlight w:val="none"/>
        </w:rPr>
        <w:fldChar w:fldCharType="begin"/>
      </w:r>
      <w:r>
        <w:rPr>
          <w:rFonts w:hint="eastAsia" w:ascii="宋体" w:hAnsi="宋体" w:eastAsia="宋体" w:cs="宋体"/>
          <w:sz w:val="36"/>
          <w:szCs w:val="44"/>
          <w:highlight w:val="none"/>
        </w:rPr>
        <w:instrText xml:space="preserve"> HYPERLINK \l _Toc14768 </w:instrText>
      </w:r>
      <w:r>
        <w:rPr>
          <w:rFonts w:hint="eastAsia" w:ascii="宋体" w:hAnsi="宋体" w:eastAsia="宋体" w:cs="宋体"/>
          <w:sz w:val="36"/>
          <w:szCs w:val="44"/>
          <w:highlight w:val="none"/>
        </w:rPr>
        <w:fldChar w:fldCharType="separate"/>
      </w:r>
      <w:r>
        <w:rPr>
          <w:sz w:val="36"/>
          <w:szCs w:val="36"/>
          <w:highlight w:val="none"/>
        </w:rPr>
        <w:t>第一章  竞争性磋商公</w:t>
      </w:r>
      <w:r>
        <w:rPr>
          <w:rFonts w:hint="eastAsia"/>
          <w:sz w:val="36"/>
          <w:szCs w:val="36"/>
          <w:highlight w:val="none"/>
          <w:lang w:val="en-US" w:eastAsia="zh-CN"/>
        </w:rPr>
        <w:t>告</w:t>
      </w:r>
      <w:r>
        <w:rPr>
          <w:sz w:val="36"/>
          <w:szCs w:val="36"/>
        </w:rPr>
        <w:tab/>
      </w:r>
      <w:r>
        <w:rPr>
          <w:sz w:val="36"/>
          <w:szCs w:val="36"/>
        </w:rPr>
        <w:fldChar w:fldCharType="begin"/>
      </w:r>
      <w:r>
        <w:rPr>
          <w:sz w:val="36"/>
          <w:szCs w:val="36"/>
        </w:rPr>
        <w:instrText xml:space="preserve"> PAGEREF _Toc14768 \h </w:instrText>
      </w:r>
      <w:r>
        <w:rPr>
          <w:sz w:val="36"/>
          <w:szCs w:val="36"/>
        </w:rPr>
        <w:fldChar w:fldCharType="separate"/>
      </w:r>
      <w:r>
        <w:rPr>
          <w:sz w:val="36"/>
          <w:szCs w:val="36"/>
        </w:rPr>
        <w:t>1</w:t>
      </w:r>
      <w:r>
        <w:rPr>
          <w:sz w:val="36"/>
          <w:szCs w:val="36"/>
        </w:rPr>
        <w:fldChar w:fldCharType="end"/>
      </w:r>
      <w:r>
        <w:rPr>
          <w:rFonts w:hint="eastAsia" w:ascii="宋体" w:hAnsi="宋体" w:eastAsia="宋体" w:cs="宋体"/>
          <w:color w:val="auto"/>
          <w:sz w:val="36"/>
          <w:szCs w:val="44"/>
          <w:highlight w:val="none"/>
        </w:rPr>
        <w:fldChar w:fldCharType="end"/>
      </w:r>
    </w:p>
    <w:p w14:paraId="11CD880C">
      <w:pPr>
        <w:pStyle w:val="13"/>
        <w:pageBreakBefore w:val="0"/>
        <w:tabs>
          <w:tab w:val="right" w:leader="dot" w:pos="8879"/>
        </w:tabs>
        <w:kinsoku/>
        <w:wordWrap/>
        <w:overflowPunct/>
        <w:topLinePunct w:val="0"/>
        <w:autoSpaceDE/>
        <w:autoSpaceDN/>
        <w:bidi w:val="0"/>
        <w:adjustRightInd/>
        <w:snapToGrid/>
        <w:spacing w:line="560" w:lineRule="exact"/>
        <w:textAlignment w:val="auto"/>
        <w:rPr>
          <w:sz w:val="36"/>
          <w:szCs w:val="36"/>
        </w:rPr>
      </w:pPr>
      <w:r>
        <w:rPr>
          <w:rFonts w:hint="eastAsia" w:ascii="宋体" w:hAnsi="宋体" w:eastAsia="宋体" w:cs="宋体"/>
          <w:color w:val="auto"/>
          <w:sz w:val="36"/>
          <w:szCs w:val="44"/>
          <w:highlight w:val="none"/>
        </w:rPr>
        <w:fldChar w:fldCharType="begin"/>
      </w:r>
      <w:r>
        <w:rPr>
          <w:rFonts w:hint="eastAsia" w:ascii="宋体" w:hAnsi="宋体" w:eastAsia="宋体" w:cs="宋体"/>
          <w:sz w:val="36"/>
          <w:szCs w:val="44"/>
          <w:highlight w:val="none"/>
        </w:rPr>
        <w:instrText xml:space="preserve"> HYPERLINK \l _Toc9116 </w:instrText>
      </w:r>
      <w:r>
        <w:rPr>
          <w:rFonts w:hint="eastAsia" w:ascii="宋体" w:hAnsi="宋体" w:eastAsia="宋体" w:cs="宋体"/>
          <w:sz w:val="36"/>
          <w:szCs w:val="44"/>
          <w:highlight w:val="none"/>
        </w:rPr>
        <w:fldChar w:fldCharType="separate"/>
      </w:r>
      <w:r>
        <w:rPr>
          <w:sz w:val="36"/>
          <w:szCs w:val="52"/>
          <w:highlight w:val="none"/>
        </w:rPr>
        <w:t>第二章  供应商须知前附表</w:t>
      </w:r>
      <w:r>
        <w:rPr>
          <w:sz w:val="36"/>
          <w:szCs w:val="36"/>
        </w:rPr>
        <w:tab/>
      </w:r>
      <w:r>
        <w:rPr>
          <w:sz w:val="36"/>
          <w:szCs w:val="36"/>
        </w:rPr>
        <w:fldChar w:fldCharType="begin"/>
      </w:r>
      <w:r>
        <w:rPr>
          <w:sz w:val="36"/>
          <w:szCs w:val="36"/>
        </w:rPr>
        <w:instrText xml:space="preserve"> PAGEREF _Toc9116 \h </w:instrText>
      </w:r>
      <w:r>
        <w:rPr>
          <w:sz w:val="36"/>
          <w:szCs w:val="36"/>
        </w:rPr>
        <w:fldChar w:fldCharType="separate"/>
      </w:r>
      <w:r>
        <w:rPr>
          <w:sz w:val="36"/>
          <w:szCs w:val="36"/>
        </w:rPr>
        <w:t>5</w:t>
      </w:r>
      <w:r>
        <w:rPr>
          <w:sz w:val="36"/>
          <w:szCs w:val="36"/>
        </w:rPr>
        <w:fldChar w:fldCharType="end"/>
      </w:r>
      <w:r>
        <w:rPr>
          <w:rFonts w:hint="eastAsia" w:ascii="宋体" w:hAnsi="宋体" w:eastAsia="宋体" w:cs="宋体"/>
          <w:color w:val="auto"/>
          <w:sz w:val="36"/>
          <w:szCs w:val="44"/>
          <w:highlight w:val="none"/>
        </w:rPr>
        <w:fldChar w:fldCharType="end"/>
      </w:r>
    </w:p>
    <w:p w14:paraId="700D563B">
      <w:pPr>
        <w:pStyle w:val="13"/>
        <w:pageBreakBefore w:val="0"/>
        <w:tabs>
          <w:tab w:val="right" w:leader="dot" w:pos="8879"/>
        </w:tabs>
        <w:kinsoku/>
        <w:wordWrap/>
        <w:overflowPunct/>
        <w:topLinePunct w:val="0"/>
        <w:autoSpaceDE/>
        <w:autoSpaceDN/>
        <w:bidi w:val="0"/>
        <w:adjustRightInd/>
        <w:snapToGrid/>
        <w:spacing w:line="560" w:lineRule="exact"/>
        <w:textAlignment w:val="auto"/>
        <w:rPr>
          <w:sz w:val="36"/>
          <w:szCs w:val="36"/>
        </w:rPr>
      </w:pPr>
      <w:r>
        <w:rPr>
          <w:rFonts w:hint="eastAsia" w:ascii="宋体" w:hAnsi="宋体" w:eastAsia="宋体" w:cs="宋体"/>
          <w:color w:val="auto"/>
          <w:sz w:val="36"/>
          <w:szCs w:val="44"/>
          <w:highlight w:val="none"/>
        </w:rPr>
        <w:fldChar w:fldCharType="begin"/>
      </w:r>
      <w:r>
        <w:rPr>
          <w:rFonts w:hint="eastAsia" w:ascii="宋体" w:hAnsi="宋体" w:eastAsia="宋体" w:cs="宋体"/>
          <w:sz w:val="36"/>
          <w:szCs w:val="44"/>
          <w:highlight w:val="none"/>
        </w:rPr>
        <w:instrText xml:space="preserve"> HYPERLINK \l _Toc8415 </w:instrText>
      </w:r>
      <w:r>
        <w:rPr>
          <w:rFonts w:hint="eastAsia" w:ascii="宋体" w:hAnsi="宋体" w:eastAsia="宋体" w:cs="宋体"/>
          <w:sz w:val="36"/>
          <w:szCs w:val="44"/>
          <w:highlight w:val="none"/>
        </w:rPr>
        <w:fldChar w:fldCharType="separate"/>
      </w:r>
      <w:r>
        <w:rPr>
          <w:sz w:val="36"/>
          <w:szCs w:val="36"/>
          <w:highlight w:val="none"/>
        </w:rPr>
        <w:t>第三章  供应商须知</w:t>
      </w:r>
      <w:r>
        <w:rPr>
          <w:sz w:val="36"/>
          <w:szCs w:val="36"/>
        </w:rPr>
        <w:tab/>
      </w:r>
      <w:r>
        <w:rPr>
          <w:rFonts w:hint="eastAsia"/>
          <w:sz w:val="36"/>
          <w:szCs w:val="36"/>
          <w:lang w:val="en-US" w:eastAsia="zh-CN"/>
        </w:rPr>
        <w:t>8</w:t>
      </w:r>
      <w:r>
        <w:rPr>
          <w:rFonts w:hint="eastAsia" w:ascii="宋体" w:hAnsi="宋体" w:eastAsia="宋体" w:cs="宋体"/>
          <w:color w:val="auto"/>
          <w:sz w:val="36"/>
          <w:szCs w:val="44"/>
          <w:highlight w:val="none"/>
        </w:rPr>
        <w:fldChar w:fldCharType="end"/>
      </w:r>
    </w:p>
    <w:p w14:paraId="5B4FB523">
      <w:pPr>
        <w:pStyle w:val="13"/>
        <w:pageBreakBefore w:val="0"/>
        <w:tabs>
          <w:tab w:val="right" w:leader="dot" w:pos="8879"/>
        </w:tabs>
        <w:kinsoku/>
        <w:wordWrap/>
        <w:overflowPunct/>
        <w:topLinePunct w:val="0"/>
        <w:autoSpaceDE/>
        <w:autoSpaceDN/>
        <w:bidi w:val="0"/>
        <w:adjustRightInd/>
        <w:snapToGrid/>
        <w:spacing w:line="560" w:lineRule="exact"/>
        <w:textAlignment w:val="auto"/>
        <w:rPr>
          <w:rFonts w:hint="eastAsia" w:eastAsia="宋体"/>
          <w:sz w:val="36"/>
          <w:szCs w:val="36"/>
          <w:lang w:val="en-US" w:eastAsia="zh-CN"/>
        </w:rPr>
      </w:pPr>
      <w:r>
        <w:rPr>
          <w:rFonts w:hint="eastAsia" w:ascii="宋体" w:hAnsi="宋体" w:eastAsia="宋体" w:cs="宋体"/>
          <w:color w:val="auto"/>
          <w:sz w:val="36"/>
          <w:szCs w:val="44"/>
          <w:highlight w:val="none"/>
        </w:rPr>
        <w:fldChar w:fldCharType="begin"/>
      </w:r>
      <w:r>
        <w:rPr>
          <w:rFonts w:hint="eastAsia" w:ascii="宋体" w:hAnsi="宋体" w:eastAsia="宋体" w:cs="宋体"/>
          <w:sz w:val="36"/>
          <w:szCs w:val="44"/>
          <w:highlight w:val="none"/>
        </w:rPr>
        <w:instrText xml:space="preserve"> HYPERLINK \l _Toc10103 </w:instrText>
      </w:r>
      <w:r>
        <w:rPr>
          <w:rFonts w:hint="eastAsia" w:ascii="宋体" w:hAnsi="宋体" w:eastAsia="宋体" w:cs="宋体"/>
          <w:sz w:val="36"/>
          <w:szCs w:val="44"/>
          <w:highlight w:val="none"/>
        </w:rPr>
        <w:fldChar w:fldCharType="separate"/>
      </w:r>
      <w:r>
        <w:rPr>
          <w:rFonts w:hint="eastAsia" w:ascii="宋体" w:hAnsi="宋体" w:eastAsia="宋体" w:cs="宋体"/>
          <w:bCs/>
          <w:kern w:val="44"/>
          <w:sz w:val="36"/>
          <w:szCs w:val="48"/>
          <w:highlight w:val="none"/>
          <w:lang w:val="en-US" w:eastAsia="zh-CN" w:bidi="ar-SA"/>
        </w:rPr>
        <w:t>第四章  合同文本（仅供参考）</w:t>
      </w:r>
      <w:r>
        <w:rPr>
          <w:sz w:val="36"/>
          <w:szCs w:val="36"/>
        </w:rPr>
        <w:tab/>
      </w:r>
      <w:r>
        <w:rPr>
          <w:rFonts w:hint="eastAsia"/>
          <w:sz w:val="36"/>
          <w:szCs w:val="36"/>
          <w:lang w:val="en-US" w:eastAsia="zh-CN"/>
        </w:rPr>
        <w:t>2</w:t>
      </w:r>
      <w:r>
        <w:rPr>
          <w:rFonts w:hint="eastAsia" w:ascii="宋体" w:hAnsi="宋体" w:eastAsia="宋体" w:cs="宋体"/>
          <w:color w:val="auto"/>
          <w:sz w:val="36"/>
          <w:szCs w:val="44"/>
          <w:highlight w:val="none"/>
        </w:rPr>
        <w:fldChar w:fldCharType="end"/>
      </w:r>
      <w:r>
        <w:rPr>
          <w:rFonts w:hint="eastAsia"/>
          <w:sz w:val="36"/>
          <w:szCs w:val="36"/>
          <w:lang w:val="en-US" w:eastAsia="zh-CN"/>
        </w:rPr>
        <w:t>0</w:t>
      </w:r>
    </w:p>
    <w:p w14:paraId="1F588B49">
      <w:pPr>
        <w:pStyle w:val="13"/>
        <w:pageBreakBefore w:val="0"/>
        <w:tabs>
          <w:tab w:val="right" w:leader="dot" w:pos="8879"/>
        </w:tabs>
        <w:kinsoku/>
        <w:wordWrap/>
        <w:overflowPunct/>
        <w:topLinePunct w:val="0"/>
        <w:autoSpaceDE/>
        <w:autoSpaceDN/>
        <w:bidi w:val="0"/>
        <w:adjustRightInd/>
        <w:snapToGrid/>
        <w:spacing w:line="560" w:lineRule="exact"/>
        <w:textAlignment w:val="auto"/>
        <w:rPr>
          <w:rFonts w:hint="eastAsia" w:eastAsia="宋体"/>
          <w:sz w:val="36"/>
          <w:szCs w:val="36"/>
          <w:lang w:val="en-US" w:eastAsia="zh-CN"/>
        </w:rPr>
      </w:pPr>
      <w:r>
        <w:rPr>
          <w:rFonts w:hint="eastAsia"/>
          <w:sz w:val="36"/>
          <w:szCs w:val="36"/>
        </w:rPr>
        <w:fldChar w:fldCharType="begin"/>
      </w:r>
      <w:r>
        <w:rPr>
          <w:rFonts w:hint="eastAsia"/>
          <w:sz w:val="36"/>
          <w:szCs w:val="36"/>
        </w:rPr>
        <w:instrText xml:space="preserve"> HYPERLINK \l _Toc19005 </w:instrText>
      </w:r>
      <w:r>
        <w:rPr>
          <w:rFonts w:hint="eastAsia"/>
          <w:sz w:val="36"/>
          <w:szCs w:val="36"/>
        </w:rPr>
        <w:fldChar w:fldCharType="separate"/>
      </w:r>
      <w:r>
        <w:rPr>
          <w:rFonts w:hint="eastAsia"/>
          <w:sz w:val="36"/>
          <w:szCs w:val="36"/>
          <w:lang w:val="en-US" w:eastAsia="zh-CN"/>
        </w:rPr>
        <w:t>第五章  磋商响应文件格式</w:t>
      </w:r>
      <w:r>
        <w:rPr>
          <w:sz w:val="36"/>
          <w:szCs w:val="36"/>
        </w:rPr>
        <w:tab/>
      </w:r>
      <w:r>
        <w:rPr>
          <w:rFonts w:hint="eastAsia"/>
          <w:sz w:val="36"/>
          <w:szCs w:val="36"/>
          <w:lang w:val="en-US" w:eastAsia="zh-CN"/>
        </w:rPr>
        <w:t>2</w:t>
      </w:r>
      <w:r>
        <w:rPr>
          <w:rFonts w:hint="eastAsia"/>
          <w:sz w:val="36"/>
          <w:szCs w:val="36"/>
        </w:rPr>
        <w:fldChar w:fldCharType="end"/>
      </w:r>
      <w:r>
        <w:rPr>
          <w:rFonts w:hint="eastAsia"/>
          <w:sz w:val="36"/>
          <w:szCs w:val="36"/>
          <w:lang w:val="en-US" w:eastAsia="zh-CN"/>
        </w:rPr>
        <w:t>8</w:t>
      </w:r>
    </w:p>
    <w:p w14:paraId="0BBAC64D">
      <w:pPr>
        <w:pStyle w:val="13"/>
        <w:pageBreakBefore w:val="0"/>
        <w:tabs>
          <w:tab w:val="right" w:leader="dot" w:pos="8879"/>
        </w:tabs>
        <w:kinsoku/>
        <w:wordWrap/>
        <w:overflowPunct/>
        <w:topLinePunct w:val="0"/>
        <w:autoSpaceDE/>
        <w:autoSpaceDN/>
        <w:bidi w:val="0"/>
        <w:adjustRightInd/>
        <w:snapToGrid/>
        <w:spacing w:line="560" w:lineRule="exact"/>
        <w:textAlignment w:val="auto"/>
        <w:rPr>
          <w:rFonts w:hint="eastAsia" w:eastAsia="宋体"/>
          <w:sz w:val="36"/>
          <w:szCs w:val="36"/>
          <w:lang w:val="en-US" w:eastAsia="zh-CN"/>
        </w:rPr>
      </w:pPr>
      <w:r>
        <w:rPr>
          <w:rFonts w:hint="eastAsia" w:ascii="宋体" w:hAnsi="宋体" w:eastAsia="宋体" w:cs="宋体"/>
          <w:color w:val="auto"/>
          <w:sz w:val="36"/>
          <w:szCs w:val="44"/>
          <w:highlight w:val="none"/>
        </w:rPr>
        <w:fldChar w:fldCharType="begin"/>
      </w:r>
      <w:r>
        <w:rPr>
          <w:rFonts w:hint="eastAsia" w:ascii="宋体" w:hAnsi="宋体" w:eastAsia="宋体" w:cs="宋体"/>
          <w:sz w:val="36"/>
          <w:szCs w:val="44"/>
          <w:highlight w:val="none"/>
        </w:rPr>
        <w:instrText xml:space="preserve"> HYPERLINK \l _Toc26928 </w:instrText>
      </w:r>
      <w:r>
        <w:rPr>
          <w:rFonts w:hint="eastAsia" w:ascii="宋体" w:hAnsi="宋体" w:eastAsia="宋体" w:cs="宋体"/>
          <w:sz w:val="36"/>
          <w:szCs w:val="44"/>
          <w:highlight w:val="none"/>
        </w:rPr>
        <w:fldChar w:fldCharType="separate"/>
      </w:r>
      <w:r>
        <w:rPr>
          <w:sz w:val="36"/>
          <w:szCs w:val="36"/>
          <w:highlight w:val="none"/>
        </w:rPr>
        <w:t xml:space="preserve">第六章  </w:t>
      </w:r>
      <w:r>
        <w:rPr>
          <w:rFonts w:hint="eastAsia"/>
          <w:sz w:val="36"/>
          <w:szCs w:val="36"/>
          <w:highlight w:val="none"/>
          <w:lang w:eastAsia="zh-CN"/>
        </w:rPr>
        <w:t>招租需求</w:t>
      </w:r>
      <w:r>
        <w:rPr>
          <w:sz w:val="36"/>
          <w:szCs w:val="36"/>
        </w:rPr>
        <w:tab/>
      </w:r>
      <w:r>
        <w:rPr>
          <w:rFonts w:hint="eastAsia"/>
          <w:sz w:val="36"/>
          <w:szCs w:val="36"/>
          <w:lang w:val="en-US" w:eastAsia="zh-CN"/>
        </w:rPr>
        <w:t>4</w:t>
      </w:r>
      <w:r>
        <w:rPr>
          <w:rFonts w:hint="eastAsia" w:ascii="宋体" w:hAnsi="宋体" w:eastAsia="宋体" w:cs="宋体"/>
          <w:color w:val="auto"/>
          <w:sz w:val="36"/>
          <w:szCs w:val="44"/>
          <w:highlight w:val="none"/>
        </w:rPr>
        <w:fldChar w:fldCharType="end"/>
      </w:r>
      <w:r>
        <w:rPr>
          <w:rFonts w:hint="eastAsia"/>
          <w:sz w:val="36"/>
          <w:szCs w:val="36"/>
          <w:lang w:val="en-US" w:eastAsia="zh-CN"/>
        </w:rPr>
        <w:t>5</w:t>
      </w:r>
    </w:p>
    <w:p w14:paraId="570845FF">
      <w:pPr>
        <w:pStyle w:val="13"/>
        <w:pageBreakBefore w:val="0"/>
        <w:tabs>
          <w:tab w:val="right" w:leader="dot" w:pos="8879"/>
        </w:tabs>
        <w:kinsoku/>
        <w:wordWrap/>
        <w:overflowPunct/>
        <w:topLinePunct w:val="0"/>
        <w:autoSpaceDE/>
        <w:autoSpaceDN/>
        <w:bidi w:val="0"/>
        <w:adjustRightInd/>
        <w:snapToGrid/>
        <w:spacing w:line="560" w:lineRule="exact"/>
        <w:textAlignment w:val="auto"/>
        <w:rPr>
          <w:rFonts w:hint="default" w:eastAsia="宋体"/>
          <w:sz w:val="36"/>
          <w:szCs w:val="36"/>
          <w:lang w:val="en-US" w:eastAsia="zh-CN"/>
        </w:rPr>
      </w:pPr>
      <w:r>
        <w:rPr>
          <w:rFonts w:hint="eastAsia" w:ascii="宋体" w:hAnsi="宋体" w:eastAsia="宋体" w:cs="宋体"/>
          <w:color w:val="auto"/>
          <w:sz w:val="36"/>
          <w:szCs w:val="44"/>
          <w:highlight w:val="none"/>
        </w:rPr>
        <w:fldChar w:fldCharType="begin"/>
      </w:r>
      <w:r>
        <w:rPr>
          <w:rFonts w:hint="eastAsia" w:ascii="宋体" w:hAnsi="宋体" w:eastAsia="宋体" w:cs="宋体"/>
          <w:sz w:val="36"/>
          <w:szCs w:val="44"/>
          <w:highlight w:val="none"/>
        </w:rPr>
        <w:instrText xml:space="preserve"> HYPERLINK \l _Toc13747 </w:instrText>
      </w:r>
      <w:r>
        <w:rPr>
          <w:rFonts w:hint="eastAsia" w:ascii="宋体" w:hAnsi="宋体" w:eastAsia="宋体" w:cs="宋体"/>
          <w:sz w:val="36"/>
          <w:szCs w:val="44"/>
          <w:highlight w:val="none"/>
        </w:rPr>
        <w:fldChar w:fldCharType="separate"/>
      </w:r>
      <w:r>
        <w:rPr>
          <w:rFonts w:ascii="宋体" w:hAnsi="宋体" w:eastAsia="宋体" w:cs="宋体"/>
          <w:sz w:val="36"/>
          <w:szCs w:val="36"/>
          <w:highlight w:val="none"/>
        </w:rPr>
        <w:t>第七章  评审办法和程序</w:t>
      </w:r>
      <w:r>
        <w:rPr>
          <w:sz w:val="36"/>
          <w:szCs w:val="36"/>
        </w:rPr>
        <w:tab/>
      </w:r>
      <w:r>
        <w:rPr>
          <w:rFonts w:hint="eastAsia" w:ascii="宋体" w:hAnsi="宋体" w:eastAsia="宋体" w:cs="宋体"/>
          <w:color w:val="auto"/>
          <w:sz w:val="36"/>
          <w:szCs w:val="44"/>
          <w:highlight w:val="none"/>
        </w:rPr>
        <w:fldChar w:fldCharType="end"/>
      </w:r>
      <w:r>
        <w:rPr>
          <w:rFonts w:hint="eastAsia"/>
          <w:sz w:val="36"/>
          <w:szCs w:val="36"/>
          <w:lang w:val="en-US" w:eastAsia="zh-CN"/>
        </w:rPr>
        <w:t>48</w:t>
      </w:r>
    </w:p>
    <w:p w14:paraId="3E4EE13B">
      <w:pPr>
        <w:pStyle w:val="2"/>
        <w:pageBreakBefore w:val="0"/>
        <w:kinsoku/>
        <w:wordWrap/>
        <w:overflowPunct/>
        <w:topLinePunct w:val="0"/>
        <w:autoSpaceDE/>
        <w:autoSpaceDN/>
        <w:bidi w:val="0"/>
        <w:adjustRightInd/>
        <w:snapToGrid/>
        <w:spacing w:before="0" w:after="0" w:line="560" w:lineRule="exact"/>
        <w:jc w:val="both"/>
        <w:textAlignment w:val="auto"/>
        <w:rPr>
          <w:color w:val="auto"/>
          <w:sz w:val="28"/>
          <w:szCs w:val="28"/>
          <w:highlight w:val="none"/>
        </w:rPr>
        <w:sectPr>
          <w:headerReference r:id="rId4" w:type="default"/>
          <w:footerReference r:id="rId5" w:type="default"/>
          <w:pgSz w:w="11906" w:h="16838"/>
          <w:pgMar w:top="1440" w:right="1230" w:bottom="1440" w:left="1797" w:header="851" w:footer="992" w:gutter="0"/>
          <w:pgNumType w:start="1"/>
          <w:cols w:space="720" w:num="1"/>
          <w:docGrid w:linePitch="312" w:charSpace="0"/>
        </w:sectPr>
      </w:pPr>
      <w:r>
        <w:rPr>
          <w:rFonts w:hint="eastAsia" w:ascii="宋体" w:hAnsi="宋体" w:eastAsia="宋体" w:cs="宋体"/>
          <w:color w:val="auto"/>
          <w:sz w:val="52"/>
          <w:szCs w:val="44"/>
          <w:highlight w:val="none"/>
        </w:rPr>
        <w:fldChar w:fldCharType="end"/>
      </w:r>
    </w:p>
    <w:p w14:paraId="146C4BAA">
      <w:pPr>
        <w:pStyle w:val="2"/>
        <w:rPr>
          <w:rFonts w:hint="eastAsia" w:eastAsia="宋体"/>
          <w:color w:val="auto"/>
          <w:szCs w:val="36"/>
          <w:highlight w:val="none"/>
          <w:lang w:val="en-US" w:eastAsia="zh-CN"/>
        </w:rPr>
      </w:pPr>
      <w:bookmarkStart w:id="0" w:name="_Toc14768"/>
      <w:r>
        <w:rPr>
          <w:color w:val="auto"/>
          <w:highlight w:val="none"/>
        </w:rPr>
        <w:t>第一章  竞争性磋商公</w:t>
      </w:r>
      <w:r>
        <w:rPr>
          <w:rFonts w:hint="eastAsia"/>
          <w:color w:val="auto"/>
          <w:highlight w:val="none"/>
          <w:lang w:val="en-US" w:eastAsia="zh-CN"/>
        </w:rPr>
        <w:t>告</w:t>
      </w:r>
      <w:bookmarkEnd w:id="0"/>
    </w:p>
    <w:p w14:paraId="72AA3F96">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项目概况</w:t>
      </w:r>
    </w:p>
    <w:p w14:paraId="3F7BC775">
      <w:pPr>
        <w:spacing w:after="0" w:line="360" w:lineRule="auto"/>
        <w:ind w:firstLine="480" w:firstLineChars="200"/>
        <w:jc w:val="both"/>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lang w:eastAsia="zh-CN"/>
        </w:rPr>
        <w:t>橡胶林地改种榴莲及红毛丹等高效农业招租项目二期</w:t>
      </w:r>
      <w:r>
        <w:rPr>
          <w:rFonts w:hint="eastAsia" w:ascii="宋体" w:hAnsi="宋体" w:eastAsia="宋体" w:cs="宋体"/>
          <w:bCs/>
          <w:color w:val="auto"/>
          <w:sz w:val="24"/>
          <w:szCs w:val="24"/>
          <w:highlight w:val="none"/>
          <w:u w:val="none"/>
          <w:lang w:eastAsia="zh-CN"/>
        </w:rPr>
        <w:t>的潜在供应商</w:t>
      </w:r>
      <w:r>
        <w:rPr>
          <w:rFonts w:ascii="宋体" w:hAnsi="宋体" w:eastAsia="宋体" w:cs="宋体"/>
          <w:bCs/>
          <w:color w:val="auto"/>
          <w:sz w:val="24"/>
          <w:szCs w:val="24"/>
          <w:highlight w:val="none"/>
        </w:rPr>
        <w:t>应在</w:t>
      </w:r>
      <w:r>
        <w:rPr>
          <w:rFonts w:hint="eastAsia" w:ascii="宋体" w:hAnsi="宋体" w:eastAsia="宋体" w:cs="宋体"/>
          <w:bCs/>
          <w:color w:val="auto"/>
          <w:sz w:val="24"/>
          <w:szCs w:val="24"/>
          <w:highlight w:val="none"/>
          <w:u w:val="single"/>
          <w:lang w:eastAsia="zh-CN"/>
        </w:rPr>
        <w:t>海口市新港路9号新港商业城401-405办公室</w:t>
      </w:r>
      <w:r>
        <w:rPr>
          <w:rFonts w:ascii="宋体" w:hAnsi="宋体" w:eastAsia="宋体" w:cs="宋体"/>
          <w:bCs/>
          <w:color w:val="auto"/>
          <w:sz w:val="24"/>
          <w:szCs w:val="24"/>
          <w:highlight w:val="none"/>
        </w:rPr>
        <w:t>获取</w:t>
      </w:r>
      <w:r>
        <w:rPr>
          <w:rFonts w:hint="eastAsia" w:ascii="宋体" w:hAnsi="宋体" w:eastAsia="宋体" w:cs="宋体"/>
          <w:bCs/>
          <w:color w:val="auto"/>
          <w:sz w:val="24"/>
          <w:szCs w:val="24"/>
          <w:highlight w:val="none"/>
          <w:lang w:val="en-US" w:eastAsia="zh-CN"/>
        </w:rPr>
        <w:t>竞争性</w:t>
      </w:r>
      <w:r>
        <w:rPr>
          <w:rFonts w:ascii="宋体" w:hAnsi="宋体" w:eastAsia="宋体" w:cs="宋体"/>
          <w:bCs/>
          <w:color w:val="auto"/>
          <w:sz w:val="24"/>
          <w:szCs w:val="24"/>
          <w:highlight w:val="none"/>
        </w:rPr>
        <w:t>磋商文件，并于</w:t>
      </w:r>
      <w:r>
        <w:rPr>
          <w:rFonts w:hint="eastAsia" w:ascii="宋体" w:hAnsi="宋体" w:eastAsia="宋体" w:cs="宋体"/>
          <w:bCs/>
          <w:color w:val="auto"/>
          <w:sz w:val="24"/>
          <w:szCs w:val="24"/>
          <w:highlight w:val="none"/>
          <w:u w:val="single"/>
          <w:lang w:eastAsia="zh-CN"/>
        </w:rPr>
        <w:t>202</w:t>
      </w:r>
      <w:r>
        <w:rPr>
          <w:rFonts w:hint="eastAsia" w:ascii="宋体" w:hAnsi="宋体" w:eastAsia="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lang w:eastAsia="zh-CN"/>
        </w:rPr>
        <w:t>年</w:t>
      </w:r>
      <w:r>
        <w:rPr>
          <w:rFonts w:hint="eastAsia" w:ascii="宋体" w:hAnsi="宋体" w:eastAsia="宋体" w:cs="宋体"/>
          <w:bCs/>
          <w:color w:val="auto"/>
          <w:sz w:val="24"/>
          <w:szCs w:val="24"/>
          <w:highlight w:val="none"/>
          <w:u w:val="single"/>
          <w:lang w:val="en-US" w:eastAsia="zh-CN"/>
        </w:rPr>
        <w:t>2</w:t>
      </w:r>
      <w:r>
        <w:rPr>
          <w:rFonts w:hint="eastAsia" w:ascii="宋体" w:hAnsi="宋体" w:eastAsia="宋体" w:cs="宋体"/>
          <w:bCs/>
          <w:color w:val="auto"/>
          <w:sz w:val="24"/>
          <w:szCs w:val="24"/>
          <w:highlight w:val="none"/>
          <w:lang w:eastAsia="zh-CN"/>
        </w:rPr>
        <w:t>月</w:t>
      </w:r>
      <w:r>
        <w:rPr>
          <w:rFonts w:hint="eastAsia" w:ascii="宋体" w:hAnsi="宋体" w:eastAsia="宋体" w:cs="宋体"/>
          <w:bCs/>
          <w:color w:val="auto"/>
          <w:sz w:val="24"/>
          <w:szCs w:val="24"/>
          <w:highlight w:val="none"/>
          <w:u w:val="single"/>
          <w:lang w:val="en-US" w:eastAsia="zh-CN"/>
        </w:rPr>
        <w:t>13</w:t>
      </w:r>
      <w:r>
        <w:rPr>
          <w:rFonts w:hint="eastAsia" w:ascii="宋体" w:hAnsi="宋体" w:eastAsia="宋体" w:cs="宋体"/>
          <w:bCs/>
          <w:color w:val="auto"/>
          <w:sz w:val="24"/>
          <w:szCs w:val="24"/>
          <w:highlight w:val="none"/>
          <w:lang w:eastAsia="zh-CN"/>
        </w:rPr>
        <w:t>日</w:t>
      </w:r>
      <w:r>
        <w:rPr>
          <w:rFonts w:hint="eastAsia" w:ascii="宋体" w:hAnsi="宋体" w:eastAsia="宋体" w:cs="宋体"/>
          <w:color w:val="auto"/>
          <w:sz w:val="24"/>
          <w:szCs w:val="24"/>
          <w:highlight w:val="none"/>
          <w:u w:val="single"/>
          <w:lang w:val="en-US" w:eastAsia="zh-CN"/>
        </w:rPr>
        <w:t>9</w:t>
      </w:r>
      <w:r>
        <w:rPr>
          <w:rFonts w:hint="eastAsia" w:ascii="宋体" w:hAnsi="宋体" w:eastAsia="宋体" w:cs="宋体"/>
          <w:color w:val="auto"/>
          <w:sz w:val="24"/>
          <w:szCs w:val="24"/>
          <w:highlight w:val="none"/>
          <w:lang w:val="zh-TW" w:eastAsia="zh-CN"/>
        </w:rPr>
        <w:t>点</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lang w:val="zh-TW" w:eastAsia="zh-CN"/>
        </w:rPr>
        <w:t>分</w:t>
      </w:r>
      <w:r>
        <w:rPr>
          <w:rFonts w:ascii="宋体" w:hAnsi="宋体" w:eastAsia="宋体" w:cs="宋体"/>
          <w:bCs/>
          <w:color w:val="auto"/>
          <w:sz w:val="24"/>
          <w:szCs w:val="24"/>
          <w:highlight w:val="none"/>
        </w:rPr>
        <w:t>（北京时间）前提交</w:t>
      </w:r>
      <w:r>
        <w:rPr>
          <w:rFonts w:hint="eastAsia" w:ascii="宋体" w:hAnsi="宋体" w:eastAsia="宋体" w:cs="宋体"/>
          <w:bCs/>
          <w:color w:val="auto"/>
          <w:sz w:val="24"/>
          <w:szCs w:val="24"/>
          <w:highlight w:val="none"/>
          <w:lang w:val="en-US" w:eastAsia="zh-CN"/>
        </w:rPr>
        <w:t>响应</w:t>
      </w:r>
      <w:r>
        <w:rPr>
          <w:rFonts w:ascii="宋体" w:hAnsi="宋体" w:eastAsia="宋体" w:cs="宋体"/>
          <w:bCs/>
          <w:color w:val="auto"/>
          <w:sz w:val="24"/>
          <w:szCs w:val="24"/>
          <w:highlight w:val="none"/>
        </w:rPr>
        <w:t>文件。</w:t>
      </w:r>
    </w:p>
    <w:p w14:paraId="627D6F80">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一、项目基本情况</w:t>
      </w:r>
    </w:p>
    <w:p w14:paraId="415EB198">
      <w:pPr>
        <w:spacing w:after="0" w:line="360" w:lineRule="auto"/>
        <w:ind w:firstLine="480" w:firstLineChars="200"/>
        <w:jc w:val="both"/>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ascii="宋体" w:hAnsi="宋体" w:eastAsia="宋体" w:cs="宋体"/>
          <w:bCs/>
          <w:color w:val="auto"/>
          <w:sz w:val="24"/>
          <w:szCs w:val="24"/>
          <w:highlight w:val="none"/>
        </w:rPr>
        <w:t>项目编号：</w:t>
      </w:r>
      <w:r>
        <w:rPr>
          <w:rFonts w:hint="eastAsia" w:ascii="宋体" w:hAnsi="宋体" w:eastAsia="宋体" w:cs="宋体"/>
          <w:bCs/>
          <w:color w:val="auto"/>
          <w:sz w:val="24"/>
          <w:szCs w:val="24"/>
          <w:highlight w:val="none"/>
          <w:lang w:eastAsia="zh-CN"/>
        </w:rPr>
        <w:t>HNPC2026-003</w:t>
      </w:r>
      <w:r>
        <w:rPr>
          <w:rFonts w:ascii="宋体" w:hAnsi="宋体" w:eastAsia="宋体" w:cs="宋体"/>
          <w:bCs/>
          <w:color w:val="auto"/>
          <w:sz w:val="24"/>
          <w:szCs w:val="24"/>
          <w:highlight w:val="none"/>
        </w:rPr>
        <w:t>。</w:t>
      </w:r>
    </w:p>
    <w:p w14:paraId="0375B3EF">
      <w:pPr>
        <w:spacing w:after="0" w:line="360" w:lineRule="auto"/>
        <w:ind w:firstLine="480" w:firstLineChars="200"/>
        <w:jc w:val="both"/>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ascii="宋体" w:hAnsi="宋体" w:eastAsia="宋体" w:cs="宋体"/>
          <w:bCs/>
          <w:color w:val="auto"/>
          <w:sz w:val="24"/>
          <w:szCs w:val="24"/>
          <w:highlight w:val="none"/>
        </w:rPr>
        <w:t>项目名称：</w:t>
      </w:r>
      <w:r>
        <w:rPr>
          <w:rFonts w:hint="eastAsia" w:ascii="宋体" w:hAnsi="宋体" w:eastAsia="宋体" w:cs="宋体"/>
          <w:bCs/>
          <w:color w:val="auto"/>
          <w:sz w:val="24"/>
          <w:szCs w:val="24"/>
          <w:highlight w:val="none"/>
          <w:lang w:eastAsia="zh-CN"/>
        </w:rPr>
        <w:t>橡胶林地改种榴莲及红毛丹等高效农业招租项目二期</w:t>
      </w:r>
      <w:r>
        <w:rPr>
          <w:rFonts w:ascii="宋体" w:hAnsi="宋体" w:eastAsia="宋体" w:cs="宋体"/>
          <w:bCs/>
          <w:color w:val="auto"/>
          <w:sz w:val="24"/>
          <w:szCs w:val="24"/>
          <w:highlight w:val="none"/>
        </w:rPr>
        <w:t>。</w:t>
      </w:r>
    </w:p>
    <w:p w14:paraId="28F4999E">
      <w:pPr>
        <w:spacing w:after="0" w:line="360" w:lineRule="auto"/>
        <w:ind w:firstLine="480" w:firstLineChars="200"/>
        <w:jc w:val="both"/>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3.采购方式：竞争性磋商。</w:t>
      </w:r>
    </w:p>
    <w:p w14:paraId="510A9227">
      <w:pPr>
        <w:spacing w:after="0" w:line="360" w:lineRule="auto"/>
        <w:ind w:firstLine="480" w:firstLineChars="200"/>
        <w:jc w:val="both"/>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lang w:eastAsia="zh-CN"/>
        </w:rPr>
        <w:t>林地范围：</w:t>
      </w:r>
      <w:r>
        <w:rPr>
          <w:rFonts w:hint="eastAsia" w:ascii="宋体" w:hAnsi="宋体" w:eastAsia="宋体" w:cs="宋体"/>
          <w:bCs/>
          <w:color w:val="auto"/>
          <w:sz w:val="24"/>
          <w:szCs w:val="24"/>
          <w:highlight w:val="none"/>
          <w:lang w:val="en-US" w:eastAsia="zh-CN"/>
        </w:rPr>
        <w:t>采购人</w:t>
      </w:r>
      <w:r>
        <w:rPr>
          <w:rFonts w:hint="eastAsia" w:ascii="宋体" w:hAnsi="宋体" w:eastAsia="宋体" w:cs="宋体"/>
          <w:bCs/>
          <w:color w:val="auto"/>
          <w:sz w:val="24"/>
          <w:szCs w:val="24"/>
          <w:highlight w:val="none"/>
          <w:lang w:eastAsia="zh-CN"/>
        </w:rPr>
        <w:t>名下涉及的两类橡胶林地（含已部分承租及未承租地块）</w:t>
      </w:r>
    </w:p>
    <w:p w14:paraId="7E9EB553">
      <w:pPr>
        <w:spacing w:after="0" w:line="360" w:lineRule="auto"/>
        <w:ind w:firstLine="480" w:firstLineChars="200"/>
        <w:jc w:val="both"/>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lang w:eastAsia="zh-CN"/>
        </w:rPr>
        <w:t>种植要求：</w:t>
      </w:r>
      <w:r>
        <w:rPr>
          <w:rFonts w:hint="eastAsia" w:ascii="宋体" w:hAnsi="宋体" w:eastAsia="宋体" w:cs="宋体"/>
          <w:bCs/>
          <w:color w:val="auto"/>
          <w:sz w:val="24"/>
          <w:szCs w:val="24"/>
          <w:highlight w:val="none"/>
          <w:lang w:val="en-US" w:eastAsia="zh-CN"/>
        </w:rPr>
        <w:t>成交供应商</w:t>
      </w:r>
      <w:r>
        <w:rPr>
          <w:rFonts w:hint="eastAsia" w:ascii="宋体" w:hAnsi="宋体" w:eastAsia="宋体" w:cs="宋体"/>
          <w:bCs/>
          <w:color w:val="auto"/>
          <w:sz w:val="24"/>
          <w:szCs w:val="24"/>
          <w:highlight w:val="none"/>
          <w:lang w:eastAsia="zh-CN"/>
        </w:rPr>
        <w:t>需在承租地内统一种植榴莲、红毛丹等高效农业作物，不得擅自更改种植品种。</w:t>
      </w:r>
    </w:p>
    <w:p w14:paraId="68B4B19A">
      <w:pPr>
        <w:spacing w:after="0" w:line="360" w:lineRule="auto"/>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lang w:eastAsia="zh-CN"/>
        </w:rPr>
        <w:t>赔付标准：目前项目地上有海胶金江分公司部分橡胶林，</w:t>
      </w:r>
      <w:r>
        <w:rPr>
          <w:rFonts w:hint="eastAsia" w:ascii="宋体" w:hAnsi="宋体" w:eastAsia="宋体" w:cs="宋体"/>
          <w:bCs/>
          <w:color w:val="auto"/>
          <w:sz w:val="24"/>
          <w:szCs w:val="24"/>
          <w:highlight w:val="none"/>
          <w:lang w:val="en-US" w:eastAsia="zh-CN"/>
        </w:rPr>
        <w:t>成交供应商</w:t>
      </w:r>
      <w:r>
        <w:rPr>
          <w:rFonts w:hint="eastAsia" w:ascii="宋体" w:hAnsi="宋体" w:eastAsia="宋体" w:cs="宋体"/>
          <w:bCs/>
          <w:color w:val="auto"/>
          <w:sz w:val="24"/>
          <w:szCs w:val="24"/>
          <w:highlight w:val="none"/>
          <w:lang w:eastAsia="zh-CN"/>
        </w:rPr>
        <w:t>进场，</w:t>
      </w:r>
      <w:r>
        <w:rPr>
          <w:rFonts w:hint="eastAsia" w:ascii="宋体" w:hAnsi="宋体" w:eastAsia="宋体" w:cs="宋体"/>
          <w:bCs/>
          <w:color w:val="auto"/>
          <w:sz w:val="24"/>
          <w:szCs w:val="24"/>
          <w:highlight w:val="none"/>
          <w:lang w:val="en-US" w:eastAsia="zh-CN"/>
        </w:rPr>
        <w:t>须</w:t>
      </w:r>
      <w:r>
        <w:rPr>
          <w:rFonts w:hint="eastAsia" w:ascii="宋体" w:hAnsi="宋体" w:eastAsia="宋体" w:cs="宋体"/>
          <w:bCs/>
          <w:color w:val="auto"/>
          <w:sz w:val="24"/>
          <w:szCs w:val="24"/>
          <w:highlight w:val="none"/>
          <w:lang w:eastAsia="zh-CN"/>
        </w:rPr>
        <w:t>按15000元/亩的标准支付（包含橡胶补偿款、橡胶材积款、安置费等）</w:t>
      </w:r>
      <w:r>
        <w:rPr>
          <w:rFonts w:hint="eastAsia" w:ascii="宋体" w:hAnsi="宋体" w:eastAsia="宋体" w:cs="宋体"/>
          <w:bCs/>
          <w:color w:val="auto"/>
          <w:sz w:val="24"/>
          <w:szCs w:val="24"/>
          <w:highlight w:val="none"/>
          <w:lang w:val="en-US" w:eastAsia="zh-CN"/>
        </w:rPr>
        <w:t>赔偿费用</w:t>
      </w:r>
      <w:r>
        <w:rPr>
          <w:rFonts w:hint="eastAsia" w:ascii="宋体" w:hAnsi="宋体" w:eastAsia="宋体" w:cs="宋体"/>
          <w:bCs/>
          <w:color w:val="auto"/>
          <w:sz w:val="24"/>
          <w:szCs w:val="24"/>
          <w:highlight w:val="none"/>
          <w:lang w:eastAsia="zh-CN"/>
        </w:rPr>
        <w:t>；除上述橡胶林外，地块内其他附着物（含槟榔树、水果树等各类经济作物）的迁移、砍伐、清理及对应赔偿款，均由供应商自行承担并负责完成；地块内</w:t>
      </w:r>
      <w:r>
        <w:rPr>
          <w:rFonts w:hint="eastAsia" w:ascii="宋体" w:hAnsi="宋体" w:eastAsia="宋体" w:cs="宋体"/>
          <w:bCs/>
          <w:color w:val="auto"/>
          <w:sz w:val="24"/>
          <w:szCs w:val="24"/>
          <w:highlight w:val="none"/>
          <w:lang w:val="en-US" w:eastAsia="zh-CN"/>
        </w:rPr>
        <w:t>如</w:t>
      </w:r>
      <w:r>
        <w:rPr>
          <w:rFonts w:hint="eastAsia" w:ascii="宋体" w:hAnsi="宋体" w:eastAsia="宋体" w:cs="宋体"/>
          <w:bCs/>
          <w:color w:val="auto"/>
          <w:sz w:val="24"/>
          <w:szCs w:val="24"/>
          <w:highlight w:val="none"/>
          <w:lang w:eastAsia="zh-CN"/>
        </w:rPr>
        <w:t>涉及迁坟工作</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lang w:eastAsia="zh-CN"/>
        </w:rPr>
        <w:t>，由供应商按海南省现行迁坟补偿政策标准支付赔偿款，并负责完成迁坟相关工作</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lang w:eastAsia="zh-CN"/>
        </w:rPr>
        <w:t>赔付完成后方可与</w:t>
      </w:r>
      <w:r>
        <w:rPr>
          <w:rFonts w:hint="eastAsia" w:ascii="宋体" w:hAnsi="宋体" w:eastAsia="宋体" w:cs="宋体"/>
          <w:bCs/>
          <w:color w:val="auto"/>
          <w:sz w:val="24"/>
          <w:szCs w:val="24"/>
          <w:highlight w:val="none"/>
          <w:lang w:val="en-US" w:eastAsia="zh-CN"/>
        </w:rPr>
        <w:t>采购人</w:t>
      </w:r>
      <w:r>
        <w:rPr>
          <w:rFonts w:hint="eastAsia" w:ascii="宋体" w:hAnsi="宋体" w:eastAsia="宋体" w:cs="宋体"/>
          <w:bCs/>
          <w:color w:val="auto"/>
          <w:sz w:val="24"/>
          <w:szCs w:val="24"/>
          <w:highlight w:val="none"/>
          <w:lang w:eastAsia="zh-CN"/>
        </w:rPr>
        <w:t>签订承包合同。</w:t>
      </w:r>
    </w:p>
    <w:p w14:paraId="39BD0570">
      <w:pPr>
        <w:spacing w:after="0" w:line="360" w:lineRule="auto"/>
        <w:ind w:firstLine="480" w:firstLineChars="200"/>
        <w:jc w:val="both"/>
        <w:rPr>
          <w:rFonts w:hint="eastAsia" w:ascii="宋体" w:hAnsi="宋体" w:eastAsia="宋体" w:cs="宋体"/>
          <w:bCs/>
          <w:strike/>
          <w:dstrike w:val="0"/>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7.其他要求：（1）涉及到橡胶保护区的需要成交供应商自行调规，地块内种植的槟榔、水果树等需要成交供应商进行赔偿，地块内有需要迁移的坟墓由成交供应商进行赔偿。</w:t>
      </w:r>
    </w:p>
    <w:p w14:paraId="597BB5CE">
      <w:pPr>
        <w:spacing w:after="0" w:line="360" w:lineRule="auto"/>
        <w:ind w:firstLine="456" w:firstLineChars="200"/>
        <w:jc w:val="both"/>
        <w:rPr>
          <w:rFonts w:hint="default" w:ascii="宋体" w:hAnsi="宋体" w:eastAsia="宋体" w:cs="宋体"/>
          <w:bCs/>
          <w:color w:val="auto"/>
          <w:spacing w:val="-6"/>
          <w:sz w:val="24"/>
          <w:szCs w:val="24"/>
          <w:highlight w:val="none"/>
          <w:lang w:val="en-US" w:eastAsia="zh-CN"/>
        </w:rPr>
      </w:pPr>
      <w:r>
        <w:rPr>
          <w:rFonts w:hint="eastAsia" w:ascii="宋体" w:hAnsi="宋体" w:eastAsia="宋体" w:cs="宋体"/>
          <w:bCs/>
          <w:color w:val="auto"/>
          <w:spacing w:val="-6"/>
          <w:sz w:val="24"/>
          <w:szCs w:val="24"/>
          <w:highlight w:val="none"/>
          <w:lang w:val="en-US" w:eastAsia="zh-CN"/>
        </w:rPr>
        <w:t>（2）涉及到橡胶树更新砍伐及橡胶保护区用地规划调整应由供应商具体负责。</w:t>
      </w:r>
    </w:p>
    <w:p w14:paraId="70F2A412">
      <w:pPr>
        <w:spacing w:after="0" w:line="360" w:lineRule="auto"/>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8.控制价（最低限价）</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1标段最低限价500元/亩每年，租赁单价每五年上调5%；</w:t>
      </w:r>
    </w:p>
    <w:p w14:paraId="3C0478BA">
      <w:pPr>
        <w:spacing w:after="0" w:line="360" w:lineRule="auto"/>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2标段最低限价500元/亩每年，租赁单价每五年上调5%；</w:t>
      </w:r>
    </w:p>
    <w:p w14:paraId="0A99371C">
      <w:pPr>
        <w:spacing w:after="0" w:line="360" w:lineRule="auto"/>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3标段最低限价500元/亩每年，租赁单价每五年上调5%；</w:t>
      </w:r>
    </w:p>
    <w:p w14:paraId="5733EFBF">
      <w:pPr>
        <w:spacing w:after="0" w:line="360" w:lineRule="auto"/>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4标段最低限价500元/亩每年，租赁单价每五年上调5%；</w:t>
      </w:r>
    </w:p>
    <w:p w14:paraId="76084E19">
      <w:pPr>
        <w:spacing w:after="0" w:line="360" w:lineRule="auto"/>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5标段最低限价500元/亩每年，租赁单价每五年上调5%；</w:t>
      </w:r>
    </w:p>
    <w:p w14:paraId="432A55AC">
      <w:pPr>
        <w:spacing w:after="0" w:line="360" w:lineRule="auto"/>
        <w:ind w:firstLine="480" w:firstLineChars="200"/>
        <w:jc w:val="both"/>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6标段最低限价500元/亩每年，租赁单价每五年上调5%；</w:t>
      </w:r>
    </w:p>
    <w:p w14:paraId="167E4108">
      <w:pPr>
        <w:spacing w:after="0" w:line="360" w:lineRule="auto"/>
        <w:ind w:firstLine="480" w:firstLineChars="200"/>
        <w:jc w:val="both"/>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7标段最低限价500元/亩每年，租赁单价每五年上调5%。</w:t>
      </w:r>
    </w:p>
    <w:p w14:paraId="0A378DEA">
      <w:pPr>
        <w:spacing w:after="0" w:line="360" w:lineRule="auto"/>
        <w:ind w:firstLine="480" w:firstLineChars="200"/>
        <w:jc w:val="both"/>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9.</w:t>
      </w:r>
      <w:r>
        <w:rPr>
          <w:rFonts w:hint="eastAsia" w:ascii="宋体" w:hAnsi="宋体" w:eastAsia="宋体" w:cs="宋体"/>
          <w:bCs/>
          <w:color w:val="auto"/>
          <w:sz w:val="24"/>
          <w:szCs w:val="24"/>
          <w:highlight w:val="none"/>
          <w:lang w:eastAsia="zh-CN"/>
        </w:rPr>
        <w:t>招租</w:t>
      </w:r>
      <w:r>
        <w:rPr>
          <w:rFonts w:hint="eastAsia" w:ascii="宋体" w:hAnsi="宋体" w:eastAsia="宋体" w:cs="宋体"/>
          <w:bCs/>
          <w:color w:val="auto"/>
          <w:sz w:val="24"/>
          <w:szCs w:val="24"/>
          <w:highlight w:val="none"/>
          <w:lang w:val="en-US" w:eastAsia="zh-CN"/>
        </w:rPr>
        <w:t>地块</w:t>
      </w:r>
      <w:r>
        <w:rPr>
          <w:rFonts w:hint="eastAsia" w:ascii="宋体" w:hAnsi="宋体" w:eastAsia="宋体" w:cs="宋体"/>
          <w:bCs/>
          <w:color w:val="auto"/>
          <w:sz w:val="24"/>
          <w:szCs w:val="24"/>
          <w:highlight w:val="none"/>
          <w:lang w:eastAsia="zh-CN"/>
        </w:rPr>
        <w:t>需求</w:t>
      </w:r>
      <w:r>
        <w:rPr>
          <w:rFonts w:ascii="宋体" w:hAnsi="宋体" w:eastAsia="宋体" w:cs="宋体"/>
          <w:bCs/>
          <w:color w:val="auto"/>
          <w:sz w:val="24"/>
          <w:szCs w:val="24"/>
          <w:highlight w:val="none"/>
        </w:rPr>
        <w:t>：</w:t>
      </w:r>
      <w:r>
        <w:rPr>
          <w:rFonts w:hint="eastAsia" w:ascii="宋体" w:hAnsi="宋体" w:eastAsia="宋体" w:cs="宋体"/>
          <w:b w:val="0"/>
          <w:bCs w:val="0"/>
          <w:color w:val="auto"/>
          <w:sz w:val="24"/>
          <w:szCs w:val="24"/>
          <w:highlight w:val="none"/>
          <w:lang w:val="en-US" w:eastAsia="zh-CN"/>
        </w:rPr>
        <w:t>本项目按地块划分，分为7个标段。其中，</w:t>
      </w:r>
      <w:r>
        <w:rPr>
          <w:rFonts w:hint="eastAsia" w:ascii="宋体" w:hAnsi="宋体" w:eastAsia="宋体" w:cs="宋体"/>
          <w:color w:val="auto"/>
          <w:sz w:val="24"/>
          <w:szCs w:val="24"/>
          <w:highlight w:val="none"/>
          <w:lang w:val="en-US" w:eastAsia="zh-CN"/>
        </w:rPr>
        <w:t>1标段：三区三队地块四至范围：东至公路，西至公路、水田，南至水田，北至果园；2标段：六区五队地块四至范围：东至果园，西至水田，南至公路，北至果园；3标段：六区四队地块四至范围：东至橡胶，西至果园，南至果园，北至果园；4标段：六区八队地块四至范围：东至橡胶、果园，西至橡胶、果园，南至果园，北至橡胶；5标段：六区八队地块四至范围：东至河流，西至橡胶、果园，南至橡胶、果园，北至橡胶、果园；6标段：六区八队地块四至范围：东至橡胶、果园，西至果园，南至果园，北至橡胶、果园；7标段：四区三队地块四至范围：东至果园，西至橡胶、果园，南至果园，北至果园</w:t>
      </w:r>
      <w:r>
        <w:rPr>
          <w:rFonts w:hint="eastAsia" w:ascii="宋体" w:hAnsi="宋体" w:eastAsia="宋体" w:cs="宋体"/>
          <w:bCs/>
          <w:color w:val="auto"/>
          <w:sz w:val="24"/>
          <w:szCs w:val="24"/>
          <w:highlight w:val="none"/>
          <w:lang w:val="en-US" w:eastAsia="zh-CN"/>
        </w:rPr>
        <w:t>。具体</w:t>
      </w:r>
      <w:r>
        <w:rPr>
          <w:rFonts w:ascii="宋体" w:hAnsi="宋体" w:eastAsia="宋体" w:cs="宋体"/>
          <w:bCs/>
          <w:color w:val="auto"/>
          <w:sz w:val="24"/>
          <w:szCs w:val="24"/>
          <w:highlight w:val="none"/>
          <w:lang w:val="zh-TW"/>
        </w:rPr>
        <w:t>详见</w:t>
      </w:r>
      <w:r>
        <w:rPr>
          <w:rFonts w:hint="eastAsia" w:ascii="宋体" w:hAnsi="宋体" w:eastAsia="宋体" w:cs="宋体"/>
          <w:bCs/>
          <w:color w:val="auto"/>
          <w:sz w:val="24"/>
          <w:szCs w:val="24"/>
          <w:highlight w:val="none"/>
          <w:lang w:val="en-US" w:eastAsia="zh-CN"/>
        </w:rPr>
        <w:t>磋商文件第六章</w:t>
      </w:r>
      <w:r>
        <w:rPr>
          <w:rFonts w:ascii="宋体" w:hAnsi="宋体" w:eastAsia="宋体" w:cs="宋体"/>
          <w:bCs/>
          <w:color w:val="auto"/>
          <w:sz w:val="24"/>
          <w:szCs w:val="24"/>
          <w:highlight w:val="none"/>
          <w:lang w:val="zh-TW"/>
        </w:rPr>
        <w:t>《</w:t>
      </w:r>
      <w:r>
        <w:rPr>
          <w:rFonts w:hint="eastAsia" w:ascii="宋体" w:hAnsi="宋体" w:eastAsia="宋体" w:cs="宋体"/>
          <w:bCs/>
          <w:color w:val="auto"/>
          <w:sz w:val="24"/>
          <w:szCs w:val="24"/>
          <w:highlight w:val="none"/>
          <w:lang w:val="en-US" w:eastAsia="zh-CN"/>
        </w:rPr>
        <w:t>招租需求</w:t>
      </w:r>
      <w:r>
        <w:rPr>
          <w:rFonts w:ascii="宋体" w:hAnsi="宋体" w:eastAsia="宋体" w:cs="宋体"/>
          <w:bCs/>
          <w:color w:val="auto"/>
          <w:sz w:val="24"/>
          <w:szCs w:val="24"/>
          <w:highlight w:val="none"/>
          <w:lang w:val="zh-TW"/>
        </w:rPr>
        <w:t>》</w:t>
      </w:r>
      <w:r>
        <w:rPr>
          <w:rFonts w:hint="eastAsia" w:ascii="宋体" w:hAnsi="宋体" w:eastAsia="宋体" w:cs="宋体"/>
          <w:bCs/>
          <w:color w:val="auto"/>
          <w:sz w:val="24"/>
          <w:szCs w:val="24"/>
          <w:highlight w:val="none"/>
          <w:lang w:val="en-US" w:eastAsia="zh-CN"/>
        </w:rPr>
        <w:t>部分</w:t>
      </w:r>
      <w:r>
        <w:rPr>
          <w:rFonts w:ascii="宋体" w:hAnsi="宋体" w:eastAsia="宋体" w:cs="宋体"/>
          <w:bCs/>
          <w:color w:val="auto"/>
          <w:sz w:val="24"/>
          <w:szCs w:val="24"/>
          <w:highlight w:val="none"/>
          <w:lang w:val="zh-TW"/>
        </w:rPr>
        <w:t>。</w:t>
      </w:r>
    </w:p>
    <w:p w14:paraId="156BF5D6">
      <w:pPr>
        <w:spacing w:after="0" w:line="360" w:lineRule="auto"/>
        <w:ind w:firstLine="480" w:firstLineChars="200"/>
        <w:jc w:val="both"/>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租赁期限</w:t>
      </w:r>
      <w:r>
        <w:rPr>
          <w:rFonts w:ascii="宋体" w:hAnsi="宋体" w:eastAsia="宋体" w:cs="宋体"/>
          <w:bCs/>
          <w:color w:val="auto"/>
          <w:sz w:val="24"/>
          <w:szCs w:val="24"/>
          <w:highlight w:val="none"/>
        </w:rPr>
        <w:t>：</w:t>
      </w:r>
      <w:r>
        <w:rPr>
          <w:rFonts w:hint="eastAsia" w:ascii="宋体" w:hAnsi="宋体" w:eastAsia="宋体" w:cs="宋体"/>
          <w:color w:val="auto"/>
          <w:sz w:val="24"/>
          <w:szCs w:val="24"/>
          <w:highlight w:val="none"/>
          <w:lang w:val="en-US" w:eastAsia="zh-CN"/>
        </w:rPr>
        <w:t>租赁年限为20年起租，后续视经营情况，经双方充分协商后决定是否续租</w:t>
      </w:r>
      <w:r>
        <w:rPr>
          <w:rFonts w:hint="eastAsia" w:ascii="宋体" w:hAnsi="宋体" w:eastAsia="宋体" w:cs="宋体"/>
          <w:color w:val="auto"/>
          <w:sz w:val="24"/>
          <w:szCs w:val="24"/>
          <w:highlight w:val="none"/>
        </w:rPr>
        <w:t>。</w:t>
      </w:r>
    </w:p>
    <w:p w14:paraId="37217316">
      <w:pPr>
        <w:spacing w:after="0" w:line="360" w:lineRule="auto"/>
        <w:ind w:firstLine="480" w:firstLineChars="200"/>
        <w:jc w:val="both"/>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履约担保：成交供应商确定为承租人后，双方签订合同前除缴纳第一年租金外还必须预交1年的租金作为履约保证金，第二年租期开始付第二年租金。若在承租期间有拖欠租金的情形，履约保证金将作为当年的租金，在合同期满不续租的情形下不退还保证金。若每年按时缴纳租金，在合同期满不续租的情形下保证金原路返还。</w:t>
      </w:r>
    </w:p>
    <w:p w14:paraId="390BD093">
      <w:pPr>
        <w:spacing w:after="0" w:line="360" w:lineRule="auto"/>
        <w:ind w:firstLine="480" w:firstLineChars="200"/>
        <w:jc w:val="both"/>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12.</w:t>
      </w:r>
      <w:r>
        <w:rPr>
          <w:rFonts w:ascii="宋体" w:hAnsi="宋体" w:eastAsia="宋体" w:cs="宋体"/>
          <w:bCs/>
          <w:color w:val="auto"/>
          <w:sz w:val="24"/>
          <w:szCs w:val="24"/>
          <w:highlight w:val="none"/>
        </w:rPr>
        <w:t>本项目不接受联合体投标。</w:t>
      </w:r>
    </w:p>
    <w:p w14:paraId="52290AAA">
      <w:pPr>
        <w:spacing w:after="0" w:line="360" w:lineRule="auto"/>
        <w:ind w:firstLine="482" w:firstLineChars="200"/>
        <w:jc w:val="both"/>
        <w:rPr>
          <w:rFonts w:hint="eastAsia" w:ascii="宋体" w:hAnsi="宋体" w:eastAsia="宋体" w:cs="宋体"/>
          <w:b/>
          <w:color w:val="auto"/>
          <w:sz w:val="24"/>
          <w:szCs w:val="24"/>
          <w:highlight w:val="none"/>
          <w:lang w:eastAsia="zh-CN"/>
        </w:rPr>
      </w:pPr>
      <w:r>
        <w:rPr>
          <w:rFonts w:ascii="宋体" w:hAnsi="宋体" w:eastAsia="宋体" w:cs="宋体"/>
          <w:b/>
          <w:color w:val="auto"/>
          <w:sz w:val="24"/>
          <w:szCs w:val="24"/>
          <w:highlight w:val="none"/>
        </w:rPr>
        <w:t>二、申请人的资格要求</w:t>
      </w:r>
    </w:p>
    <w:p w14:paraId="7CF6BE45">
      <w:pPr>
        <w:spacing w:after="0" w:line="360" w:lineRule="auto"/>
        <w:ind w:firstLine="480" w:firstLineChars="200"/>
        <w:jc w:val="both"/>
        <w:rPr>
          <w:rFonts w:hint="default" w:ascii="宋体" w:hAnsi="宋体" w:eastAsia="宋体" w:cs="宋体"/>
          <w:color w:val="auto"/>
          <w:sz w:val="24"/>
          <w:szCs w:val="24"/>
          <w:highlight w:val="none"/>
          <w:lang w:val="zh-CN"/>
        </w:rPr>
      </w:pPr>
      <w:r>
        <w:rPr>
          <w:rFonts w:hint="default" w:ascii="宋体" w:hAnsi="宋体" w:eastAsia="宋体" w:cs="宋体"/>
          <w:color w:val="auto"/>
          <w:sz w:val="24"/>
          <w:szCs w:val="24"/>
          <w:highlight w:val="none"/>
          <w:lang w:val="zh-CN"/>
        </w:rPr>
        <w:t>1.满足《中华人民共和国政府采购法》第二十二条规定；</w:t>
      </w:r>
    </w:p>
    <w:p w14:paraId="23E178F6">
      <w:pPr>
        <w:spacing w:after="0" w:line="360" w:lineRule="auto"/>
        <w:ind w:firstLine="480" w:firstLineChars="200"/>
        <w:jc w:val="both"/>
        <w:rPr>
          <w:rFonts w:hint="default" w:ascii="宋体" w:hAnsi="宋体" w:eastAsia="宋体" w:cs="宋体"/>
          <w:color w:val="auto"/>
          <w:sz w:val="24"/>
          <w:szCs w:val="24"/>
          <w:highlight w:val="none"/>
          <w:lang w:val="zh-CN"/>
        </w:rPr>
      </w:pPr>
      <w:r>
        <w:rPr>
          <w:rFonts w:hint="default" w:ascii="宋体" w:hAnsi="宋体" w:eastAsia="宋体" w:cs="宋体"/>
          <w:color w:val="auto"/>
          <w:sz w:val="24"/>
          <w:szCs w:val="24"/>
          <w:highlight w:val="none"/>
          <w:lang w:val="zh-CN"/>
        </w:rPr>
        <w:t>1.1在中华人民共和国注册的、具有独立承担民事责任的能力（投标人若为企业</w:t>
      </w:r>
      <w:r>
        <w:rPr>
          <w:rFonts w:hint="eastAsia" w:ascii="宋体" w:hAnsi="宋体" w:eastAsia="宋体" w:cs="宋体"/>
          <w:color w:val="auto"/>
          <w:sz w:val="24"/>
          <w:szCs w:val="24"/>
          <w:highlight w:val="none"/>
          <w:lang w:val="zh-CN"/>
        </w:rPr>
        <w:t>（</w:t>
      </w:r>
      <w:r>
        <w:rPr>
          <w:rFonts w:hint="default" w:ascii="宋体" w:hAnsi="宋体" w:eastAsia="宋体" w:cs="宋体"/>
          <w:color w:val="auto"/>
          <w:sz w:val="24"/>
          <w:szCs w:val="24"/>
          <w:highlight w:val="none"/>
          <w:lang w:val="zh-CN"/>
        </w:rPr>
        <w:t>包含合伙企业</w:t>
      </w:r>
      <w:r>
        <w:rPr>
          <w:rFonts w:hint="eastAsia" w:ascii="宋体" w:hAnsi="宋体" w:eastAsia="宋体" w:cs="宋体"/>
          <w:color w:val="auto"/>
          <w:sz w:val="24"/>
          <w:szCs w:val="24"/>
          <w:highlight w:val="none"/>
          <w:lang w:val="zh-CN"/>
        </w:rPr>
        <w:t>）</w:t>
      </w:r>
      <w:r>
        <w:rPr>
          <w:rFonts w:hint="default" w:ascii="宋体" w:hAnsi="宋体" w:eastAsia="宋体" w:cs="宋体"/>
          <w:color w:val="auto"/>
          <w:sz w:val="24"/>
          <w:szCs w:val="24"/>
          <w:highlight w:val="none"/>
          <w:lang w:val="zh-CN"/>
        </w:rPr>
        <w:t>的，提供有效的营业执照副本复印件；②投标人若为事业单位的，提供有效的事业单位法人证书副本复印件；③投标人若为其他组织的，提供有效的“对应主管部门颁发的准许执业许可证等证明文件或营业执照副本复印件”</w:t>
      </w:r>
      <w:r>
        <w:rPr>
          <w:rFonts w:hint="eastAsia" w:ascii="宋体" w:hAnsi="宋体" w:eastAsia="宋体" w:cs="宋体"/>
          <w:color w:val="auto"/>
          <w:sz w:val="24"/>
          <w:szCs w:val="24"/>
          <w:highlight w:val="none"/>
          <w:lang w:val="zh-CN"/>
        </w:rPr>
        <w:t>，</w:t>
      </w:r>
      <w:r>
        <w:rPr>
          <w:rFonts w:hint="default" w:ascii="宋体" w:hAnsi="宋体" w:eastAsia="宋体" w:cs="宋体"/>
          <w:color w:val="auto"/>
          <w:sz w:val="24"/>
          <w:szCs w:val="24"/>
          <w:highlight w:val="none"/>
          <w:lang w:val="zh-CN"/>
        </w:rPr>
        <w:t>复印件加盖公章）；</w:t>
      </w:r>
    </w:p>
    <w:p w14:paraId="3D3A50FE">
      <w:pPr>
        <w:spacing w:after="0" w:line="360" w:lineRule="auto"/>
        <w:ind w:firstLine="480" w:firstLineChars="200"/>
        <w:jc w:val="both"/>
        <w:rPr>
          <w:rFonts w:hint="default" w:ascii="宋体" w:hAnsi="宋体" w:eastAsia="宋体" w:cs="宋体"/>
          <w:color w:val="auto"/>
          <w:sz w:val="24"/>
          <w:szCs w:val="24"/>
          <w:highlight w:val="none"/>
          <w:lang w:val="zh-CN"/>
        </w:rPr>
      </w:pPr>
      <w:r>
        <w:rPr>
          <w:rFonts w:hint="default" w:ascii="宋体" w:hAnsi="宋体" w:eastAsia="宋体" w:cs="宋体"/>
          <w:color w:val="auto"/>
          <w:sz w:val="24"/>
          <w:szCs w:val="24"/>
          <w:highlight w:val="none"/>
          <w:lang w:val="zh-CN"/>
        </w:rPr>
        <w:t>1.2具有良好的商业信誉和健全的财务会计制度（提供资格承诺函）；</w:t>
      </w:r>
    </w:p>
    <w:p w14:paraId="35BEDA5C">
      <w:pPr>
        <w:spacing w:after="0" w:line="360" w:lineRule="auto"/>
        <w:ind w:firstLine="480" w:firstLineChars="200"/>
        <w:jc w:val="both"/>
        <w:rPr>
          <w:rFonts w:hint="default" w:ascii="宋体" w:hAnsi="宋体" w:eastAsia="宋体" w:cs="宋体"/>
          <w:color w:val="auto"/>
          <w:sz w:val="24"/>
          <w:szCs w:val="24"/>
          <w:highlight w:val="none"/>
          <w:lang w:val="zh-CN"/>
        </w:rPr>
      </w:pPr>
      <w:r>
        <w:rPr>
          <w:rFonts w:hint="default" w:ascii="宋体" w:hAnsi="宋体" w:eastAsia="宋体" w:cs="宋体"/>
          <w:color w:val="auto"/>
          <w:sz w:val="24"/>
          <w:szCs w:val="24"/>
          <w:highlight w:val="none"/>
          <w:lang w:val="zh-CN"/>
        </w:rPr>
        <w:t>1.3具有依法缴纳税收和社会保障资金的良好记录（提供资格承诺函）；</w:t>
      </w:r>
    </w:p>
    <w:p w14:paraId="14B34754">
      <w:pPr>
        <w:spacing w:after="0" w:line="360" w:lineRule="auto"/>
        <w:ind w:firstLine="480" w:firstLineChars="200"/>
        <w:jc w:val="both"/>
        <w:rPr>
          <w:rFonts w:hint="default" w:ascii="宋体" w:hAnsi="宋体" w:eastAsia="宋体" w:cs="宋体"/>
          <w:color w:val="auto"/>
          <w:sz w:val="24"/>
          <w:szCs w:val="24"/>
          <w:highlight w:val="none"/>
          <w:lang w:val="zh-CN"/>
        </w:rPr>
      </w:pPr>
      <w:r>
        <w:rPr>
          <w:rFonts w:hint="default" w:ascii="宋体" w:hAnsi="宋体" w:eastAsia="宋体" w:cs="宋体"/>
          <w:color w:val="auto"/>
          <w:sz w:val="24"/>
          <w:szCs w:val="24"/>
          <w:highlight w:val="none"/>
          <w:lang w:val="zh-CN"/>
        </w:rPr>
        <w:t>1.4具有履行合同所必需的设备和专业技术能力（提供资格承诺函）；</w:t>
      </w:r>
    </w:p>
    <w:p w14:paraId="69824C89">
      <w:pPr>
        <w:spacing w:after="0" w:line="360" w:lineRule="auto"/>
        <w:ind w:firstLine="480" w:firstLineChars="200"/>
        <w:jc w:val="both"/>
        <w:rPr>
          <w:rFonts w:hint="default" w:ascii="宋体" w:hAnsi="宋体" w:eastAsia="宋体" w:cs="宋体"/>
          <w:color w:val="auto"/>
          <w:sz w:val="24"/>
          <w:szCs w:val="24"/>
          <w:highlight w:val="none"/>
          <w:lang w:val="zh-CN"/>
        </w:rPr>
      </w:pPr>
      <w:r>
        <w:rPr>
          <w:rFonts w:hint="default" w:ascii="宋体" w:hAnsi="宋体" w:eastAsia="宋体" w:cs="宋体"/>
          <w:color w:val="auto"/>
          <w:sz w:val="24"/>
          <w:szCs w:val="24"/>
          <w:highlight w:val="none"/>
          <w:lang w:val="zh-CN"/>
        </w:rPr>
        <w:t>1.5参加采购活动前三年内（成立不足三年的从成立之日起计算），在经营活动中没有重大违法记录（提供资格承诺函）；</w:t>
      </w:r>
    </w:p>
    <w:p w14:paraId="21700AD6">
      <w:pPr>
        <w:spacing w:after="0" w:line="360" w:lineRule="auto"/>
        <w:ind w:firstLine="480" w:firstLineChars="200"/>
        <w:jc w:val="both"/>
        <w:rPr>
          <w:rFonts w:hint="default" w:ascii="宋体" w:hAnsi="宋体" w:eastAsia="宋体" w:cs="宋体"/>
          <w:color w:val="auto"/>
          <w:sz w:val="24"/>
          <w:szCs w:val="24"/>
          <w:highlight w:val="none"/>
          <w:lang w:val="zh-CN"/>
        </w:rPr>
      </w:pPr>
      <w:r>
        <w:rPr>
          <w:rFonts w:hint="default" w:ascii="宋体" w:hAnsi="宋体" w:eastAsia="宋体" w:cs="宋体"/>
          <w:color w:val="auto"/>
          <w:sz w:val="24"/>
          <w:szCs w:val="24"/>
          <w:highlight w:val="none"/>
          <w:lang w:val="zh-CN"/>
        </w:rPr>
        <w:t>1.6符合法律、行政法规规定及采购文件要求的其他条件（提供资格承诺函）。</w:t>
      </w:r>
    </w:p>
    <w:p w14:paraId="1FA20148">
      <w:pPr>
        <w:spacing w:after="0" w:line="360" w:lineRule="auto"/>
        <w:ind w:firstLine="480" w:firstLineChars="200"/>
        <w:jc w:val="both"/>
        <w:rPr>
          <w:rFonts w:hint="eastAsia" w:ascii="宋体" w:hAnsi="宋体" w:eastAsia="宋体" w:cs="宋体"/>
          <w:bCs/>
          <w:color w:val="auto"/>
          <w:sz w:val="24"/>
          <w:szCs w:val="24"/>
          <w:lang w:val="en-US" w:eastAsia="zh-CN"/>
        </w:rPr>
      </w:pPr>
      <w:r>
        <w:rPr>
          <w:rFonts w:ascii="宋体" w:hAnsi="宋体" w:eastAsia="宋体" w:cs="宋体"/>
          <w:bCs/>
          <w:color w:val="auto"/>
          <w:sz w:val="24"/>
          <w:szCs w:val="24"/>
          <w:highlight w:val="none"/>
        </w:rPr>
        <w:t>2.落实</w:t>
      </w:r>
      <w:r>
        <w:rPr>
          <w:rFonts w:hint="eastAsia" w:ascii="宋体" w:hAnsi="宋体" w:eastAsia="宋体" w:cs="宋体"/>
          <w:bCs/>
          <w:color w:val="auto"/>
          <w:sz w:val="24"/>
          <w:szCs w:val="24"/>
          <w:highlight w:val="none"/>
          <w:lang w:eastAsia="zh-CN"/>
        </w:rPr>
        <w:t>政府采购政策</w:t>
      </w:r>
      <w:r>
        <w:rPr>
          <w:rFonts w:ascii="宋体" w:hAnsi="宋体" w:eastAsia="宋体" w:cs="宋体"/>
          <w:bCs/>
          <w:color w:val="auto"/>
          <w:sz w:val="24"/>
          <w:szCs w:val="24"/>
          <w:highlight w:val="none"/>
        </w:rPr>
        <w:t>需满足的资格要求：</w:t>
      </w:r>
      <w:r>
        <w:rPr>
          <w:rFonts w:hint="eastAsia" w:ascii="宋体" w:hAnsi="宋体" w:eastAsia="宋体" w:cs="宋体"/>
          <w:bCs/>
          <w:color w:val="auto"/>
          <w:sz w:val="24"/>
          <w:szCs w:val="24"/>
          <w:lang w:val="en-US" w:eastAsia="zh-CN"/>
        </w:rPr>
        <w:t>无；</w:t>
      </w:r>
    </w:p>
    <w:p w14:paraId="3C671E3E">
      <w:pPr>
        <w:spacing w:after="0" w:line="360" w:lineRule="auto"/>
        <w:ind w:firstLine="480" w:firstLineChars="200"/>
        <w:jc w:val="both"/>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3.本项目的特定资格要求：</w:t>
      </w:r>
    </w:p>
    <w:p w14:paraId="6AEB392A">
      <w:pPr>
        <w:spacing w:after="0" w:line="360" w:lineRule="auto"/>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3.1投标供应商在“信用中国”网站（www.creditchina.gov.cn）没有被列入重大税收违法失信主体名单和没有被列入中国执行信息公开网（http://zxgk.court.gov.cn/shixin/）失信被执行人名单（提供资格承诺函，以初步审查时在上述网站查询的结果为准，如相关失信记录已失效，投标人须提供相关证明资料并加盖公章）；</w:t>
      </w:r>
    </w:p>
    <w:p w14:paraId="2128787E">
      <w:pPr>
        <w:spacing w:after="0" w:line="360" w:lineRule="auto"/>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3.2单位负责人为同一人或者存在直接控股、管理关系的不同供应商，不得参加同一合同项下的采购活动（提供资格承诺函）；</w:t>
      </w:r>
    </w:p>
    <w:p w14:paraId="4FD87F55">
      <w:pPr>
        <w:spacing w:after="0" w:line="360" w:lineRule="auto"/>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3.3参加采购活动前三年内，无环保类行政处罚记录（提供声明函加盖公章）</w:t>
      </w:r>
      <w:r>
        <w:rPr>
          <w:rFonts w:ascii="宋体" w:hAnsi="宋体" w:eastAsia="宋体" w:cs="宋体"/>
          <w:bCs/>
          <w:color w:val="auto"/>
          <w:sz w:val="24"/>
          <w:szCs w:val="24"/>
          <w:highlight w:val="none"/>
        </w:rPr>
        <w:t>。</w:t>
      </w:r>
    </w:p>
    <w:p w14:paraId="627F39B2">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三、获取采购文件</w:t>
      </w:r>
    </w:p>
    <w:p w14:paraId="238D7391">
      <w:pPr>
        <w:spacing w:after="0" w:line="360" w:lineRule="auto"/>
        <w:ind w:firstLine="480" w:firstLineChars="200"/>
        <w:jc w:val="both"/>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时间：</w:t>
      </w:r>
      <w:r>
        <w:rPr>
          <w:rFonts w:hint="eastAsia" w:ascii="宋体" w:hAnsi="宋体" w:eastAsia="宋体" w:cs="宋体"/>
          <w:bCs/>
          <w:color w:val="auto"/>
          <w:sz w:val="24"/>
          <w:szCs w:val="24"/>
          <w:highlight w:val="none"/>
          <w:u w:val="none"/>
        </w:rPr>
        <w:t>202</w:t>
      </w:r>
      <w:r>
        <w:rPr>
          <w:rFonts w:hint="eastAsia" w:ascii="宋体" w:hAnsi="宋体" w:eastAsia="宋体" w:cs="宋体"/>
          <w:bCs/>
          <w:color w:val="auto"/>
          <w:sz w:val="24"/>
          <w:szCs w:val="24"/>
          <w:highlight w:val="none"/>
          <w:u w:val="none"/>
          <w:lang w:val="en-US" w:eastAsia="zh-CN"/>
        </w:rPr>
        <w:t>6</w:t>
      </w:r>
      <w:r>
        <w:rPr>
          <w:rFonts w:hint="eastAsia" w:ascii="宋体" w:hAnsi="宋体" w:eastAsia="宋体" w:cs="宋体"/>
          <w:bCs/>
          <w:color w:val="auto"/>
          <w:sz w:val="24"/>
          <w:szCs w:val="24"/>
          <w:highlight w:val="none"/>
          <w:u w:val="none"/>
        </w:rPr>
        <w:t>年</w:t>
      </w:r>
      <w:r>
        <w:rPr>
          <w:rFonts w:hint="eastAsia" w:ascii="宋体" w:hAnsi="宋体" w:eastAsia="宋体" w:cs="宋体"/>
          <w:bCs/>
          <w:color w:val="auto"/>
          <w:sz w:val="24"/>
          <w:szCs w:val="24"/>
          <w:highlight w:val="none"/>
          <w:u w:val="none"/>
          <w:lang w:val="en-US" w:eastAsia="zh-CN"/>
        </w:rPr>
        <w:t>2</w:t>
      </w:r>
      <w:r>
        <w:rPr>
          <w:rFonts w:hint="eastAsia" w:ascii="宋体" w:hAnsi="宋体" w:eastAsia="宋体" w:cs="宋体"/>
          <w:bCs/>
          <w:color w:val="auto"/>
          <w:sz w:val="24"/>
          <w:szCs w:val="24"/>
          <w:highlight w:val="none"/>
          <w:u w:val="none"/>
        </w:rPr>
        <w:t>月</w:t>
      </w:r>
      <w:r>
        <w:rPr>
          <w:rFonts w:hint="eastAsia" w:ascii="宋体" w:hAnsi="宋体" w:eastAsia="宋体" w:cs="宋体"/>
          <w:bCs/>
          <w:color w:val="auto"/>
          <w:sz w:val="24"/>
          <w:szCs w:val="24"/>
          <w:highlight w:val="none"/>
          <w:u w:val="none"/>
          <w:lang w:val="en-US" w:eastAsia="zh-CN"/>
        </w:rPr>
        <w:t>3</w:t>
      </w:r>
      <w:r>
        <w:rPr>
          <w:rFonts w:hint="eastAsia" w:ascii="宋体" w:hAnsi="宋体" w:eastAsia="宋体" w:cs="宋体"/>
          <w:bCs/>
          <w:color w:val="auto"/>
          <w:sz w:val="24"/>
          <w:szCs w:val="24"/>
          <w:highlight w:val="none"/>
          <w:u w:val="none"/>
        </w:rPr>
        <w:t>日至202</w:t>
      </w:r>
      <w:r>
        <w:rPr>
          <w:rFonts w:hint="eastAsia" w:ascii="宋体" w:hAnsi="宋体" w:eastAsia="宋体" w:cs="宋体"/>
          <w:bCs/>
          <w:color w:val="auto"/>
          <w:sz w:val="24"/>
          <w:szCs w:val="24"/>
          <w:highlight w:val="none"/>
          <w:u w:val="none"/>
          <w:lang w:val="en-US" w:eastAsia="zh-CN"/>
        </w:rPr>
        <w:t>6</w:t>
      </w:r>
      <w:r>
        <w:rPr>
          <w:rFonts w:hint="eastAsia" w:ascii="宋体" w:hAnsi="宋体" w:eastAsia="宋体" w:cs="宋体"/>
          <w:bCs/>
          <w:color w:val="auto"/>
          <w:sz w:val="24"/>
          <w:szCs w:val="24"/>
          <w:highlight w:val="none"/>
          <w:u w:val="none"/>
        </w:rPr>
        <w:t>年</w:t>
      </w:r>
      <w:r>
        <w:rPr>
          <w:rFonts w:hint="eastAsia" w:ascii="宋体" w:hAnsi="宋体" w:eastAsia="宋体" w:cs="宋体"/>
          <w:bCs/>
          <w:color w:val="auto"/>
          <w:sz w:val="24"/>
          <w:szCs w:val="24"/>
          <w:highlight w:val="none"/>
          <w:u w:val="none"/>
          <w:lang w:val="en-US" w:eastAsia="zh-CN"/>
        </w:rPr>
        <w:t>2</w:t>
      </w:r>
      <w:r>
        <w:rPr>
          <w:rFonts w:hint="eastAsia" w:ascii="宋体" w:hAnsi="宋体" w:eastAsia="宋体" w:cs="宋体"/>
          <w:bCs/>
          <w:color w:val="auto"/>
          <w:sz w:val="24"/>
          <w:szCs w:val="24"/>
          <w:highlight w:val="none"/>
          <w:u w:val="none"/>
        </w:rPr>
        <w:t>月</w:t>
      </w:r>
      <w:r>
        <w:rPr>
          <w:rFonts w:hint="eastAsia" w:ascii="宋体" w:hAnsi="宋体" w:eastAsia="宋体" w:cs="宋体"/>
          <w:bCs/>
          <w:color w:val="auto"/>
          <w:sz w:val="24"/>
          <w:szCs w:val="24"/>
          <w:highlight w:val="none"/>
          <w:u w:val="none"/>
          <w:lang w:val="en-US" w:eastAsia="zh-CN"/>
        </w:rPr>
        <w:t>9</w:t>
      </w:r>
      <w:r>
        <w:rPr>
          <w:rFonts w:hint="eastAsia" w:ascii="宋体" w:hAnsi="宋体" w:eastAsia="宋体" w:cs="宋体"/>
          <w:bCs/>
          <w:color w:val="auto"/>
          <w:sz w:val="24"/>
          <w:szCs w:val="24"/>
          <w:highlight w:val="none"/>
          <w:u w:val="none"/>
        </w:rPr>
        <w:t>日，每天上午09:00至12:00，下午14:30至17:30</w:t>
      </w:r>
      <w:r>
        <w:rPr>
          <w:rFonts w:ascii="宋体" w:hAnsi="宋体" w:eastAsia="宋体" w:cs="宋体"/>
          <w:bCs/>
          <w:color w:val="auto"/>
          <w:sz w:val="24"/>
          <w:szCs w:val="24"/>
          <w:highlight w:val="none"/>
        </w:rPr>
        <w:t>（北京时间，法定节假日除外）。</w:t>
      </w:r>
    </w:p>
    <w:p w14:paraId="6C6C919A">
      <w:pPr>
        <w:spacing w:after="0" w:line="360" w:lineRule="auto"/>
        <w:ind w:firstLine="480" w:firstLineChars="200"/>
        <w:jc w:val="both"/>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地点：</w:t>
      </w:r>
      <w:r>
        <w:rPr>
          <w:rFonts w:hint="eastAsia" w:ascii="宋体" w:hAnsi="宋体" w:eastAsia="宋体" w:cs="宋体"/>
          <w:bCs/>
          <w:color w:val="auto"/>
          <w:sz w:val="24"/>
          <w:szCs w:val="24"/>
          <w:highlight w:val="none"/>
          <w:lang w:eastAsia="zh-CN"/>
        </w:rPr>
        <w:t>海口市新港路9号新港商业城401-405办公室</w:t>
      </w:r>
      <w:r>
        <w:rPr>
          <w:rFonts w:ascii="宋体" w:hAnsi="宋体" w:eastAsia="宋体" w:cs="宋体"/>
          <w:bCs/>
          <w:color w:val="auto"/>
          <w:sz w:val="24"/>
          <w:szCs w:val="24"/>
          <w:highlight w:val="none"/>
        </w:rPr>
        <w:t>。</w:t>
      </w:r>
    </w:p>
    <w:p w14:paraId="6E788378">
      <w:pPr>
        <w:spacing w:after="0" w:line="360" w:lineRule="auto"/>
        <w:ind w:firstLine="480" w:firstLineChars="200"/>
        <w:jc w:val="both"/>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方式：现场报名。现场报名须提交以下资料：</w:t>
      </w:r>
    </w:p>
    <w:p w14:paraId="67E99F4D">
      <w:pPr>
        <w:spacing w:after="0" w:line="360" w:lineRule="auto"/>
        <w:ind w:firstLine="480" w:firstLineChars="200"/>
        <w:jc w:val="both"/>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（1）在中华人民共和国注册并具有独立承担民事责任的能力</w:t>
      </w:r>
      <w:r>
        <w:rPr>
          <w:rFonts w:hint="eastAsia" w:ascii="宋体" w:hAnsi="宋体" w:eastAsia="宋体" w:cs="宋体"/>
          <w:bCs/>
          <w:color w:val="auto"/>
          <w:sz w:val="24"/>
          <w:szCs w:val="24"/>
          <w:highlight w:val="none"/>
          <w:lang w:val="en-US" w:eastAsia="zh-CN"/>
        </w:rPr>
        <w:t>证明材料</w:t>
      </w:r>
      <w:r>
        <w:rPr>
          <w:rFonts w:hint="eastAsia" w:ascii="宋体" w:hAnsi="宋体" w:eastAsia="宋体" w:cs="宋体"/>
          <w:bCs/>
          <w:color w:val="auto"/>
          <w:sz w:val="24"/>
          <w:szCs w:val="24"/>
          <w:highlight w:val="none"/>
        </w:rPr>
        <w:t>（投标人若为企业</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包含合伙企业</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的，提供有效的营业执照副本复印件；②投标人若为事业单位的，提供有效的事业单位法人证书副本复印件；③投标人若为其他组织的，提供有效的“对应主管部门颁发的准许执业许可证等证明文件或营业执照副本复印件”。复印件加盖公章）；</w:t>
      </w:r>
    </w:p>
    <w:p w14:paraId="43F70236">
      <w:pPr>
        <w:spacing w:after="0" w:line="360" w:lineRule="auto"/>
        <w:ind w:firstLine="480" w:firstLineChars="200"/>
        <w:jc w:val="both"/>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（2）法定代表人携带法定代表人证明书（附法定代表人身份证复印件加盖公章），或其授权代表携带法定代表人授权委托书（附法定代表人及授权代理人身份证复印件加盖公章）；</w:t>
      </w:r>
    </w:p>
    <w:p w14:paraId="45750710">
      <w:pPr>
        <w:spacing w:after="0" w:line="360" w:lineRule="auto"/>
        <w:ind w:firstLine="480" w:firstLineChars="200"/>
        <w:jc w:val="both"/>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lang w:eastAsia="zh-CN"/>
        </w:rPr>
        <w:t>）各投标</w:t>
      </w:r>
      <w:r>
        <w:rPr>
          <w:rFonts w:hint="eastAsia" w:ascii="宋体" w:hAnsi="宋体" w:eastAsia="宋体" w:cs="宋体"/>
          <w:bCs/>
          <w:color w:val="auto"/>
          <w:sz w:val="24"/>
          <w:szCs w:val="24"/>
          <w:highlight w:val="none"/>
          <w:lang w:val="en-US" w:eastAsia="zh-CN"/>
        </w:rPr>
        <w:t>供应商仅</w:t>
      </w:r>
      <w:r>
        <w:rPr>
          <w:rFonts w:hint="eastAsia" w:ascii="宋体" w:hAnsi="宋体" w:eastAsia="宋体" w:cs="宋体"/>
          <w:bCs/>
          <w:color w:val="auto"/>
          <w:sz w:val="24"/>
          <w:szCs w:val="24"/>
          <w:highlight w:val="none"/>
          <w:lang w:eastAsia="zh-CN"/>
        </w:rPr>
        <w:t>可</w:t>
      </w:r>
      <w:r>
        <w:rPr>
          <w:rFonts w:hint="eastAsia" w:ascii="宋体" w:hAnsi="宋体" w:eastAsia="宋体" w:cs="宋体"/>
          <w:bCs/>
          <w:color w:val="auto"/>
          <w:sz w:val="24"/>
          <w:szCs w:val="24"/>
          <w:highlight w:val="none"/>
          <w:lang w:val="en-US" w:eastAsia="zh-CN"/>
        </w:rPr>
        <w:t>对</w:t>
      </w:r>
      <w:r>
        <w:rPr>
          <w:rFonts w:hint="eastAsia" w:ascii="宋体" w:hAnsi="宋体" w:eastAsia="宋体" w:cs="宋体"/>
          <w:bCs/>
          <w:color w:val="auto"/>
          <w:sz w:val="24"/>
          <w:szCs w:val="24"/>
          <w:highlight w:val="none"/>
          <w:lang w:eastAsia="zh-CN"/>
        </w:rPr>
        <w:t>本</w:t>
      </w:r>
      <w:r>
        <w:rPr>
          <w:rFonts w:hint="eastAsia" w:ascii="宋体" w:hAnsi="宋体" w:eastAsia="宋体" w:cs="宋体"/>
          <w:bCs/>
          <w:color w:val="auto"/>
          <w:sz w:val="24"/>
          <w:szCs w:val="24"/>
          <w:highlight w:val="none"/>
          <w:lang w:val="en-US" w:eastAsia="zh-CN"/>
        </w:rPr>
        <w:t>采购</w:t>
      </w:r>
      <w:r>
        <w:rPr>
          <w:rFonts w:hint="eastAsia" w:ascii="宋体" w:hAnsi="宋体" w:eastAsia="宋体" w:cs="宋体"/>
          <w:bCs/>
          <w:color w:val="auto"/>
          <w:sz w:val="24"/>
          <w:szCs w:val="24"/>
          <w:highlight w:val="none"/>
          <w:lang w:eastAsia="zh-CN"/>
        </w:rPr>
        <w:t>项目上述</w:t>
      </w:r>
      <w:r>
        <w:rPr>
          <w:rFonts w:hint="eastAsia" w:ascii="宋体" w:hAnsi="宋体" w:eastAsia="宋体" w:cs="宋体"/>
          <w:bCs/>
          <w:color w:val="auto"/>
          <w:sz w:val="24"/>
          <w:szCs w:val="24"/>
          <w:highlight w:val="none"/>
          <w:lang w:val="en-US" w:eastAsia="zh-CN"/>
        </w:rPr>
        <w:t>所列</w:t>
      </w:r>
      <w:r>
        <w:rPr>
          <w:rFonts w:hint="eastAsia" w:ascii="宋体" w:hAnsi="宋体" w:eastAsia="宋体" w:cs="宋体"/>
          <w:bCs/>
          <w:color w:val="auto"/>
          <w:sz w:val="24"/>
          <w:szCs w:val="24"/>
          <w:highlight w:val="none"/>
          <w:lang w:eastAsia="zh-CN"/>
        </w:rPr>
        <w:t>标段中的1个标段</w:t>
      </w:r>
      <w:r>
        <w:rPr>
          <w:rFonts w:hint="eastAsia" w:ascii="宋体" w:hAnsi="宋体" w:eastAsia="宋体" w:cs="宋体"/>
          <w:bCs/>
          <w:color w:val="auto"/>
          <w:sz w:val="24"/>
          <w:szCs w:val="24"/>
          <w:highlight w:val="none"/>
          <w:lang w:val="en-US" w:eastAsia="zh-CN"/>
        </w:rPr>
        <w:t>进行报名并参与</w:t>
      </w:r>
      <w:r>
        <w:rPr>
          <w:rFonts w:hint="eastAsia" w:ascii="宋体" w:hAnsi="宋体" w:eastAsia="宋体" w:cs="宋体"/>
          <w:bCs/>
          <w:color w:val="auto"/>
          <w:sz w:val="24"/>
          <w:szCs w:val="24"/>
          <w:highlight w:val="none"/>
          <w:lang w:eastAsia="zh-CN"/>
        </w:rPr>
        <w:t>投标；</w:t>
      </w:r>
    </w:p>
    <w:p w14:paraId="22382289">
      <w:pPr>
        <w:spacing w:after="0" w:line="360" w:lineRule="auto"/>
        <w:ind w:firstLine="480" w:firstLineChars="200"/>
        <w:jc w:val="both"/>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）以上资料仅收清晰复印件盖</w:t>
      </w:r>
      <w:r>
        <w:rPr>
          <w:rFonts w:hint="eastAsia" w:ascii="宋体" w:hAnsi="宋体" w:eastAsia="宋体" w:cs="宋体"/>
          <w:bCs/>
          <w:color w:val="auto"/>
          <w:sz w:val="24"/>
          <w:szCs w:val="24"/>
          <w:highlight w:val="none"/>
          <w:lang w:val="en-US" w:eastAsia="zh-CN"/>
        </w:rPr>
        <w:t>鲜</w:t>
      </w:r>
      <w:r>
        <w:rPr>
          <w:rFonts w:hint="eastAsia" w:ascii="宋体" w:hAnsi="宋体" w:eastAsia="宋体" w:cs="宋体"/>
          <w:bCs/>
          <w:color w:val="auto"/>
          <w:sz w:val="24"/>
          <w:szCs w:val="24"/>
          <w:highlight w:val="none"/>
        </w:rPr>
        <w:t>章原件</w:t>
      </w:r>
      <w:r>
        <w:rPr>
          <w:rFonts w:ascii="宋体" w:hAnsi="宋体" w:eastAsia="宋体" w:cs="宋体"/>
          <w:bCs/>
          <w:color w:val="auto"/>
          <w:sz w:val="24"/>
          <w:szCs w:val="24"/>
          <w:highlight w:val="none"/>
        </w:rPr>
        <w:t>。</w:t>
      </w:r>
    </w:p>
    <w:p w14:paraId="059943CB">
      <w:pPr>
        <w:spacing w:after="0" w:line="360" w:lineRule="auto"/>
        <w:ind w:firstLine="480" w:firstLineChars="200"/>
        <w:jc w:val="both"/>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售价：</w:t>
      </w:r>
      <w:r>
        <w:rPr>
          <w:rFonts w:ascii="宋体" w:hAnsi="宋体" w:eastAsia="宋体" w:cs="宋体"/>
          <w:color w:val="auto"/>
          <w:sz w:val="24"/>
          <w:szCs w:val="24"/>
          <w:highlight w:val="none"/>
        </w:rPr>
        <w:t>¥</w:t>
      </w:r>
      <w:r>
        <w:rPr>
          <w:rFonts w:ascii="宋体" w:hAnsi="宋体" w:eastAsia="宋体" w:cs="宋体"/>
          <w:bCs/>
          <w:color w:val="auto"/>
          <w:sz w:val="24"/>
          <w:szCs w:val="24"/>
          <w:highlight w:val="none"/>
        </w:rPr>
        <w:t>500.00元</w:t>
      </w:r>
      <w:r>
        <w:rPr>
          <w:rFonts w:hint="eastAsia" w:ascii="宋体" w:hAnsi="宋体" w:eastAsia="宋体" w:cs="宋体"/>
          <w:bCs/>
          <w:color w:val="auto"/>
          <w:sz w:val="24"/>
          <w:szCs w:val="24"/>
          <w:highlight w:val="none"/>
          <w:lang w:val="en-US" w:eastAsia="zh-CN"/>
        </w:rPr>
        <w:t>/标段</w:t>
      </w:r>
      <w:r>
        <w:rPr>
          <w:rFonts w:ascii="宋体" w:hAnsi="宋体" w:eastAsia="宋体" w:cs="宋体"/>
          <w:bCs/>
          <w:color w:val="auto"/>
          <w:sz w:val="24"/>
          <w:szCs w:val="24"/>
          <w:highlight w:val="none"/>
        </w:rPr>
        <w:t>（售后不退）。</w:t>
      </w:r>
    </w:p>
    <w:p w14:paraId="263009FE">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四、响应文件提交</w:t>
      </w:r>
    </w:p>
    <w:p w14:paraId="704C21D9">
      <w:pPr>
        <w:spacing w:after="0" w:line="360" w:lineRule="auto"/>
        <w:ind w:firstLine="480" w:firstLineChars="200"/>
        <w:jc w:val="both"/>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截止时间：</w:t>
      </w:r>
      <w:r>
        <w:rPr>
          <w:rFonts w:hint="eastAsia" w:ascii="宋体" w:hAnsi="宋体" w:eastAsia="宋体" w:cs="宋体"/>
          <w:bCs/>
          <w:color w:val="auto"/>
          <w:sz w:val="24"/>
          <w:szCs w:val="24"/>
          <w:highlight w:val="none"/>
          <w:lang w:val="en-US" w:eastAsia="zh-CN"/>
        </w:rPr>
        <w:t>2026年2月13日9点00</w:t>
      </w:r>
      <w:r>
        <w:rPr>
          <w:rFonts w:hint="eastAsia" w:ascii="宋体" w:hAnsi="宋体" w:eastAsia="宋体" w:cs="宋体"/>
          <w:bCs/>
          <w:color w:val="auto"/>
          <w:sz w:val="24"/>
          <w:szCs w:val="24"/>
          <w:highlight w:val="none"/>
          <w:lang w:eastAsia="zh-CN"/>
        </w:rPr>
        <w:t>分（北京时间）</w:t>
      </w:r>
    </w:p>
    <w:p w14:paraId="397C3B8F">
      <w:pPr>
        <w:spacing w:after="0" w:line="360" w:lineRule="auto"/>
        <w:ind w:firstLine="480" w:firstLineChars="200"/>
        <w:jc w:val="both"/>
        <w:rPr>
          <w:rFonts w:hint="eastAsia" w:ascii="宋体" w:hAnsi="宋体" w:eastAsia="宋体" w:cs="宋体"/>
          <w:bCs/>
          <w:color w:val="auto"/>
          <w:sz w:val="24"/>
          <w:szCs w:val="24"/>
          <w:highlight w:val="none"/>
          <w:lang w:eastAsia="zh-CN"/>
        </w:rPr>
      </w:pPr>
      <w:r>
        <w:rPr>
          <w:rFonts w:ascii="宋体" w:hAnsi="宋体" w:eastAsia="宋体" w:cs="宋体"/>
          <w:bCs/>
          <w:color w:val="auto"/>
          <w:sz w:val="24"/>
          <w:szCs w:val="24"/>
          <w:highlight w:val="none"/>
        </w:rPr>
        <w:t>地点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海口市海秀东路74号鸿泰大厦14层</w:t>
      </w: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号开标室</w:t>
      </w:r>
    </w:p>
    <w:p w14:paraId="6B7EEC21">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五、开启</w:t>
      </w:r>
    </w:p>
    <w:p w14:paraId="118135B6">
      <w:pPr>
        <w:spacing w:after="0" w:line="360" w:lineRule="auto"/>
        <w:ind w:firstLine="480" w:firstLineChars="200"/>
        <w:jc w:val="both"/>
        <w:rPr>
          <w:rFonts w:ascii="宋体" w:hAnsi="宋体" w:eastAsia="宋体" w:cs="宋体"/>
          <w:bCs/>
          <w:color w:val="auto"/>
          <w:sz w:val="24"/>
          <w:szCs w:val="24"/>
          <w:highlight w:val="none"/>
        </w:rPr>
      </w:pPr>
      <w:bookmarkStart w:id="1" w:name="_Toc14421"/>
      <w:bookmarkStart w:id="2" w:name="_Toc28371"/>
      <w:r>
        <w:rPr>
          <w:rFonts w:ascii="宋体" w:hAnsi="宋体" w:eastAsia="宋体" w:cs="宋体"/>
          <w:bCs/>
          <w:color w:val="auto"/>
          <w:sz w:val="24"/>
          <w:szCs w:val="24"/>
          <w:highlight w:val="none"/>
        </w:rPr>
        <w:t>时间：</w:t>
      </w:r>
      <w:bookmarkEnd w:id="1"/>
      <w:bookmarkEnd w:id="2"/>
      <w:r>
        <w:rPr>
          <w:rFonts w:hint="eastAsia" w:ascii="宋体" w:hAnsi="宋体" w:eastAsia="宋体" w:cs="宋体"/>
          <w:bCs/>
          <w:color w:val="auto"/>
          <w:sz w:val="24"/>
          <w:szCs w:val="24"/>
          <w:highlight w:val="none"/>
          <w:lang w:val="en-US" w:eastAsia="zh-CN"/>
        </w:rPr>
        <w:t>2026年2月13日9点00</w:t>
      </w:r>
      <w:r>
        <w:rPr>
          <w:rFonts w:hint="eastAsia" w:ascii="宋体" w:hAnsi="宋体" w:eastAsia="宋体" w:cs="宋体"/>
          <w:bCs/>
          <w:color w:val="auto"/>
          <w:sz w:val="24"/>
          <w:szCs w:val="24"/>
          <w:highlight w:val="none"/>
          <w:lang w:eastAsia="zh-CN"/>
        </w:rPr>
        <w:t>分（北京时间）</w:t>
      </w:r>
    </w:p>
    <w:p w14:paraId="7CB6FCE2">
      <w:pPr>
        <w:spacing w:after="0" w:line="360" w:lineRule="auto"/>
        <w:ind w:firstLine="480" w:firstLineChars="200"/>
        <w:jc w:val="both"/>
        <w:rPr>
          <w:rFonts w:hint="eastAsia" w:ascii="宋体" w:hAnsi="宋体" w:eastAsia="宋体" w:cs="宋体"/>
          <w:bCs/>
          <w:color w:val="auto"/>
          <w:sz w:val="24"/>
          <w:szCs w:val="24"/>
          <w:highlight w:val="none"/>
          <w:lang w:eastAsia="zh-CN"/>
        </w:rPr>
      </w:pPr>
      <w:bookmarkStart w:id="3" w:name="_Toc5199"/>
      <w:bookmarkStart w:id="4" w:name="_Toc19552"/>
      <w:r>
        <w:rPr>
          <w:rFonts w:ascii="宋体" w:hAnsi="宋体" w:eastAsia="宋体" w:cs="宋体"/>
          <w:bCs/>
          <w:color w:val="auto"/>
          <w:sz w:val="24"/>
          <w:szCs w:val="24"/>
          <w:highlight w:val="none"/>
        </w:rPr>
        <w:t>地点</w:t>
      </w:r>
      <w:r>
        <w:rPr>
          <w:rFonts w:hint="eastAsia" w:ascii="宋体" w:hAnsi="宋体" w:eastAsia="宋体" w:cs="宋体"/>
          <w:bCs/>
          <w:color w:val="auto"/>
          <w:sz w:val="24"/>
          <w:szCs w:val="24"/>
          <w:highlight w:val="none"/>
          <w:lang w:eastAsia="zh-CN"/>
        </w:rPr>
        <w:t>：</w:t>
      </w:r>
      <w:bookmarkEnd w:id="3"/>
      <w:bookmarkEnd w:id="4"/>
      <w:r>
        <w:rPr>
          <w:rFonts w:hint="eastAsia" w:ascii="宋体" w:hAnsi="宋体" w:eastAsia="宋体" w:cs="宋体"/>
          <w:bCs/>
          <w:color w:val="auto"/>
          <w:sz w:val="24"/>
          <w:szCs w:val="24"/>
          <w:highlight w:val="none"/>
          <w:lang w:eastAsia="zh-CN"/>
        </w:rPr>
        <w:t>海口市海秀东路74号鸿泰大厦14层</w:t>
      </w: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lang w:eastAsia="zh-CN"/>
        </w:rPr>
        <w:t>号开标室</w:t>
      </w:r>
    </w:p>
    <w:p w14:paraId="4F8FC082">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六、公告期限</w:t>
      </w:r>
    </w:p>
    <w:p w14:paraId="622C42D1">
      <w:pPr>
        <w:spacing w:after="0" w:line="360" w:lineRule="auto"/>
        <w:jc w:val="both"/>
        <w:rPr>
          <w:rFonts w:ascii="宋体" w:hAnsi="宋体" w:eastAsia="宋体" w:cs="宋体"/>
          <w:bCs/>
          <w:color w:val="auto"/>
          <w:sz w:val="24"/>
          <w:szCs w:val="24"/>
          <w:highlight w:val="none"/>
        </w:rPr>
      </w:pPr>
      <w:r>
        <w:rPr>
          <w:rFonts w:ascii="宋体" w:hAnsi="宋体" w:eastAsia="宋体" w:cs="宋体"/>
          <w:b/>
          <w:color w:val="auto"/>
          <w:sz w:val="24"/>
          <w:szCs w:val="24"/>
          <w:highlight w:val="none"/>
        </w:rPr>
        <w:t xml:space="preserve">    </w:t>
      </w:r>
      <w:r>
        <w:rPr>
          <w:rFonts w:ascii="宋体" w:hAnsi="宋体" w:eastAsia="宋体" w:cs="宋体"/>
          <w:bCs/>
          <w:color w:val="auto"/>
          <w:sz w:val="24"/>
          <w:szCs w:val="24"/>
          <w:highlight w:val="none"/>
        </w:rPr>
        <w:t>自本公告发布之日起3个工作日</w:t>
      </w:r>
    </w:p>
    <w:p w14:paraId="2E3022B8">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七、其他补充事宜</w:t>
      </w:r>
    </w:p>
    <w:p w14:paraId="0D45CB71">
      <w:pPr>
        <w:spacing w:after="0" w:line="360" w:lineRule="auto"/>
        <w:jc w:val="both"/>
        <w:rPr>
          <w:rFonts w:ascii="宋体" w:hAnsi="宋体" w:eastAsia="宋体" w:cs="宋体"/>
          <w:b/>
          <w:color w:val="auto"/>
          <w:sz w:val="24"/>
          <w:szCs w:val="24"/>
          <w:highlight w:val="none"/>
        </w:rPr>
      </w:pPr>
      <w:r>
        <w:rPr>
          <w:rFonts w:ascii="宋体" w:hAnsi="宋体" w:eastAsia="宋体" w:cs="宋体"/>
          <w:bCs/>
          <w:color w:val="auto"/>
          <w:sz w:val="24"/>
          <w:szCs w:val="24"/>
          <w:highlight w:val="none"/>
        </w:rPr>
        <w:t xml:space="preserve">    1.公告发布媒介：</w:t>
      </w:r>
      <w:r>
        <w:rPr>
          <w:rFonts w:hint="eastAsia" w:ascii="宋体" w:hAnsi="宋体" w:eastAsia="宋体" w:cs="宋体"/>
          <w:bCs/>
          <w:color w:val="auto"/>
          <w:sz w:val="24"/>
          <w:szCs w:val="24"/>
          <w:highlight w:val="none"/>
        </w:rPr>
        <w:t>海南省政府采购行业协会（http://hnzfcgxh.com/）</w:t>
      </w:r>
      <w:r>
        <w:rPr>
          <w:rFonts w:ascii="宋体" w:hAnsi="宋体" w:eastAsia="宋体" w:cs="宋体"/>
          <w:color w:val="auto"/>
          <w:sz w:val="24"/>
          <w:szCs w:val="24"/>
          <w:highlight w:val="none"/>
          <w:shd w:val="clear" w:color="auto" w:fill="FFFFFF"/>
        </w:rPr>
        <w:t>。</w:t>
      </w:r>
    </w:p>
    <w:p w14:paraId="6DA5CB26">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八、对本次</w:t>
      </w:r>
      <w:r>
        <w:rPr>
          <w:rFonts w:hint="eastAsia" w:ascii="宋体" w:hAnsi="宋体" w:eastAsia="宋体" w:cs="宋体"/>
          <w:b/>
          <w:color w:val="auto"/>
          <w:sz w:val="24"/>
          <w:szCs w:val="24"/>
          <w:highlight w:val="none"/>
          <w:lang w:val="en-US" w:eastAsia="zh-CN"/>
        </w:rPr>
        <w:t>采购</w:t>
      </w:r>
      <w:r>
        <w:rPr>
          <w:rFonts w:ascii="宋体" w:hAnsi="宋体" w:eastAsia="宋体" w:cs="宋体"/>
          <w:b/>
          <w:color w:val="auto"/>
          <w:sz w:val="24"/>
          <w:szCs w:val="24"/>
          <w:highlight w:val="none"/>
        </w:rPr>
        <w:t>提出询问，请按以下方式联系</w:t>
      </w:r>
    </w:p>
    <w:p w14:paraId="2C051920">
      <w:pPr>
        <w:spacing w:after="0" w:line="360" w:lineRule="auto"/>
        <w:ind w:firstLine="480" w:firstLineChars="200"/>
        <w:jc w:val="both"/>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1.采购人信息</w:t>
      </w:r>
    </w:p>
    <w:p w14:paraId="0DF8EE32">
      <w:pPr>
        <w:spacing w:after="0" w:line="360" w:lineRule="auto"/>
        <w:ind w:firstLine="480" w:firstLineChars="200"/>
        <w:jc w:val="both"/>
        <w:rPr>
          <w:rFonts w:hint="eastAsia" w:ascii="宋体" w:hAnsi="宋体" w:eastAsia="宋体"/>
          <w:color w:val="auto"/>
          <w:sz w:val="24"/>
          <w:highlight w:val="none"/>
          <w:lang w:eastAsia="zh-CN"/>
        </w:rPr>
      </w:pPr>
      <w:r>
        <w:rPr>
          <w:rFonts w:ascii="宋体" w:hAnsi="宋体" w:eastAsia="宋体" w:cs="宋体"/>
          <w:bCs/>
          <w:color w:val="auto"/>
          <w:sz w:val="24"/>
          <w:szCs w:val="24"/>
          <w:highlight w:val="none"/>
        </w:rPr>
        <w:t>名  称：</w:t>
      </w:r>
      <w:r>
        <w:rPr>
          <w:rFonts w:hint="eastAsia" w:ascii="宋体" w:hAnsi="宋体" w:eastAsia="宋体" w:cs="宋体"/>
          <w:bCs/>
          <w:color w:val="auto"/>
          <w:sz w:val="24"/>
          <w:szCs w:val="24"/>
          <w:highlight w:val="none"/>
          <w:lang w:eastAsia="zh-CN"/>
        </w:rPr>
        <w:t>保亭新星农场有限公司</w:t>
      </w:r>
    </w:p>
    <w:p w14:paraId="2C9F5BB0">
      <w:pPr>
        <w:spacing w:after="0" w:line="360" w:lineRule="auto"/>
        <w:ind w:firstLine="480" w:firstLineChars="200"/>
        <w:jc w:val="both"/>
        <w:rPr>
          <w:rFonts w:hint="eastAsia" w:ascii="宋体" w:hAnsi="宋体" w:eastAsia="宋体" w:cs="宋体"/>
          <w:bCs/>
          <w:color w:val="auto"/>
          <w:sz w:val="24"/>
          <w:szCs w:val="24"/>
          <w:highlight w:val="none"/>
          <w:lang w:eastAsia="zh-CN"/>
        </w:rPr>
      </w:pPr>
      <w:r>
        <w:rPr>
          <w:rFonts w:ascii="宋体" w:hAnsi="宋体" w:eastAsia="宋体" w:cs="宋体"/>
          <w:bCs/>
          <w:color w:val="auto"/>
          <w:sz w:val="24"/>
          <w:szCs w:val="24"/>
          <w:highlight w:val="none"/>
        </w:rPr>
        <w:t>地  址：</w:t>
      </w:r>
      <w:r>
        <w:rPr>
          <w:rFonts w:hint="eastAsia" w:ascii="宋体" w:hAnsi="宋体" w:eastAsia="宋体" w:cs="宋体"/>
          <w:bCs/>
          <w:color w:val="auto"/>
          <w:sz w:val="24"/>
          <w:szCs w:val="24"/>
          <w:highlight w:val="none"/>
          <w:lang w:eastAsia="zh-CN"/>
        </w:rPr>
        <w:t>保亭县新星农场办公大楼</w:t>
      </w:r>
    </w:p>
    <w:p w14:paraId="3AF9E936">
      <w:pPr>
        <w:spacing w:after="0" w:line="360" w:lineRule="auto"/>
        <w:ind w:firstLine="480" w:firstLineChars="200"/>
        <w:jc w:val="both"/>
        <w:rPr>
          <w:rFonts w:hint="eastAsia" w:ascii="宋体" w:hAnsi="宋体" w:eastAsia="宋体" w:cs="宋体"/>
          <w:color w:val="auto"/>
          <w:highlight w:val="none"/>
          <w:lang w:eastAsia="zh-CN"/>
        </w:rPr>
      </w:pPr>
      <w:r>
        <w:rPr>
          <w:rFonts w:ascii="宋体" w:hAnsi="宋体" w:eastAsia="宋体" w:cs="宋体"/>
          <w:bCs/>
          <w:color w:val="auto"/>
          <w:sz w:val="24"/>
          <w:szCs w:val="24"/>
          <w:highlight w:val="none"/>
        </w:rPr>
        <w:t>联系方式：</w:t>
      </w:r>
      <w:r>
        <w:rPr>
          <w:rFonts w:hint="eastAsia" w:ascii="宋体" w:hAnsi="宋体" w:eastAsia="宋体" w:cs="宋体"/>
          <w:color w:val="auto"/>
          <w:sz w:val="24"/>
          <w:szCs w:val="24"/>
          <w:highlight w:val="none"/>
          <w:lang w:val="zh-TW" w:eastAsia="zh-TW"/>
        </w:rPr>
        <w:t>15091977053</w:t>
      </w:r>
    </w:p>
    <w:p w14:paraId="428BF4F4">
      <w:pPr>
        <w:spacing w:after="0" w:line="360" w:lineRule="auto"/>
        <w:ind w:firstLine="480" w:firstLineChars="200"/>
        <w:jc w:val="both"/>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w:t>
      </w:r>
      <w:r>
        <w:rPr>
          <w:rFonts w:hint="default" w:ascii="宋体" w:hAnsi="宋体" w:eastAsia="宋体" w:cs="宋体"/>
          <w:bCs/>
          <w:color w:val="auto"/>
          <w:sz w:val="24"/>
          <w:szCs w:val="24"/>
          <w:highlight w:val="none"/>
          <w:lang w:val="en-US" w:eastAsia="zh-CN"/>
        </w:rPr>
        <w:t>名  称：海南品诚项目咨询有限公司</w:t>
      </w:r>
    </w:p>
    <w:p w14:paraId="576C9B68">
      <w:pPr>
        <w:spacing w:after="0" w:line="360" w:lineRule="auto"/>
        <w:ind w:firstLine="480" w:firstLineChars="200"/>
        <w:jc w:val="both"/>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地  址：海口市龙华区新港路9号新港商业城401-405</w:t>
      </w:r>
    </w:p>
    <w:p w14:paraId="117C1D27">
      <w:pPr>
        <w:spacing w:after="0" w:line="360" w:lineRule="auto"/>
        <w:ind w:firstLine="480" w:firstLineChars="200"/>
        <w:jc w:val="both"/>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联系方式：0898-65381678</w:t>
      </w:r>
    </w:p>
    <w:p w14:paraId="5ECCB4E3">
      <w:pPr>
        <w:spacing w:after="0" w:line="360" w:lineRule="auto"/>
        <w:ind w:firstLine="480" w:firstLineChars="200"/>
        <w:jc w:val="both"/>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3.项目联系方式</w:t>
      </w:r>
    </w:p>
    <w:p w14:paraId="5D317038">
      <w:pPr>
        <w:spacing w:after="0" w:line="360" w:lineRule="auto"/>
        <w:ind w:firstLine="480" w:firstLineChars="200"/>
        <w:jc w:val="both"/>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项目联系人：吴工</w:t>
      </w:r>
    </w:p>
    <w:p w14:paraId="3679D23C">
      <w:pPr>
        <w:spacing w:after="0" w:line="360" w:lineRule="auto"/>
        <w:ind w:firstLine="480" w:firstLineChars="200"/>
        <w:jc w:val="both"/>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电话：0898-65381678</w:t>
      </w:r>
    </w:p>
    <w:p w14:paraId="061B1DBC">
      <w:pPr>
        <w:pStyle w:val="2"/>
        <w:rPr>
          <w:color w:val="auto"/>
          <w:szCs w:val="36"/>
          <w:highlight w:val="none"/>
        </w:rPr>
      </w:pPr>
      <w:r>
        <w:rPr>
          <w:color w:val="auto"/>
          <w:highlight w:val="none"/>
        </w:rPr>
        <w:br w:type="page"/>
      </w:r>
      <w:bookmarkStart w:id="5" w:name="_Toc20368"/>
      <w:bookmarkStart w:id="6" w:name="_Toc9116"/>
      <w:bookmarkStart w:id="7" w:name="_Toc23594"/>
      <w:r>
        <w:rPr>
          <w:color w:val="auto"/>
          <w:szCs w:val="36"/>
          <w:highlight w:val="none"/>
        </w:rPr>
        <w:t>第二章  供应商须知前附表</w:t>
      </w:r>
      <w:bookmarkEnd w:id="5"/>
      <w:bookmarkEnd w:id="6"/>
      <w:bookmarkEnd w:id="7"/>
    </w:p>
    <w:p w14:paraId="10C5C825">
      <w:pPr>
        <w:pStyle w:val="14"/>
        <w:spacing w:after="0" w:line="360" w:lineRule="auto"/>
        <w:ind w:left="0" w:firstLine="480" w:firstLineChars="200"/>
        <w:rPr>
          <w:color w:val="auto"/>
          <w:highlight w:val="none"/>
        </w:rPr>
      </w:pPr>
      <w:r>
        <w:rPr>
          <w:color w:val="auto"/>
          <w:sz w:val="24"/>
          <w:szCs w:val="24"/>
          <w:highlight w:val="none"/>
          <w:lang w:val="zh-TW" w:eastAsia="zh-TW"/>
        </w:rPr>
        <w:t>本表关于采购</w:t>
      </w:r>
      <w:r>
        <w:rPr>
          <w:rFonts w:hint="eastAsia"/>
          <w:color w:val="auto"/>
          <w:sz w:val="24"/>
          <w:szCs w:val="24"/>
          <w:highlight w:val="none"/>
          <w:lang w:val="en-US" w:eastAsia="zh-CN"/>
        </w:rPr>
        <w:t>标的</w:t>
      </w:r>
      <w:r>
        <w:rPr>
          <w:color w:val="auto"/>
          <w:sz w:val="24"/>
          <w:szCs w:val="24"/>
          <w:highlight w:val="none"/>
          <w:lang w:val="zh-TW" w:eastAsia="zh-TW"/>
        </w:rPr>
        <w:t>的具体要求是对供应商须知的具体补充和修改，如有矛盾，应以本表为准。</w:t>
      </w:r>
    </w:p>
    <w:tbl>
      <w:tblPr>
        <w:tblStyle w:val="17"/>
        <w:tblW w:w="8654"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16"/>
        <w:gridCol w:w="7738"/>
      </w:tblGrid>
      <w:tr w14:paraId="4FFA2A4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8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bottom"/>
          </w:tcPr>
          <w:p w14:paraId="556FD8C9">
            <w:pPr>
              <w:pStyle w:val="14"/>
              <w:keepNext w:val="0"/>
              <w:keepLines w:val="0"/>
              <w:suppressLineNumbers w:val="0"/>
              <w:spacing w:before="0" w:beforeAutospacing="0" w:after="0" w:afterAutospacing="0" w:line="360" w:lineRule="auto"/>
              <w:ind w:left="0" w:right="0"/>
              <w:jc w:val="center"/>
              <w:rPr>
                <w:color w:val="auto"/>
                <w:sz w:val="24"/>
                <w:szCs w:val="24"/>
                <w:highlight w:val="none"/>
                <w:lang w:val="zh-TW" w:eastAsia="zh-TW"/>
              </w:rPr>
            </w:pPr>
            <w:r>
              <w:rPr>
                <w:color w:val="auto"/>
                <w:sz w:val="24"/>
                <w:szCs w:val="24"/>
                <w:highlight w:val="none"/>
                <w:lang w:val="zh-TW" w:eastAsia="zh-TW"/>
              </w:rPr>
              <w:t>序号</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bottom"/>
          </w:tcPr>
          <w:p w14:paraId="17512857">
            <w:pPr>
              <w:pStyle w:val="14"/>
              <w:keepNext w:val="0"/>
              <w:keepLines w:val="0"/>
              <w:suppressLineNumbers w:val="0"/>
              <w:spacing w:before="0" w:beforeAutospacing="0" w:after="0" w:afterAutospacing="0" w:line="360" w:lineRule="auto"/>
              <w:ind w:left="0" w:right="0"/>
              <w:jc w:val="center"/>
              <w:rPr>
                <w:color w:val="auto"/>
                <w:sz w:val="24"/>
                <w:szCs w:val="24"/>
                <w:highlight w:val="none"/>
                <w:lang w:val="zh-TW" w:eastAsia="zh-TW"/>
              </w:rPr>
            </w:pPr>
            <w:r>
              <w:rPr>
                <w:color w:val="auto"/>
                <w:sz w:val="24"/>
                <w:szCs w:val="24"/>
                <w:highlight w:val="none"/>
                <w:lang w:val="zh-TW" w:eastAsia="zh-TW"/>
              </w:rPr>
              <w:t>内容</w:t>
            </w:r>
          </w:p>
        </w:tc>
      </w:tr>
      <w:tr w14:paraId="3C0FDEA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496"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3F1D92">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1</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221A5D0">
            <w:pPr>
              <w:keepNext w:val="0"/>
              <w:keepLines w:val="0"/>
              <w:widowControl/>
              <w:suppressLineNumbers w:val="0"/>
              <w:spacing w:before="0" w:beforeAutospacing="0" w:after="0" w:afterAutospacing="0" w:line="400" w:lineRule="exact"/>
              <w:ind w:left="0" w:right="0"/>
              <w:jc w:val="both"/>
              <w:rPr>
                <w:rFonts w:hint="eastAsia" w:ascii="宋体" w:hAnsi="宋体" w:eastAsia="宋体" w:cs="宋体"/>
                <w:color w:val="auto"/>
                <w:sz w:val="24"/>
                <w:szCs w:val="24"/>
                <w:highlight w:val="none"/>
                <w:lang w:val="zh-TW" w:eastAsia="zh-CN"/>
              </w:rPr>
            </w:pPr>
            <w:r>
              <w:rPr>
                <w:rFonts w:ascii="宋体" w:hAnsi="宋体" w:eastAsia="宋体" w:cs="宋体"/>
                <w:color w:val="auto"/>
                <w:sz w:val="24"/>
                <w:szCs w:val="24"/>
                <w:highlight w:val="none"/>
                <w:lang w:val="zh-TW" w:eastAsia="zh-TW"/>
              </w:rPr>
              <w:t>名  称</w:t>
            </w:r>
            <w:r>
              <w:rPr>
                <w:rFonts w:hint="eastAsia" w:ascii="宋体" w:hAnsi="宋体" w:eastAsia="宋体" w:cs="宋体"/>
                <w:color w:val="auto"/>
                <w:sz w:val="24"/>
                <w:szCs w:val="24"/>
                <w:highlight w:val="none"/>
                <w:lang w:val="zh-TW" w:eastAsia="zh-CN"/>
              </w:rPr>
              <w:t>：</w:t>
            </w:r>
            <w:r>
              <w:rPr>
                <w:rFonts w:hint="eastAsia" w:ascii="宋体" w:hAnsi="宋体" w:eastAsia="宋体" w:cs="宋体"/>
                <w:bCs/>
                <w:color w:val="auto"/>
                <w:sz w:val="24"/>
                <w:szCs w:val="24"/>
                <w:highlight w:val="none"/>
                <w:lang w:eastAsia="zh-CN"/>
              </w:rPr>
              <w:t>保亭新星农场有限公司</w:t>
            </w:r>
          </w:p>
          <w:p w14:paraId="50FE1BB5">
            <w:pPr>
              <w:keepNext w:val="0"/>
              <w:keepLines w:val="0"/>
              <w:widowControl/>
              <w:suppressLineNumbers w:val="0"/>
              <w:spacing w:before="0" w:beforeAutospacing="0" w:after="0" w:afterAutospacing="0" w:line="400" w:lineRule="exact"/>
              <w:ind w:left="0" w:right="0"/>
              <w:jc w:val="both"/>
              <w:rPr>
                <w:rFonts w:hint="default"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lang w:val="zh-TW" w:eastAsia="zh-TW"/>
              </w:rPr>
              <w:t>联系人</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文部长</w:t>
            </w:r>
          </w:p>
          <w:p w14:paraId="61553CFF">
            <w:pPr>
              <w:keepNext w:val="0"/>
              <w:keepLines w:val="0"/>
              <w:widowControl/>
              <w:suppressLineNumbers w:val="0"/>
              <w:spacing w:before="0" w:beforeAutospacing="0" w:after="0" w:afterAutospacing="0" w:line="400" w:lineRule="exact"/>
              <w:ind w:left="0" w:right="0"/>
              <w:jc w:val="both"/>
              <w:rPr>
                <w:rFonts w:hint="eastAsia" w:ascii="宋体" w:hAnsi="宋体" w:eastAsia="宋体" w:cs="宋体"/>
                <w:color w:val="0000FF"/>
                <w:sz w:val="24"/>
                <w:szCs w:val="24"/>
                <w:highlight w:val="none"/>
                <w:lang w:eastAsia="zh-CN"/>
              </w:rPr>
            </w:pPr>
            <w:r>
              <w:rPr>
                <w:rFonts w:ascii="宋体" w:hAnsi="宋体" w:eastAsia="宋体" w:cs="宋体"/>
                <w:color w:val="auto"/>
                <w:sz w:val="24"/>
                <w:szCs w:val="24"/>
                <w:highlight w:val="none"/>
                <w:lang w:val="zh-TW" w:eastAsia="zh-TW"/>
              </w:rPr>
              <w:t>联系电话：</w:t>
            </w:r>
            <w:r>
              <w:rPr>
                <w:rFonts w:hint="eastAsia" w:ascii="宋体" w:hAnsi="宋体" w:eastAsia="宋体" w:cs="宋体"/>
                <w:color w:val="auto"/>
                <w:sz w:val="24"/>
                <w:szCs w:val="24"/>
                <w:highlight w:val="none"/>
                <w:lang w:val="zh-TW" w:eastAsia="zh-TW"/>
              </w:rPr>
              <w:t>15091977053</w:t>
            </w:r>
          </w:p>
          <w:p w14:paraId="58637AE1">
            <w:pPr>
              <w:keepNext w:val="0"/>
              <w:keepLines w:val="0"/>
              <w:widowControl/>
              <w:suppressLineNumbers w:val="0"/>
              <w:spacing w:before="0" w:beforeAutospacing="0" w:after="0" w:afterAutospacing="0" w:line="400" w:lineRule="exact"/>
              <w:ind w:left="0" w:right="0"/>
              <w:jc w:val="both"/>
              <w:rPr>
                <w:rFonts w:hint="eastAsia" w:ascii="宋体" w:hAnsi="宋体" w:eastAsia="宋体" w:cs="宋体"/>
                <w:color w:val="auto"/>
                <w:sz w:val="24"/>
                <w:szCs w:val="24"/>
                <w:highlight w:val="none"/>
                <w:lang w:eastAsia="zh-CN"/>
              </w:rPr>
            </w:pPr>
            <w:r>
              <w:rPr>
                <w:rFonts w:ascii="宋体" w:hAnsi="宋体" w:eastAsia="宋体" w:cs="宋体"/>
                <w:color w:val="auto"/>
                <w:sz w:val="24"/>
                <w:szCs w:val="24"/>
                <w:highlight w:val="none"/>
                <w:lang w:val="zh-TW" w:eastAsia="zh-TW"/>
              </w:rPr>
              <w:t>地  址：</w:t>
            </w:r>
            <w:r>
              <w:rPr>
                <w:rFonts w:hint="eastAsia" w:ascii="宋体" w:hAnsi="宋体" w:eastAsia="宋体" w:cs="宋体"/>
                <w:bCs/>
                <w:color w:val="auto"/>
                <w:sz w:val="24"/>
                <w:szCs w:val="24"/>
                <w:highlight w:val="none"/>
                <w:lang w:eastAsia="zh-CN"/>
              </w:rPr>
              <w:t>保亭县新星农场办公大楼</w:t>
            </w:r>
          </w:p>
        </w:tc>
      </w:tr>
      <w:tr w14:paraId="0F2592E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432"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1AAAFA7">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2</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62F0A1C">
            <w:pPr>
              <w:keepNext w:val="0"/>
              <w:keepLines w:val="0"/>
              <w:widowControl/>
              <w:suppressLineNumbers w:val="0"/>
              <w:spacing w:before="0" w:beforeAutospacing="0" w:after="0" w:afterAutospacing="0" w:line="400" w:lineRule="exact"/>
              <w:ind w:left="0" w:right="0"/>
              <w:jc w:val="both"/>
              <w:rPr>
                <w:rFonts w:hint="eastAsia" w:ascii="宋体" w:hAnsi="宋体" w:eastAsia="宋体" w:cs="宋体"/>
                <w:color w:val="auto"/>
                <w:sz w:val="24"/>
                <w:szCs w:val="24"/>
                <w:highlight w:val="none"/>
                <w:lang w:val="zh-TW" w:eastAsia="zh-CN"/>
              </w:rPr>
            </w:pPr>
            <w:r>
              <w:rPr>
                <w:rFonts w:ascii="宋体" w:hAnsi="宋体" w:eastAsia="宋体" w:cs="宋体"/>
                <w:color w:val="auto"/>
                <w:sz w:val="24"/>
                <w:szCs w:val="24"/>
                <w:highlight w:val="none"/>
                <w:lang w:val="zh-TW" w:eastAsia="zh-TW"/>
              </w:rPr>
              <w:t>采购代理：</w:t>
            </w:r>
            <w:r>
              <w:rPr>
                <w:rFonts w:hint="eastAsia" w:ascii="宋体" w:hAnsi="宋体" w:eastAsia="宋体" w:cs="宋体"/>
                <w:color w:val="auto"/>
                <w:sz w:val="24"/>
                <w:szCs w:val="24"/>
                <w:highlight w:val="none"/>
                <w:lang w:val="zh-TW" w:eastAsia="zh-CN"/>
              </w:rPr>
              <w:t>海南品诚项目咨询有限公司</w:t>
            </w:r>
          </w:p>
          <w:p w14:paraId="0CB2BA6E">
            <w:pPr>
              <w:keepNext w:val="0"/>
              <w:keepLines w:val="0"/>
              <w:widowControl/>
              <w:suppressLineNumbers w:val="0"/>
              <w:spacing w:before="0" w:beforeAutospacing="0" w:after="0" w:afterAutospacing="0" w:line="400" w:lineRule="exact"/>
              <w:ind w:left="0" w:right="0"/>
              <w:jc w:val="both"/>
              <w:rPr>
                <w:rFonts w:hint="default" w:ascii="宋体" w:hAnsi="宋体" w:eastAsia="宋体" w:cs="宋体"/>
                <w:color w:val="auto"/>
                <w:sz w:val="24"/>
                <w:szCs w:val="24"/>
                <w:highlight w:val="none"/>
                <w:lang w:val="en-US"/>
              </w:rPr>
            </w:pPr>
            <w:r>
              <w:rPr>
                <w:rFonts w:ascii="宋体" w:hAnsi="宋体" w:eastAsia="宋体" w:cs="宋体"/>
                <w:color w:val="auto"/>
                <w:sz w:val="24"/>
                <w:szCs w:val="24"/>
                <w:highlight w:val="none"/>
                <w:lang w:val="zh-TW" w:eastAsia="zh-TW"/>
              </w:rPr>
              <w:t>联</w:t>
            </w: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lang w:val="zh-TW" w:eastAsia="zh-TW"/>
              </w:rPr>
              <w:t>系</w:t>
            </w: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lang w:val="zh-TW" w:eastAsia="zh-TW"/>
              </w:rPr>
              <w:t>人：</w:t>
            </w:r>
            <w:r>
              <w:rPr>
                <w:rFonts w:hint="eastAsia" w:ascii="宋体" w:hAnsi="宋体" w:eastAsia="宋体" w:cs="宋体"/>
                <w:color w:val="auto"/>
                <w:sz w:val="24"/>
                <w:szCs w:val="24"/>
                <w:highlight w:val="none"/>
                <w:lang w:val="en-US" w:eastAsia="zh-CN"/>
              </w:rPr>
              <w:t>吴工</w:t>
            </w:r>
          </w:p>
          <w:p w14:paraId="3D16F4B3">
            <w:pPr>
              <w:keepNext w:val="0"/>
              <w:keepLines w:val="0"/>
              <w:widowControl/>
              <w:suppressLineNumbers w:val="0"/>
              <w:spacing w:before="0" w:beforeAutospacing="0" w:after="0" w:afterAutospacing="0" w:line="400" w:lineRule="exact"/>
              <w:ind w:left="0" w:right="0"/>
              <w:jc w:val="both"/>
              <w:rPr>
                <w:rFonts w:hint="default"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lang w:val="zh-TW" w:eastAsia="zh-TW"/>
              </w:rPr>
              <w:t>联系电话：</w:t>
            </w:r>
            <w:r>
              <w:rPr>
                <w:rFonts w:hint="default" w:ascii="宋体" w:hAnsi="宋体" w:eastAsia="宋体" w:cs="宋体"/>
                <w:bCs/>
                <w:color w:val="auto"/>
                <w:sz w:val="24"/>
                <w:szCs w:val="24"/>
                <w:highlight w:val="none"/>
                <w:lang w:val="en-US" w:eastAsia="zh-CN"/>
              </w:rPr>
              <w:t>0898-65381678</w:t>
            </w:r>
          </w:p>
          <w:p w14:paraId="6506DA75">
            <w:pPr>
              <w:keepNext w:val="0"/>
              <w:keepLines w:val="0"/>
              <w:widowControl/>
              <w:suppressLineNumbers w:val="0"/>
              <w:spacing w:before="0" w:beforeAutospacing="0" w:after="0" w:afterAutospacing="0" w:line="400" w:lineRule="exact"/>
              <w:ind w:left="0" w:right="0"/>
              <w:jc w:val="both"/>
              <w:rPr>
                <w:rFonts w:hint="default"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lang w:val="zh-TW" w:eastAsia="zh-TW"/>
              </w:rPr>
              <w:t>地址：</w:t>
            </w:r>
            <w:r>
              <w:rPr>
                <w:rFonts w:hint="default" w:ascii="宋体" w:hAnsi="宋体" w:eastAsia="宋体" w:cs="宋体"/>
                <w:bCs/>
                <w:color w:val="auto"/>
                <w:sz w:val="24"/>
                <w:szCs w:val="24"/>
                <w:highlight w:val="none"/>
                <w:lang w:val="en-US" w:eastAsia="zh-CN"/>
              </w:rPr>
              <w:t>海口市龙华区新港路9号新港商业城401-405</w:t>
            </w:r>
          </w:p>
        </w:tc>
      </w:tr>
      <w:tr w14:paraId="08FBA23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6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68C04AF">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3</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7B76349">
            <w:pPr>
              <w:pStyle w:val="14"/>
              <w:keepNext w:val="0"/>
              <w:keepLines w:val="0"/>
              <w:suppressLineNumbers w:val="0"/>
              <w:spacing w:before="0" w:beforeAutospacing="0" w:after="0" w:afterAutospacing="0" w:line="400" w:lineRule="exact"/>
              <w:ind w:left="0" w:right="0"/>
              <w:jc w:val="left"/>
              <w:rPr>
                <w:color w:val="auto"/>
                <w:sz w:val="24"/>
                <w:szCs w:val="24"/>
                <w:highlight w:val="none"/>
                <w:lang w:val="zh-TW" w:eastAsia="zh-TW"/>
              </w:rPr>
            </w:pPr>
            <w:r>
              <w:rPr>
                <w:color w:val="auto"/>
                <w:sz w:val="24"/>
                <w:szCs w:val="24"/>
                <w:highlight w:val="none"/>
                <w:lang w:val="zh-TW" w:eastAsia="zh-TW"/>
              </w:rPr>
              <w:t>供应商资格要求：详见竞争性磋商公告</w:t>
            </w:r>
          </w:p>
        </w:tc>
      </w:tr>
      <w:tr w14:paraId="0F7660E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6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ACBA319">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4</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FAFA899">
            <w:pPr>
              <w:pStyle w:val="14"/>
              <w:keepNext w:val="0"/>
              <w:keepLines w:val="0"/>
              <w:suppressLineNumbers w:val="0"/>
              <w:spacing w:before="0" w:beforeAutospacing="0" w:after="0" w:afterAutospacing="0" w:line="400" w:lineRule="exact"/>
              <w:ind w:left="0" w:right="0"/>
              <w:jc w:val="left"/>
              <w:rPr>
                <w:color w:val="auto"/>
                <w:sz w:val="24"/>
                <w:szCs w:val="24"/>
                <w:highlight w:val="none"/>
                <w:lang w:val="zh-TW" w:eastAsia="zh-TW"/>
              </w:rPr>
            </w:pPr>
            <w:r>
              <w:rPr>
                <w:color w:val="auto"/>
                <w:sz w:val="24"/>
                <w:szCs w:val="24"/>
                <w:highlight w:val="none"/>
                <w:lang w:val="zh-TW" w:eastAsia="zh-TW"/>
              </w:rPr>
              <w:t>磋商文件的澄清：提交响应文件截止之日</w:t>
            </w:r>
            <w:r>
              <w:rPr>
                <w:color w:val="auto"/>
                <w:sz w:val="24"/>
                <w:szCs w:val="24"/>
                <w:highlight w:val="none"/>
              </w:rPr>
              <w:t>5</w:t>
            </w:r>
            <w:r>
              <w:rPr>
                <w:color w:val="auto"/>
                <w:sz w:val="24"/>
                <w:szCs w:val="24"/>
                <w:highlight w:val="none"/>
                <w:lang w:val="zh-TW" w:eastAsia="zh-TW"/>
              </w:rPr>
              <w:t>日前以书面形式通知</w:t>
            </w:r>
          </w:p>
        </w:tc>
      </w:tr>
      <w:tr w14:paraId="7BA60D7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6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61E3F32">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5</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357FCD0">
            <w:pPr>
              <w:pStyle w:val="14"/>
              <w:keepNext w:val="0"/>
              <w:keepLines w:val="0"/>
              <w:suppressLineNumbers w:val="0"/>
              <w:spacing w:before="0" w:beforeAutospacing="0" w:after="0" w:afterAutospacing="0" w:line="400" w:lineRule="exact"/>
              <w:ind w:left="0" w:right="0"/>
              <w:jc w:val="left"/>
              <w:rPr>
                <w:color w:val="auto"/>
                <w:sz w:val="24"/>
                <w:szCs w:val="24"/>
                <w:highlight w:val="none"/>
                <w:lang w:val="zh-TW" w:eastAsia="zh-TW"/>
              </w:rPr>
            </w:pPr>
            <w:r>
              <w:rPr>
                <w:color w:val="auto"/>
                <w:sz w:val="24"/>
                <w:szCs w:val="24"/>
                <w:highlight w:val="none"/>
                <w:lang w:val="zh-TW" w:eastAsia="zh-TW"/>
              </w:rPr>
              <w:t>磋商文件的修改：提交响应文件截止之日</w:t>
            </w:r>
            <w:r>
              <w:rPr>
                <w:color w:val="auto"/>
                <w:sz w:val="24"/>
                <w:szCs w:val="24"/>
                <w:highlight w:val="none"/>
              </w:rPr>
              <w:t>5</w:t>
            </w:r>
            <w:r>
              <w:rPr>
                <w:color w:val="auto"/>
                <w:sz w:val="24"/>
                <w:szCs w:val="24"/>
                <w:highlight w:val="none"/>
                <w:lang w:val="zh-TW" w:eastAsia="zh-TW"/>
              </w:rPr>
              <w:t>日前以书面形式通知</w:t>
            </w:r>
          </w:p>
        </w:tc>
      </w:tr>
      <w:tr w14:paraId="09047D1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0"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1F85398">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6</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8983C22">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eastAsia="zh-TW"/>
              </w:rPr>
              <w:t>供应商提供的磋商响应文件应由以下内容组成，实际响应中如有必要，供应商可对未涉及的部分予以补充：</w:t>
            </w:r>
          </w:p>
          <w:p w14:paraId="18C38439">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投标函</w:t>
            </w:r>
          </w:p>
          <w:p w14:paraId="39A3D644">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报价一览表</w:t>
            </w:r>
          </w:p>
          <w:p w14:paraId="2572D630">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法定代表人身份证明</w:t>
            </w:r>
          </w:p>
          <w:p w14:paraId="5232E815">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授权委托书</w:t>
            </w:r>
          </w:p>
          <w:p w14:paraId="76277142">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供应商基本情况表</w:t>
            </w:r>
          </w:p>
          <w:p w14:paraId="2F133DB6">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资格证明材料</w:t>
            </w:r>
          </w:p>
          <w:p w14:paraId="1E9D9301">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eastAsia="zh-TW"/>
              </w:rPr>
              <w:t>6.1 营业执照副本复印件加盖公章</w:t>
            </w:r>
          </w:p>
          <w:p w14:paraId="3353DA06">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en-US" w:eastAsia="zh-CN"/>
              </w:rPr>
              <w:t xml:space="preserve">6.2 </w:t>
            </w:r>
            <w:r>
              <w:rPr>
                <w:rFonts w:hint="eastAsia" w:ascii="宋体" w:hAnsi="宋体" w:eastAsia="宋体" w:cs="宋体"/>
                <w:color w:val="auto"/>
                <w:sz w:val="24"/>
                <w:szCs w:val="24"/>
                <w:highlight w:val="none"/>
                <w:lang w:val="zh-TW" w:eastAsia="zh-TW"/>
              </w:rPr>
              <w:t>资格承诺函</w:t>
            </w:r>
          </w:p>
          <w:p w14:paraId="28302619">
            <w:pPr>
              <w:keepNext w:val="0"/>
              <w:keepLines w:val="0"/>
              <w:widowControl w:val="0"/>
              <w:suppressLineNumbers w:val="0"/>
              <w:spacing w:before="0" w:beforeAutospacing="0" w:after="0" w:afterAutospacing="0" w:line="400" w:lineRule="exact"/>
              <w:ind w:left="0" w:right="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en-US" w:eastAsia="zh-CN"/>
              </w:rPr>
              <w:t>6.3</w:t>
            </w:r>
            <w:r>
              <w:rPr>
                <w:rFonts w:hint="eastAsia" w:ascii="宋体" w:hAnsi="宋体" w:eastAsia="宋体" w:cs="宋体"/>
                <w:color w:val="auto"/>
                <w:sz w:val="24"/>
                <w:szCs w:val="24"/>
                <w:highlight w:val="none"/>
                <w:lang w:val="zh-TW" w:eastAsia="zh-TW"/>
              </w:rPr>
              <w:t>采购活动前三年内，在经营活动中无环保类行政处罚记录声明函</w:t>
            </w:r>
          </w:p>
          <w:p w14:paraId="6AE3F177">
            <w:pPr>
              <w:keepNext w:val="0"/>
              <w:keepLines w:val="0"/>
              <w:widowControl w:val="0"/>
              <w:suppressLineNumbers w:val="0"/>
              <w:spacing w:before="0" w:beforeAutospacing="0" w:after="0" w:afterAutospacing="0" w:line="400" w:lineRule="exact"/>
              <w:ind w:left="0" w:right="0"/>
              <w:rPr>
                <w:rFonts w:hint="eastAsia" w:ascii="宋体" w:hAnsi="宋体" w:eastAsia="宋体" w:cs="宋体"/>
                <w:color w:val="auto"/>
                <w:sz w:val="24"/>
                <w:szCs w:val="24"/>
                <w:highlight w:val="none"/>
                <w:lang w:val="zh-TW" w:eastAsia="zh-CN"/>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val="zh-TW" w:eastAsia="zh-CN"/>
              </w:rPr>
              <w:t>）技术、商务偏离表</w:t>
            </w:r>
          </w:p>
          <w:p w14:paraId="736C446A">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类似项目简况（如有）</w:t>
            </w:r>
          </w:p>
          <w:p w14:paraId="61E58C4B">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拟投入本项目人员情况一览表（如有）</w:t>
            </w:r>
          </w:p>
          <w:p w14:paraId="7DFDA302">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实施方案（格式自拟）</w:t>
            </w:r>
          </w:p>
          <w:p w14:paraId="4A9A58ED">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供应商认为需要提供的用于参与评审其他材料</w:t>
            </w:r>
          </w:p>
          <w:p w14:paraId="6DA022E8">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eastAsia="zh-TW"/>
              </w:rPr>
              <w:t>注：供应商编制上述文件时，本磋商文件第五章已提供格式的文件须按格式要求填写。</w:t>
            </w:r>
          </w:p>
        </w:tc>
      </w:tr>
      <w:tr w14:paraId="408DFF7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98"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A25C0A">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7</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4C073BA">
            <w:pPr>
              <w:keepNext w:val="0"/>
              <w:keepLines w:val="0"/>
              <w:widowControl/>
              <w:suppressLineNumbers w:val="0"/>
              <w:spacing w:before="0" w:beforeAutospacing="0" w:after="0" w:afterAutospacing="0" w:line="400" w:lineRule="exact"/>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租赁期限</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lang w:eastAsia="zh-CN"/>
              </w:rPr>
              <w:t>租赁年限为20年起租，后续视经营情况，经双方充分协商后决定是否续租</w:t>
            </w:r>
            <w:r>
              <w:rPr>
                <w:rFonts w:ascii="宋体" w:hAnsi="宋体" w:eastAsia="宋体" w:cs="宋体"/>
                <w:b w:val="0"/>
                <w:bCs w:val="0"/>
                <w:color w:val="auto"/>
                <w:sz w:val="24"/>
                <w:szCs w:val="24"/>
              </w:rPr>
              <w:t>。</w:t>
            </w:r>
          </w:p>
          <w:p w14:paraId="09EAE1F1">
            <w:pPr>
              <w:keepNext w:val="0"/>
              <w:keepLines w:val="0"/>
              <w:widowControl/>
              <w:suppressLineNumbers w:val="0"/>
              <w:spacing w:before="0" w:beforeAutospacing="0" w:after="0" w:afterAutospacing="0" w:line="400" w:lineRule="exact"/>
              <w:ind w:left="0" w:right="0"/>
              <w:rPr>
                <w:rFonts w:hint="default" w:ascii="宋体" w:hAnsi="宋体" w:eastAsia="宋体" w:cs="宋体"/>
                <w:b/>
                <w:bCs/>
                <w:color w:val="auto"/>
                <w:highlight w:val="none"/>
                <w:lang w:val="en-US" w:eastAsia="zh-CN"/>
              </w:rPr>
            </w:pPr>
            <w:r>
              <w:rPr>
                <w:rFonts w:hint="eastAsia" w:ascii="宋体" w:hAnsi="宋体" w:eastAsia="宋体" w:cs="宋体"/>
                <w:color w:val="auto"/>
                <w:sz w:val="24"/>
                <w:szCs w:val="24"/>
                <w:highlight w:val="none"/>
                <w:lang w:eastAsia="zh-CN"/>
              </w:rPr>
              <w:t>租赁地点：</w:t>
            </w:r>
            <w:r>
              <w:rPr>
                <w:rFonts w:hint="eastAsia" w:ascii="宋体" w:hAnsi="宋体" w:eastAsia="宋体" w:cs="宋体"/>
                <w:color w:val="auto"/>
                <w:sz w:val="24"/>
                <w:szCs w:val="24"/>
                <w:highlight w:val="none"/>
                <w:lang w:val="en-US" w:eastAsia="zh-CN"/>
              </w:rPr>
              <w:t>7标段：四区三队地块四至范围：东至果园，西至橡胶、果园，南至果园，北至果园。</w:t>
            </w:r>
          </w:p>
        </w:tc>
      </w:tr>
      <w:tr w14:paraId="50CD519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6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F12B87">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8</w:t>
            </w:r>
          </w:p>
        </w:tc>
        <w:tc>
          <w:tcPr>
            <w:tcW w:w="7738"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14:paraId="1F8E13ED">
            <w:pPr>
              <w:keepNext w:val="0"/>
              <w:keepLines w:val="0"/>
              <w:widowControl/>
              <w:suppressLineNumbers w:val="0"/>
              <w:spacing w:before="0" w:beforeAutospacing="0" w:after="0" w:afterAutospacing="0" w:line="400" w:lineRule="exact"/>
              <w:ind w:left="0" w:right="0"/>
              <w:rPr>
                <w:rFonts w:ascii="宋体" w:hAnsi="宋体" w:eastAsia="宋体" w:cs="宋体"/>
                <w:color w:val="auto"/>
                <w:highlight w:val="none"/>
              </w:rPr>
            </w:pPr>
            <w:r>
              <w:rPr>
                <w:rFonts w:ascii="宋体" w:hAnsi="宋体" w:eastAsia="宋体" w:cs="宋体"/>
                <w:color w:val="auto"/>
                <w:sz w:val="24"/>
                <w:szCs w:val="24"/>
                <w:highlight w:val="none"/>
                <w:lang w:val="zh-TW" w:eastAsia="zh-TW"/>
              </w:rPr>
              <w:t>本项目</w:t>
            </w:r>
            <w:r>
              <w:rPr>
                <w:rFonts w:ascii="宋体" w:hAnsi="宋体" w:eastAsia="宋体" w:cs="宋体"/>
                <w:color w:val="auto"/>
                <w:sz w:val="24"/>
                <w:szCs w:val="24"/>
                <w:highlight w:val="none"/>
                <w:lang w:val="zh-TW"/>
              </w:rPr>
              <w:t>不</w:t>
            </w:r>
            <w:r>
              <w:rPr>
                <w:rFonts w:ascii="宋体" w:hAnsi="宋体" w:eastAsia="宋体" w:cs="宋体"/>
                <w:color w:val="auto"/>
                <w:sz w:val="24"/>
                <w:szCs w:val="24"/>
                <w:highlight w:val="none"/>
                <w:lang w:val="zh-TW" w:eastAsia="zh-TW"/>
              </w:rPr>
              <w:t>允许分包</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不</w:t>
            </w:r>
            <w:r>
              <w:rPr>
                <w:rFonts w:ascii="宋体" w:hAnsi="宋体" w:eastAsia="宋体" w:cs="宋体"/>
                <w:color w:val="auto"/>
                <w:sz w:val="24"/>
                <w:szCs w:val="24"/>
                <w:highlight w:val="none"/>
                <w:lang w:val="zh-TW" w:eastAsia="zh-TW"/>
              </w:rPr>
              <w:t>接受联合体</w:t>
            </w:r>
          </w:p>
        </w:tc>
      </w:tr>
      <w:tr w14:paraId="02A89F6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6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003ED1E">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9</w:t>
            </w:r>
          </w:p>
        </w:tc>
        <w:tc>
          <w:tcPr>
            <w:tcW w:w="7738"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14:paraId="0FF8D3D4">
            <w:pPr>
              <w:keepNext w:val="0"/>
              <w:keepLines w:val="0"/>
              <w:widowControl/>
              <w:suppressLineNumbers w:val="0"/>
              <w:spacing w:before="0" w:beforeAutospacing="0" w:after="0" w:afterAutospacing="0" w:line="400" w:lineRule="exact"/>
              <w:ind w:left="0" w:right="0"/>
              <w:rPr>
                <w:rFonts w:ascii="宋体" w:hAnsi="宋体" w:eastAsia="宋体" w:cs="宋体"/>
                <w:color w:val="auto"/>
                <w:highlight w:val="none"/>
              </w:rPr>
            </w:pPr>
            <w:r>
              <w:rPr>
                <w:rFonts w:ascii="宋体" w:hAnsi="宋体" w:eastAsia="宋体" w:cs="宋体"/>
                <w:color w:val="auto"/>
                <w:sz w:val="24"/>
                <w:szCs w:val="24"/>
                <w:highlight w:val="none"/>
                <w:lang w:val="zh-TW" w:eastAsia="zh-TW"/>
              </w:rPr>
              <w:t>备选方案：不接受</w:t>
            </w:r>
          </w:p>
        </w:tc>
      </w:tr>
      <w:tr w14:paraId="73E2D83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0"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F5AAFF2">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10</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371009B">
            <w:pPr>
              <w:keepNext w:val="0"/>
              <w:keepLines w:val="0"/>
              <w:widowControl/>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b/>
                <w:bCs/>
                <w:color w:val="auto"/>
                <w:sz w:val="24"/>
                <w:szCs w:val="24"/>
                <w:highlight w:val="none"/>
                <w:lang w:val="en-US" w:eastAsia="zh-CN"/>
              </w:rPr>
              <w:t>磋商保证金：本项目不收取磋商保证金</w:t>
            </w:r>
          </w:p>
        </w:tc>
      </w:tr>
      <w:tr w14:paraId="7C96AC5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62"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7D16223">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11</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BE4C20A">
            <w:pPr>
              <w:keepNext w:val="0"/>
              <w:keepLines w:val="0"/>
              <w:widowControl/>
              <w:suppressLineNumbers w:val="0"/>
              <w:spacing w:before="0" w:beforeAutospacing="0" w:after="0" w:afterAutospacing="0" w:line="400" w:lineRule="exact"/>
              <w:ind w:left="0" w:right="0"/>
              <w:rPr>
                <w:rFonts w:ascii="宋体" w:hAnsi="宋体" w:eastAsia="宋体" w:cs="宋体"/>
                <w:color w:val="auto"/>
                <w:highlight w:val="none"/>
              </w:rPr>
            </w:pPr>
            <w:r>
              <w:rPr>
                <w:rFonts w:ascii="宋体" w:hAnsi="宋体" w:eastAsia="宋体" w:cs="宋体"/>
                <w:color w:val="auto"/>
                <w:sz w:val="24"/>
                <w:szCs w:val="24"/>
                <w:highlight w:val="none"/>
                <w:lang w:val="zh-TW" w:eastAsia="zh-TW"/>
              </w:rPr>
              <w:t>投标有效期：自开标之日起</w:t>
            </w:r>
            <w:r>
              <w:rPr>
                <w:rFonts w:ascii="宋体" w:hAnsi="宋体" w:eastAsia="宋体" w:cs="宋体"/>
                <w:color w:val="auto"/>
                <w:sz w:val="24"/>
                <w:szCs w:val="24"/>
                <w:highlight w:val="none"/>
              </w:rPr>
              <w:t>60</w:t>
            </w:r>
            <w:r>
              <w:rPr>
                <w:rFonts w:ascii="宋体" w:hAnsi="宋体" w:eastAsia="宋体" w:cs="宋体"/>
                <w:color w:val="auto"/>
                <w:sz w:val="24"/>
                <w:szCs w:val="24"/>
                <w:highlight w:val="none"/>
                <w:lang w:val="zh-TW" w:eastAsia="zh-TW"/>
              </w:rPr>
              <w:t>天</w:t>
            </w:r>
          </w:p>
        </w:tc>
      </w:tr>
      <w:tr w14:paraId="4C86D91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15"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ED12D15">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12</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71D5907">
            <w:pPr>
              <w:keepNext w:val="0"/>
              <w:keepLines w:val="0"/>
              <w:widowControl/>
              <w:suppressLineNumbers w:val="0"/>
              <w:spacing w:before="0" w:beforeAutospacing="0" w:after="0" w:afterAutospacing="0" w:line="400" w:lineRule="exact"/>
              <w:ind w:left="0" w:right="0"/>
              <w:rPr>
                <w:rFonts w:ascii="宋体" w:hAnsi="宋体" w:eastAsia="宋体" w:cs="宋体"/>
                <w:color w:val="auto"/>
                <w:sz w:val="24"/>
                <w:szCs w:val="24"/>
                <w:highlight w:val="none"/>
                <w:lang w:val="zh-TW"/>
              </w:rPr>
            </w:pPr>
            <w:r>
              <w:rPr>
                <w:rFonts w:hint="eastAsia" w:ascii="宋体" w:hAnsi="宋体" w:eastAsia="宋体" w:cs="宋体"/>
                <w:color w:val="auto"/>
                <w:sz w:val="24"/>
                <w:szCs w:val="24"/>
                <w:highlight w:val="none"/>
                <w:lang w:val="en-US" w:eastAsia="zh-CN"/>
              </w:rPr>
              <w:t>提交</w:t>
            </w:r>
            <w:r>
              <w:rPr>
                <w:rFonts w:ascii="宋体" w:hAnsi="宋体" w:eastAsia="宋体" w:cs="宋体"/>
                <w:color w:val="auto"/>
                <w:sz w:val="24"/>
                <w:szCs w:val="24"/>
                <w:highlight w:val="none"/>
                <w:lang w:val="zh-TW" w:eastAsia="zh-TW"/>
              </w:rPr>
              <w:t>响应文件份数：正本一份</w:t>
            </w: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lang w:val="zh-TW" w:eastAsia="zh-TW"/>
              </w:rPr>
              <w:t>副本二份</w:t>
            </w:r>
            <w:r>
              <w:rPr>
                <w:rFonts w:ascii="宋体" w:hAnsi="宋体" w:eastAsia="宋体" w:cs="宋体"/>
                <w:color w:val="auto"/>
                <w:sz w:val="24"/>
                <w:szCs w:val="24"/>
                <w:highlight w:val="none"/>
                <w:lang w:val="zh-TW"/>
              </w:rPr>
              <w:t>、电子版一份</w:t>
            </w:r>
            <w:r>
              <w:rPr>
                <w:rFonts w:hint="eastAsia" w:ascii="宋体" w:hAnsi="宋体" w:eastAsia="宋体" w:cs="宋体"/>
                <w:color w:val="auto"/>
                <w:sz w:val="24"/>
                <w:szCs w:val="24"/>
                <w:highlight w:val="none"/>
                <w:lang w:val="zh-TW"/>
              </w:rPr>
              <w:t>（U盘或光盘，PDF格式）</w:t>
            </w:r>
          </w:p>
        </w:tc>
      </w:tr>
      <w:tr w14:paraId="69BCB49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6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FDB538D">
            <w:pPr>
              <w:pStyle w:val="14"/>
              <w:keepNext w:val="0"/>
              <w:keepLines w:val="0"/>
              <w:suppressLineNumbers w:val="0"/>
              <w:spacing w:before="0" w:beforeAutospacing="0" w:after="0" w:afterAutospacing="0"/>
              <w:ind w:left="0" w:right="0"/>
              <w:jc w:val="center"/>
              <w:rPr>
                <w:color w:val="auto"/>
                <w:sz w:val="24"/>
                <w:szCs w:val="24"/>
                <w:highlight w:val="none"/>
                <w:lang w:val="zh-TW" w:eastAsia="zh-TW"/>
              </w:rPr>
            </w:pPr>
            <w:r>
              <w:rPr>
                <w:color w:val="auto"/>
                <w:sz w:val="24"/>
                <w:szCs w:val="24"/>
                <w:highlight w:val="none"/>
                <w:lang w:val="zh-TW" w:eastAsia="zh-TW"/>
              </w:rPr>
              <w:t>13</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9F3A1A1">
            <w:pPr>
              <w:keepNext w:val="0"/>
              <w:keepLines w:val="0"/>
              <w:widowControl/>
              <w:suppressLineNumbers w:val="0"/>
              <w:spacing w:before="0" w:beforeAutospacing="0" w:after="0" w:afterAutospacing="0" w:line="400" w:lineRule="exact"/>
              <w:ind w:left="0" w:right="0"/>
              <w:jc w:val="both"/>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eastAsia="zh-TW"/>
              </w:rPr>
              <w:t>响应文件递交地点：详见</w:t>
            </w:r>
            <w:r>
              <w:rPr>
                <w:rFonts w:ascii="宋体" w:hAnsi="宋体" w:eastAsia="宋体" w:cs="宋体"/>
                <w:color w:val="auto"/>
                <w:sz w:val="24"/>
                <w:szCs w:val="24"/>
                <w:highlight w:val="none"/>
                <w:lang w:val="zh-TW"/>
              </w:rPr>
              <w:t>竞争性</w:t>
            </w:r>
            <w:r>
              <w:rPr>
                <w:rFonts w:ascii="宋体" w:hAnsi="宋体" w:eastAsia="宋体" w:cs="宋体"/>
                <w:color w:val="auto"/>
                <w:sz w:val="24"/>
                <w:szCs w:val="24"/>
                <w:highlight w:val="none"/>
                <w:lang w:val="zh-TW" w:eastAsia="zh-TW"/>
              </w:rPr>
              <w:t>磋商公告</w:t>
            </w:r>
          </w:p>
        </w:tc>
      </w:tr>
      <w:tr w14:paraId="6E00639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6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0145555">
            <w:pPr>
              <w:pStyle w:val="14"/>
              <w:keepNext w:val="0"/>
              <w:keepLines w:val="0"/>
              <w:suppressLineNumbers w:val="0"/>
              <w:spacing w:before="0" w:beforeAutospacing="0" w:after="0" w:afterAutospacing="0"/>
              <w:ind w:left="0" w:right="0"/>
              <w:jc w:val="center"/>
              <w:rPr>
                <w:rFonts w:hint="eastAsia" w:eastAsia="宋体"/>
                <w:color w:val="auto"/>
                <w:sz w:val="24"/>
                <w:szCs w:val="24"/>
                <w:highlight w:val="none"/>
                <w:lang w:val="zh-TW" w:eastAsia="zh-CN"/>
              </w:rPr>
            </w:pPr>
            <w:r>
              <w:rPr>
                <w:color w:val="auto"/>
                <w:sz w:val="24"/>
                <w:szCs w:val="24"/>
                <w:highlight w:val="none"/>
                <w:lang w:val="zh-TW" w:eastAsia="zh-TW"/>
              </w:rPr>
              <w:t>1</w:t>
            </w:r>
            <w:r>
              <w:rPr>
                <w:rFonts w:hint="eastAsia"/>
                <w:color w:val="auto"/>
                <w:sz w:val="24"/>
                <w:szCs w:val="24"/>
                <w:highlight w:val="none"/>
                <w:lang w:val="en-US" w:eastAsia="zh-CN"/>
              </w:rPr>
              <w:t>4</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186" w:type="dxa"/>
            </w:tcMar>
            <w:vAlign w:val="center"/>
          </w:tcPr>
          <w:p w14:paraId="69E34062">
            <w:pPr>
              <w:keepNext w:val="0"/>
              <w:keepLines w:val="0"/>
              <w:widowControl/>
              <w:suppressLineNumbers w:val="0"/>
              <w:spacing w:before="0" w:beforeAutospacing="0" w:after="0" w:afterAutospacing="0" w:line="400" w:lineRule="exact"/>
              <w:ind w:left="0" w:right="0"/>
              <w:rPr>
                <w:rFonts w:hint="eastAsia" w:ascii="宋体" w:hAnsi="宋体" w:eastAsia="宋体" w:cs="宋体"/>
                <w:color w:val="auto"/>
                <w:sz w:val="24"/>
                <w:szCs w:val="24"/>
                <w:highlight w:val="none"/>
                <w:lang w:eastAsia="zh-CN"/>
              </w:rPr>
            </w:pPr>
            <w:r>
              <w:rPr>
                <w:rFonts w:ascii="宋体" w:hAnsi="宋体" w:eastAsia="宋体" w:cs="宋体"/>
                <w:color w:val="auto"/>
                <w:sz w:val="24"/>
                <w:szCs w:val="24"/>
                <w:highlight w:val="none"/>
                <w:lang w:val="zh-TW" w:eastAsia="zh-TW"/>
              </w:rPr>
              <w:t>响应文件递交截止时间：</w:t>
            </w:r>
            <w:r>
              <w:rPr>
                <w:rFonts w:hint="eastAsia" w:ascii="宋体" w:hAnsi="宋体" w:eastAsia="宋体" w:cs="宋体"/>
                <w:color w:val="auto"/>
                <w:sz w:val="24"/>
                <w:szCs w:val="24"/>
                <w:highlight w:val="none"/>
                <w:lang w:val="zh-TW" w:eastAsia="zh-TW"/>
              </w:rPr>
              <w:t>2026年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TW" w:eastAsia="zh-TW"/>
              </w:rPr>
              <w:t>月</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lang w:val="zh-TW" w:eastAsia="zh-TW"/>
              </w:rPr>
              <w:t>日</w:t>
            </w:r>
            <w:r>
              <w:rPr>
                <w:rFonts w:hint="eastAsia" w:ascii="宋体" w:hAnsi="宋体" w:eastAsia="宋体" w:cs="宋体"/>
                <w:bCs/>
                <w:color w:val="auto"/>
                <w:sz w:val="24"/>
                <w:szCs w:val="24"/>
                <w:highlight w:val="none"/>
                <w:lang w:val="en-US" w:eastAsia="zh-CN"/>
              </w:rPr>
              <w:t>9</w:t>
            </w:r>
            <w:r>
              <w:rPr>
                <w:rFonts w:hint="eastAsia" w:ascii="宋体" w:hAnsi="宋体" w:eastAsia="宋体" w:cs="宋体"/>
                <w:bCs/>
                <w:color w:val="auto"/>
                <w:sz w:val="24"/>
                <w:szCs w:val="24"/>
                <w:highlight w:val="none"/>
                <w:lang w:eastAsia="zh-CN"/>
              </w:rPr>
              <w:t>点</w:t>
            </w:r>
            <w:r>
              <w:rPr>
                <w:rFonts w:hint="eastAsia" w:ascii="宋体" w:hAnsi="宋体" w:eastAsia="宋体" w:cs="宋体"/>
                <w:bCs/>
                <w:color w:val="auto"/>
                <w:sz w:val="24"/>
                <w:szCs w:val="24"/>
                <w:highlight w:val="none"/>
                <w:lang w:val="en-US" w:eastAsia="zh-CN"/>
              </w:rPr>
              <w:t>00</w:t>
            </w:r>
            <w:r>
              <w:rPr>
                <w:rFonts w:hint="eastAsia" w:ascii="宋体" w:hAnsi="宋体" w:eastAsia="宋体" w:cs="宋体"/>
                <w:bCs/>
                <w:color w:val="auto"/>
                <w:sz w:val="24"/>
                <w:szCs w:val="24"/>
                <w:highlight w:val="none"/>
                <w:lang w:eastAsia="zh-CN"/>
              </w:rPr>
              <w:t>分</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北京时间</w:t>
            </w:r>
            <w:r>
              <w:rPr>
                <w:rFonts w:hint="eastAsia" w:ascii="宋体" w:hAnsi="宋体" w:eastAsia="宋体" w:cs="宋体"/>
                <w:color w:val="auto"/>
                <w:sz w:val="24"/>
                <w:szCs w:val="24"/>
                <w:highlight w:val="none"/>
                <w:lang w:val="zh-TW" w:eastAsia="zh-CN"/>
              </w:rPr>
              <w:t>）</w:t>
            </w:r>
          </w:p>
        </w:tc>
      </w:tr>
      <w:tr w14:paraId="4EAE2DF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71"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D35B29E">
            <w:pPr>
              <w:pStyle w:val="14"/>
              <w:keepNext w:val="0"/>
              <w:keepLines w:val="0"/>
              <w:suppressLineNumbers w:val="0"/>
              <w:spacing w:before="0" w:beforeAutospacing="0" w:after="0" w:afterAutospacing="0"/>
              <w:ind w:left="0" w:right="0"/>
              <w:jc w:val="center"/>
              <w:rPr>
                <w:rFonts w:hint="eastAsia" w:eastAsia="宋体"/>
                <w:color w:val="auto"/>
                <w:sz w:val="24"/>
                <w:szCs w:val="24"/>
                <w:highlight w:val="none"/>
                <w:lang w:val="zh-TW" w:eastAsia="zh-CN"/>
              </w:rPr>
            </w:pPr>
            <w:r>
              <w:rPr>
                <w:color w:val="auto"/>
                <w:sz w:val="24"/>
                <w:szCs w:val="24"/>
                <w:highlight w:val="none"/>
                <w:lang w:val="zh-TW" w:eastAsia="zh-TW"/>
              </w:rPr>
              <w:t>1</w:t>
            </w:r>
            <w:r>
              <w:rPr>
                <w:rFonts w:hint="eastAsia"/>
                <w:color w:val="auto"/>
                <w:sz w:val="24"/>
                <w:szCs w:val="24"/>
                <w:highlight w:val="none"/>
                <w:lang w:val="en-US" w:eastAsia="zh-CN"/>
              </w:rPr>
              <w:t>5</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186" w:type="dxa"/>
            </w:tcMar>
            <w:vAlign w:val="center"/>
          </w:tcPr>
          <w:p w14:paraId="3B0C40EC">
            <w:pPr>
              <w:keepNext w:val="0"/>
              <w:keepLines w:val="0"/>
              <w:widowControl/>
              <w:suppressLineNumbers w:val="0"/>
              <w:spacing w:before="0" w:beforeAutospacing="0" w:after="0" w:afterAutospacing="0" w:line="400" w:lineRule="exact"/>
              <w:ind w:left="0" w:right="0"/>
              <w:jc w:val="both"/>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eastAsia="zh-TW"/>
              </w:rPr>
              <w:t>响应文件开启时间：同响应文件递交截止时间。</w:t>
            </w:r>
          </w:p>
          <w:p w14:paraId="7641C9AD">
            <w:pPr>
              <w:keepNext w:val="0"/>
              <w:keepLines w:val="0"/>
              <w:widowControl/>
              <w:suppressLineNumbers w:val="0"/>
              <w:spacing w:before="0" w:beforeAutospacing="0" w:after="0" w:afterAutospacing="0" w:line="400" w:lineRule="exact"/>
              <w:ind w:left="0" w:right="0"/>
              <w:jc w:val="both"/>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eastAsia="zh-TW"/>
              </w:rPr>
              <w:t>响应文件开启地点：同响应文件递交地点。</w:t>
            </w:r>
          </w:p>
        </w:tc>
      </w:tr>
      <w:tr w14:paraId="1BC35DB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78"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45F7F40">
            <w:pPr>
              <w:pStyle w:val="14"/>
              <w:keepNext w:val="0"/>
              <w:keepLines w:val="0"/>
              <w:suppressLineNumbers w:val="0"/>
              <w:spacing w:before="0" w:beforeAutospacing="0" w:after="0" w:afterAutospacing="0"/>
              <w:ind w:left="0" w:right="0"/>
              <w:jc w:val="center"/>
              <w:rPr>
                <w:rFonts w:hint="eastAsia" w:eastAsia="宋体"/>
                <w:color w:val="auto"/>
                <w:sz w:val="24"/>
                <w:szCs w:val="24"/>
                <w:highlight w:val="none"/>
                <w:lang w:val="zh-TW" w:eastAsia="zh-CN"/>
              </w:rPr>
            </w:pPr>
            <w:r>
              <w:rPr>
                <w:color w:val="auto"/>
                <w:sz w:val="24"/>
                <w:szCs w:val="24"/>
                <w:highlight w:val="none"/>
                <w:lang w:val="zh-TW" w:eastAsia="zh-TW"/>
              </w:rPr>
              <w:t>1</w:t>
            </w:r>
            <w:r>
              <w:rPr>
                <w:rFonts w:hint="eastAsia"/>
                <w:color w:val="auto"/>
                <w:sz w:val="24"/>
                <w:szCs w:val="24"/>
                <w:highlight w:val="none"/>
                <w:lang w:val="en-US" w:eastAsia="zh-CN"/>
              </w:rPr>
              <w:t>6</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9A86AE2">
            <w:pPr>
              <w:keepNext w:val="0"/>
              <w:keepLines w:val="0"/>
              <w:widowControl/>
              <w:suppressLineNumbers w:val="0"/>
              <w:spacing w:before="0" w:beforeAutospacing="0" w:after="0" w:afterAutospacing="0" w:line="400" w:lineRule="exact"/>
              <w:ind w:left="0" w:right="0"/>
              <w:rPr>
                <w:rFonts w:ascii="宋体" w:hAnsi="宋体" w:eastAsia="宋体" w:cs="宋体"/>
                <w:color w:val="auto"/>
                <w:highlight w:val="none"/>
              </w:rPr>
            </w:pPr>
            <w:r>
              <w:rPr>
                <w:rFonts w:ascii="宋体" w:hAnsi="宋体" w:eastAsia="宋体" w:cs="宋体"/>
                <w:b/>
                <w:bCs/>
                <w:color w:val="auto"/>
                <w:sz w:val="24"/>
                <w:szCs w:val="24"/>
                <w:highlight w:val="none"/>
                <w:lang w:val="zh-TW" w:eastAsia="zh-TW"/>
              </w:rPr>
              <w:t>出现以下情况将</w:t>
            </w:r>
            <w:r>
              <w:rPr>
                <w:rFonts w:hint="eastAsia" w:ascii="宋体" w:hAnsi="宋体" w:eastAsia="宋体" w:cs="宋体"/>
                <w:b/>
                <w:bCs/>
                <w:color w:val="auto"/>
                <w:sz w:val="24"/>
                <w:szCs w:val="24"/>
                <w:highlight w:val="none"/>
                <w:lang w:val="zh-TW" w:eastAsia="zh-CN"/>
              </w:rPr>
              <w:t>可能</w:t>
            </w:r>
            <w:r>
              <w:rPr>
                <w:rFonts w:ascii="宋体" w:hAnsi="宋体" w:eastAsia="宋体" w:cs="宋体"/>
                <w:b/>
                <w:bCs/>
                <w:color w:val="auto"/>
                <w:sz w:val="24"/>
                <w:szCs w:val="24"/>
                <w:highlight w:val="none"/>
                <w:lang w:val="zh-TW" w:eastAsia="zh-TW"/>
              </w:rPr>
              <w:t>导致供应商的投标被拒绝：</w:t>
            </w:r>
          </w:p>
          <w:p w14:paraId="49825A18">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lang w:val="zh-TW" w:eastAsia="zh-TW"/>
              </w:rPr>
              <w:t>磋商响应文件的签署、盖章不符合磋商文件的要求；</w:t>
            </w:r>
          </w:p>
          <w:p w14:paraId="465F39CA">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lang w:val="zh-TW" w:eastAsia="zh-TW"/>
              </w:rPr>
              <w:t>供应商的资格证明文件不符合磋商文件的要求；</w:t>
            </w:r>
          </w:p>
          <w:p w14:paraId="521F5D4E">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lang w:val="zh-TW" w:eastAsia="zh-TW"/>
              </w:rPr>
              <w:t>投标函或投标报价不符合磋商文件的要求；</w:t>
            </w:r>
          </w:p>
          <w:p w14:paraId="1B13214D">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lang w:val="zh-TW" w:eastAsia="zh-TW"/>
              </w:rPr>
              <w:t>磋商保证金不符合磋商文件递交的要求；</w:t>
            </w:r>
          </w:p>
          <w:p w14:paraId="14307949">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lang w:val="zh-TW" w:eastAsia="zh-TW"/>
              </w:rPr>
              <w:t>磋商响应文件的响应与磋商文件的实质性要求存在重大偏离；</w:t>
            </w:r>
          </w:p>
          <w:p w14:paraId="4B950DB1">
            <w:pPr>
              <w:keepNext w:val="0"/>
              <w:keepLines w:val="0"/>
              <w:widowControl w:val="0"/>
              <w:suppressLineNumbers w:val="0"/>
              <w:spacing w:before="0" w:beforeAutospacing="0" w:after="0" w:afterAutospacing="0" w:line="400" w:lineRule="exact"/>
              <w:ind w:left="0" w:right="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lang w:val="zh-TW" w:eastAsia="zh-TW"/>
              </w:rPr>
              <w:t>不符合法律、法规和磋商文件中规定的其他实质性要求。</w:t>
            </w:r>
          </w:p>
        </w:tc>
      </w:tr>
      <w:tr w14:paraId="3794B41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00"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B647661">
            <w:pPr>
              <w:pStyle w:val="14"/>
              <w:keepNext w:val="0"/>
              <w:keepLines w:val="0"/>
              <w:suppressLineNumbers w:val="0"/>
              <w:spacing w:before="0" w:beforeAutospacing="0" w:after="0" w:afterAutospacing="0"/>
              <w:ind w:left="0" w:right="0"/>
              <w:jc w:val="center"/>
              <w:rPr>
                <w:rFonts w:hint="eastAsia" w:eastAsia="宋体"/>
                <w:color w:val="auto"/>
                <w:sz w:val="24"/>
                <w:szCs w:val="24"/>
                <w:highlight w:val="none"/>
                <w:lang w:val="zh-TW" w:eastAsia="zh-CN"/>
              </w:rPr>
            </w:pPr>
            <w:r>
              <w:rPr>
                <w:color w:val="auto"/>
                <w:sz w:val="24"/>
                <w:szCs w:val="24"/>
                <w:highlight w:val="none"/>
                <w:lang w:val="zh-TW" w:eastAsia="zh-TW"/>
              </w:rPr>
              <w:t>1</w:t>
            </w:r>
            <w:r>
              <w:rPr>
                <w:rFonts w:hint="eastAsia"/>
                <w:color w:val="auto"/>
                <w:sz w:val="24"/>
                <w:szCs w:val="24"/>
                <w:highlight w:val="none"/>
                <w:lang w:val="en-US" w:eastAsia="zh-CN"/>
              </w:rPr>
              <w:t>7</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8D5B886">
            <w:pPr>
              <w:keepNext w:val="0"/>
              <w:keepLines w:val="0"/>
              <w:widowControl/>
              <w:suppressLineNumbers w:val="0"/>
              <w:spacing w:before="0" w:beforeAutospacing="0" w:after="0" w:afterAutospacing="0" w:line="400" w:lineRule="exact"/>
              <w:ind w:left="0" w:right="0"/>
              <w:jc w:val="both"/>
              <w:rPr>
                <w:rFonts w:ascii="宋体" w:hAnsi="宋体" w:eastAsia="宋体" w:cs="宋体"/>
                <w:color w:val="auto"/>
                <w:highlight w:val="none"/>
              </w:rPr>
            </w:pPr>
            <w:r>
              <w:rPr>
                <w:rFonts w:hint="eastAsia" w:ascii="宋体" w:hAnsi="宋体" w:eastAsia="宋体" w:cs="宋体"/>
                <w:color w:val="auto"/>
                <w:sz w:val="24"/>
                <w:szCs w:val="24"/>
                <w:highlight w:val="none"/>
                <w:lang w:val="zh-TW" w:eastAsia="zh-TW"/>
              </w:rPr>
              <w:t>磋商小组按规定</w:t>
            </w:r>
            <w:r>
              <w:rPr>
                <w:rFonts w:hint="eastAsia" w:ascii="宋体" w:hAnsi="宋体" w:eastAsia="宋体" w:cs="宋体"/>
                <w:color w:val="auto"/>
                <w:sz w:val="24"/>
                <w:szCs w:val="24"/>
                <w:highlight w:val="none"/>
                <w:lang w:val="en-US" w:eastAsia="zh-CN"/>
              </w:rPr>
              <w:t>从</w:t>
            </w:r>
            <w:r>
              <w:rPr>
                <w:rFonts w:hint="eastAsia" w:ascii="宋体" w:hAnsi="宋体" w:eastAsia="宋体" w:cs="宋体"/>
                <w:color w:val="auto"/>
                <w:sz w:val="24"/>
                <w:szCs w:val="24"/>
                <w:highlight w:val="none"/>
                <w:lang w:val="zh-TW" w:eastAsia="zh-TW"/>
              </w:rPr>
              <w:t>海南省综合评标专家库中抽取</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TW" w:eastAsia="zh-TW"/>
              </w:rPr>
              <w:t>名专家</w:t>
            </w:r>
            <w:r>
              <w:rPr>
                <w:rFonts w:hint="eastAsia" w:ascii="宋体" w:hAnsi="宋体" w:eastAsia="宋体" w:cs="宋体"/>
                <w:color w:val="auto"/>
                <w:sz w:val="24"/>
                <w:szCs w:val="24"/>
                <w:highlight w:val="none"/>
                <w:lang w:val="en-US" w:eastAsia="zh-CN"/>
              </w:rPr>
              <w:t>组成</w:t>
            </w:r>
            <w:r>
              <w:rPr>
                <w:rFonts w:hint="eastAsia" w:ascii="宋体" w:hAnsi="宋体" w:eastAsia="宋体" w:cs="宋体"/>
                <w:color w:val="auto"/>
                <w:sz w:val="24"/>
                <w:szCs w:val="24"/>
                <w:highlight w:val="none"/>
                <w:lang w:val="zh-TW" w:eastAsia="zh-TW"/>
              </w:rPr>
              <w:t>，该磋商小组独立工作，负责评审所有磋商响应文件并确定成交候选人</w:t>
            </w:r>
            <w:r>
              <w:rPr>
                <w:rFonts w:ascii="宋体" w:hAnsi="宋体" w:eastAsia="宋体" w:cs="宋体"/>
                <w:color w:val="auto"/>
                <w:sz w:val="24"/>
                <w:szCs w:val="24"/>
                <w:highlight w:val="none"/>
                <w:lang w:val="zh-TW" w:eastAsia="zh-TW"/>
              </w:rPr>
              <w:t>。</w:t>
            </w:r>
          </w:p>
        </w:tc>
      </w:tr>
      <w:tr w14:paraId="6E4A86A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6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AF9F2CA">
            <w:pPr>
              <w:pStyle w:val="14"/>
              <w:keepNext w:val="0"/>
              <w:keepLines w:val="0"/>
              <w:suppressLineNumbers w:val="0"/>
              <w:spacing w:before="0" w:beforeAutospacing="0" w:after="0" w:afterAutospacing="0"/>
              <w:ind w:left="0" w:right="0"/>
              <w:jc w:val="center"/>
              <w:rPr>
                <w:rFonts w:hint="eastAsia" w:eastAsia="宋体"/>
                <w:color w:val="auto"/>
                <w:sz w:val="24"/>
                <w:szCs w:val="24"/>
                <w:highlight w:val="none"/>
                <w:lang w:val="zh-TW" w:eastAsia="zh-CN"/>
              </w:rPr>
            </w:pPr>
            <w:r>
              <w:rPr>
                <w:color w:val="auto"/>
                <w:sz w:val="24"/>
                <w:szCs w:val="24"/>
                <w:highlight w:val="none"/>
                <w:lang w:val="zh-TW" w:eastAsia="zh-TW"/>
              </w:rPr>
              <w:t>1</w:t>
            </w:r>
            <w:r>
              <w:rPr>
                <w:rFonts w:hint="eastAsia"/>
                <w:color w:val="auto"/>
                <w:sz w:val="24"/>
                <w:szCs w:val="24"/>
                <w:highlight w:val="none"/>
                <w:lang w:val="en-US" w:eastAsia="zh-CN"/>
              </w:rPr>
              <w:t>8</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DDCE9CD">
            <w:pPr>
              <w:keepNext w:val="0"/>
              <w:keepLines w:val="0"/>
              <w:widowControl/>
              <w:suppressLineNumbers w:val="0"/>
              <w:spacing w:before="0" w:beforeAutospacing="0" w:after="0" w:afterAutospacing="0" w:line="400" w:lineRule="exact"/>
              <w:ind w:left="0" w:right="0"/>
              <w:rPr>
                <w:rFonts w:hint="eastAsia" w:ascii="宋体" w:hAnsi="宋体" w:eastAsia="宋体" w:cs="宋体"/>
                <w:color w:val="auto"/>
                <w:highlight w:val="none"/>
                <w:lang w:eastAsia="zh-CN"/>
              </w:rPr>
            </w:pPr>
            <w:r>
              <w:rPr>
                <w:rFonts w:ascii="宋体" w:hAnsi="宋体" w:eastAsia="宋体" w:cs="宋体"/>
                <w:color w:val="auto"/>
                <w:sz w:val="24"/>
                <w:szCs w:val="24"/>
                <w:highlight w:val="none"/>
                <w:lang w:val="zh-TW" w:eastAsia="zh-TW"/>
              </w:rPr>
              <w:t>推荐成交候选人</w:t>
            </w:r>
            <w:r>
              <w:rPr>
                <w:rFonts w:ascii="宋体" w:hAnsi="宋体" w:eastAsia="宋体" w:cs="宋体"/>
                <w:color w:val="auto"/>
                <w:sz w:val="24"/>
                <w:szCs w:val="24"/>
                <w:highlight w:val="none"/>
                <w:u w:val="single"/>
              </w:rPr>
              <w:t>3</w:t>
            </w:r>
            <w:r>
              <w:rPr>
                <w:rFonts w:ascii="宋体" w:hAnsi="宋体" w:eastAsia="宋体" w:cs="宋体"/>
                <w:color w:val="auto"/>
                <w:sz w:val="24"/>
                <w:szCs w:val="24"/>
                <w:highlight w:val="none"/>
                <w:lang w:val="zh-TW" w:eastAsia="zh-TW"/>
              </w:rPr>
              <w:t>名</w:t>
            </w:r>
            <w:r>
              <w:rPr>
                <w:rFonts w:hint="eastAsia" w:ascii="宋体" w:hAnsi="宋体" w:eastAsia="宋体" w:cs="宋体"/>
                <w:color w:val="auto"/>
                <w:sz w:val="24"/>
                <w:szCs w:val="24"/>
                <w:highlight w:val="none"/>
                <w:lang w:val="zh-TW" w:eastAsia="zh-CN"/>
              </w:rPr>
              <w:t>。</w:t>
            </w:r>
          </w:p>
        </w:tc>
      </w:tr>
      <w:tr w14:paraId="684158C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67"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52B6974">
            <w:pPr>
              <w:pStyle w:val="14"/>
              <w:keepNext w:val="0"/>
              <w:keepLines w:val="0"/>
              <w:suppressLineNumbers w:val="0"/>
              <w:spacing w:before="0" w:beforeAutospacing="0" w:after="0" w:afterAutospacing="0"/>
              <w:ind w:left="0" w:right="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19</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F96E883">
            <w:pPr>
              <w:keepNext w:val="0"/>
              <w:keepLines w:val="0"/>
              <w:widowControl/>
              <w:suppressLineNumbers w:val="0"/>
              <w:spacing w:before="0" w:beforeAutospacing="0" w:after="0" w:afterAutospacing="0" w:line="360" w:lineRule="auto"/>
              <w:ind w:left="0" w:right="0"/>
              <w:jc w:val="both"/>
              <w:rPr>
                <w:rFonts w:ascii="宋体" w:hAnsi="宋体" w:eastAsia="宋体" w:cs="宋体"/>
                <w:color w:val="auto"/>
                <w:highlight w:val="none"/>
              </w:rPr>
            </w:pPr>
            <w:r>
              <w:rPr>
                <w:rFonts w:hint="eastAsia" w:ascii="宋体" w:hAnsi="宋体" w:eastAsia="宋体" w:cs="宋体"/>
                <w:b w:val="0"/>
                <w:bCs w:val="0"/>
                <w:color w:val="auto"/>
                <w:sz w:val="24"/>
                <w:szCs w:val="24"/>
                <w:highlight w:val="none"/>
                <w:lang w:val="zh-TW" w:eastAsia="zh-CN"/>
              </w:rPr>
              <w:t>控制价（最低限价）：</w:t>
            </w:r>
            <w:r>
              <w:rPr>
                <w:rFonts w:hint="eastAsia" w:ascii="宋体" w:hAnsi="宋体" w:eastAsia="宋体" w:cs="宋体"/>
                <w:bCs/>
                <w:color w:val="auto"/>
                <w:sz w:val="24"/>
                <w:szCs w:val="24"/>
                <w:highlight w:val="none"/>
                <w:lang w:val="en-US" w:eastAsia="zh-CN"/>
              </w:rPr>
              <w:t>7标段最低限价500元/亩每年，租赁单价每五年上调5%</w:t>
            </w:r>
            <w:r>
              <w:rPr>
                <w:rFonts w:hint="eastAsia" w:ascii="宋体" w:hAnsi="宋体" w:eastAsia="宋体" w:cs="宋体"/>
                <w:b w:val="0"/>
                <w:bCs w:val="0"/>
                <w:color w:val="auto"/>
                <w:sz w:val="24"/>
                <w:szCs w:val="24"/>
                <w:highlight w:val="none"/>
                <w:lang w:val="zh-TW" w:eastAsia="zh-CN"/>
              </w:rPr>
              <w:t>。</w:t>
            </w:r>
          </w:p>
        </w:tc>
      </w:tr>
      <w:tr w14:paraId="7FDA157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770"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5DF6D0F">
            <w:pPr>
              <w:pStyle w:val="14"/>
              <w:keepNext w:val="0"/>
              <w:keepLines w:val="0"/>
              <w:suppressLineNumbers w:val="0"/>
              <w:spacing w:before="0" w:beforeAutospacing="0" w:after="0" w:afterAutospacing="0"/>
              <w:ind w:left="0" w:right="0"/>
              <w:jc w:val="center"/>
              <w:rPr>
                <w:rFonts w:hint="eastAsia" w:eastAsia="宋体"/>
                <w:color w:val="auto"/>
                <w:sz w:val="24"/>
                <w:szCs w:val="24"/>
                <w:highlight w:val="none"/>
                <w:lang w:val="zh-TW" w:eastAsia="zh-CN"/>
              </w:rPr>
            </w:pPr>
            <w:r>
              <w:rPr>
                <w:color w:val="auto"/>
                <w:sz w:val="24"/>
                <w:szCs w:val="24"/>
                <w:highlight w:val="none"/>
                <w:lang w:val="zh-TW" w:eastAsia="zh-TW"/>
              </w:rPr>
              <w:t>2</w:t>
            </w:r>
            <w:r>
              <w:rPr>
                <w:rFonts w:hint="eastAsia"/>
                <w:color w:val="auto"/>
                <w:sz w:val="24"/>
                <w:szCs w:val="24"/>
                <w:highlight w:val="none"/>
                <w:lang w:val="en-US" w:eastAsia="zh-CN"/>
              </w:rPr>
              <w:t>0</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183" w:type="dxa"/>
            </w:tcMar>
            <w:vAlign w:val="center"/>
          </w:tcPr>
          <w:p w14:paraId="2F1E3AEF">
            <w:pPr>
              <w:keepNext w:val="0"/>
              <w:keepLines w:val="0"/>
              <w:widowControl/>
              <w:suppressLineNumbers w:val="0"/>
              <w:spacing w:before="0" w:beforeAutospacing="0" w:after="0" w:afterAutospacing="0" w:line="400" w:lineRule="exact"/>
              <w:ind w:left="0" w:right="0"/>
              <w:jc w:val="both"/>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en-US" w:eastAsia="zh-CN"/>
              </w:rPr>
              <w:t>（1）</w:t>
            </w:r>
            <w:r>
              <w:rPr>
                <w:rFonts w:ascii="宋体" w:hAnsi="宋体" w:eastAsia="宋体" w:cs="宋体"/>
                <w:color w:val="auto"/>
                <w:sz w:val="24"/>
                <w:szCs w:val="24"/>
                <w:highlight w:val="none"/>
                <w:lang w:val="zh-TW" w:eastAsia="zh-TW"/>
              </w:rPr>
              <w:t>采购代理服务费：</w:t>
            </w:r>
            <w:r>
              <w:rPr>
                <w:rFonts w:hint="eastAsia" w:ascii="宋体" w:hAnsi="宋体" w:eastAsia="宋体" w:cs="宋体"/>
                <w:color w:val="auto"/>
                <w:sz w:val="24"/>
                <w:szCs w:val="24"/>
                <w:highlight w:val="none"/>
                <w:lang w:val="en-US" w:eastAsia="zh-CN"/>
              </w:rPr>
              <w:t>参照</w:t>
            </w:r>
            <w:r>
              <w:rPr>
                <w:rFonts w:hint="eastAsia" w:ascii="宋体" w:hAnsi="宋体" w:eastAsia="宋体" w:cs="宋体"/>
                <w:color w:val="auto"/>
                <w:sz w:val="24"/>
                <w:szCs w:val="24"/>
                <w:highlight w:val="none"/>
                <w:lang w:val="zh-TW" w:eastAsia="zh-TW"/>
              </w:rPr>
              <w:t>《招标代理服务收费管理暂行办法》（计价格〔2002〕1980号）文件中相关规定</w:t>
            </w:r>
            <w:r>
              <w:rPr>
                <w:rFonts w:hint="eastAsia" w:ascii="宋体" w:hAnsi="宋体" w:eastAsia="宋体" w:cs="宋体"/>
                <w:color w:val="auto"/>
                <w:sz w:val="24"/>
                <w:szCs w:val="24"/>
                <w:highlight w:val="none"/>
                <w:lang w:val="en-US" w:eastAsia="zh-CN"/>
              </w:rPr>
              <w:t>计算下浮30%</w:t>
            </w:r>
            <w:r>
              <w:rPr>
                <w:rFonts w:hint="eastAsia" w:ascii="宋体" w:hAnsi="宋体" w:eastAsia="宋体" w:cs="宋体"/>
                <w:color w:val="auto"/>
                <w:sz w:val="24"/>
                <w:szCs w:val="24"/>
                <w:highlight w:val="none"/>
                <w:lang w:val="zh-TW" w:eastAsia="zh-TW"/>
              </w:rPr>
              <w:t>计取，</w:t>
            </w:r>
            <w:r>
              <w:rPr>
                <w:rFonts w:hint="eastAsia" w:ascii="宋体" w:hAnsi="宋体" w:eastAsia="宋体" w:cs="宋体"/>
                <w:color w:val="auto"/>
                <w:sz w:val="24"/>
                <w:szCs w:val="24"/>
                <w:highlight w:val="none"/>
                <w:lang w:val="zh-TW" w:eastAsia="zh-CN"/>
              </w:rPr>
              <w:t>本项目</w:t>
            </w:r>
            <w:r>
              <w:rPr>
                <w:rFonts w:hint="eastAsia" w:ascii="宋体" w:hAnsi="宋体" w:eastAsia="宋体" w:cs="宋体"/>
                <w:color w:val="auto"/>
                <w:sz w:val="24"/>
                <w:szCs w:val="24"/>
                <w:highlight w:val="none"/>
                <w:lang w:val="en-US" w:eastAsia="zh-CN"/>
              </w:rPr>
              <w:t>7标段采购</w:t>
            </w:r>
            <w:r>
              <w:rPr>
                <w:rFonts w:hint="eastAsia" w:ascii="宋体" w:hAnsi="宋体" w:eastAsia="宋体" w:cs="宋体"/>
                <w:color w:val="auto"/>
                <w:sz w:val="24"/>
                <w:szCs w:val="24"/>
                <w:highlight w:val="none"/>
                <w:lang w:val="zh-TW" w:eastAsia="zh-CN"/>
              </w:rPr>
              <w:t>代理服务费为人民币</w:t>
            </w:r>
            <w:r>
              <w:rPr>
                <w:rFonts w:hint="eastAsia" w:ascii="宋体" w:hAnsi="宋体" w:eastAsia="宋体" w:cs="宋体"/>
                <w:color w:val="auto"/>
                <w:sz w:val="24"/>
                <w:szCs w:val="24"/>
                <w:highlight w:val="none"/>
                <w:lang w:val="en-US" w:eastAsia="zh-CN"/>
              </w:rPr>
              <w:t>贰仟陆佰肆拾柒元</w:t>
            </w:r>
            <w:r>
              <w:rPr>
                <w:rFonts w:hint="eastAsia" w:ascii="宋体" w:hAnsi="宋体" w:eastAsia="宋体" w:cs="宋体"/>
                <w:color w:val="auto"/>
                <w:sz w:val="24"/>
                <w:szCs w:val="24"/>
                <w:highlight w:val="none"/>
                <w:lang w:val="zh-TW" w:eastAsia="zh-CN"/>
              </w:rPr>
              <w:t>整（¥</w:t>
            </w:r>
            <w:r>
              <w:rPr>
                <w:rFonts w:hint="eastAsia" w:ascii="宋体" w:hAnsi="宋体" w:eastAsia="宋体" w:cs="宋体"/>
                <w:color w:val="auto"/>
                <w:sz w:val="24"/>
                <w:szCs w:val="24"/>
                <w:highlight w:val="none"/>
                <w:lang w:val="en-US" w:eastAsia="zh-CN"/>
              </w:rPr>
              <w:t>2647</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lang w:val="zh-TW" w:eastAsia="zh-CN"/>
              </w:rPr>
              <w:t>0元）。</w:t>
            </w:r>
            <w:r>
              <w:rPr>
                <w:rFonts w:hint="eastAsia" w:ascii="宋体" w:hAnsi="宋体" w:eastAsia="宋体" w:cs="宋体"/>
                <w:color w:val="auto"/>
                <w:sz w:val="24"/>
                <w:szCs w:val="24"/>
                <w:highlight w:val="none"/>
                <w:lang w:val="en-US" w:eastAsia="zh-CN"/>
              </w:rPr>
              <w:t>采购代理服务费由成交供应商支付，</w:t>
            </w:r>
            <w:r>
              <w:rPr>
                <w:rFonts w:hint="eastAsia" w:ascii="宋体" w:hAnsi="宋体" w:eastAsia="宋体" w:cs="宋体"/>
                <w:color w:val="auto"/>
                <w:sz w:val="24"/>
                <w:szCs w:val="24"/>
                <w:highlight w:val="none"/>
                <w:lang w:val="zh-TW" w:eastAsia="zh-CN"/>
              </w:rPr>
              <w:t>在成交通知书签发前一次性付清。</w:t>
            </w:r>
          </w:p>
          <w:p w14:paraId="162AE641">
            <w:pPr>
              <w:keepNext w:val="0"/>
              <w:keepLines w:val="0"/>
              <w:widowControl/>
              <w:suppressLineNumbers w:val="0"/>
              <w:spacing w:before="0" w:beforeAutospacing="0" w:after="0" w:afterAutospacing="0" w:line="400" w:lineRule="exact"/>
              <w:ind w:left="0" w:right="0"/>
              <w:jc w:val="both"/>
              <w:rPr>
                <w:rFonts w:ascii="宋体" w:hAnsi="宋体" w:eastAsia="宋体" w:cs="宋体"/>
                <w:color w:val="auto"/>
                <w:highlight w:val="none"/>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lang w:val="zh-TW" w:eastAsia="zh-TW"/>
              </w:rPr>
              <w:t>供应商应在成交通知书签发后</w:t>
            </w:r>
            <w:r>
              <w:rPr>
                <w:rFonts w:hint="eastAsia" w:ascii="宋体" w:hAnsi="宋体" w:eastAsia="宋体" w:cs="宋体"/>
                <w:color w:val="auto"/>
                <w:sz w:val="24"/>
                <w:szCs w:val="24"/>
                <w:highlight w:val="none"/>
                <w:lang w:val="en-US" w:eastAsia="zh-CN"/>
              </w:rPr>
              <w:t>5个工作日</w:t>
            </w:r>
            <w:r>
              <w:rPr>
                <w:rFonts w:ascii="宋体" w:hAnsi="宋体" w:eastAsia="宋体" w:cs="宋体"/>
                <w:color w:val="auto"/>
                <w:sz w:val="24"/>
                <w:szCs w:val="24"/>
                <w:highlight w:val="none"/>
                <w:lang w:val="zh-TW" w:eastAsia="zh-TW"/>
              </w:rPr>
              <w:t>内与采购人签订合同，并在签订合同后2个工作日内将合同送到代理机构进行盖章见证和公示。</w:t>
            </w:r>
          </w:p>
        </w:tc>
      </w:tr>
      <w:tr w14:paraId="414E77B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770" w:hRule="atLeast"/>
          <w:jc w:val="center"/>
        </w:trPr>
        <w:tc>
          <w:tcPr>
            <w:tcW w:w="91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725A87E">
            <w:pPr>
              <w:pStyle w:val="14"/>
              <w:keepNext w:val="0"/>
              <w:keepLines w:val="0"/>
              <w:suppressLineNumbers w:val="0"/>
              <w:spacing w:before="0" w:beforeAutospacing="0" w:after="0" w:afterAutospacing="0"/>
              <w:ind w:left="0" w:right="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21</w:t>
            </w:r>
          </w:p>
        </w:tc>
        <w:tc>
          <w:tcPr>
            <w:tcW w:w="77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183" w:type="dxa"/>
            </w:tcMar>
            <w:vAlign w:val="center"/>
          </w:tcPr>
          <w:p w14:paraId="784447A3">
            <w:pPr>
              <w:keepNext w:val="0"/>
              <w:keepLines w:val="0"/>
              <w:widowControl/>
              <w:suppressLineNumbers w:val="0"/>
              <w:spacing w:before="0" w:beforeAutospacing="0" w:after="0" w:afterAutospacing="0" w:line="400" w:lineRule="exact"/>
              <w:ind w:left="0" w:right="0"/>
              <w:jc w:val="both"/>
              <w:rPr>
                <w:rFonts w:hint="eastAsia" w:ascii="宋体" w:hAnsi="宋体" w:eastAsia="宋体" w:cs="宋体"/>
                <w:color w:val="auto"/>
                <w:sz w:val="24"/>
                <w:szCs w:val="24"/>
                <w:highlight w:val="none"/>
                <w:lang w:val="zh-TW" w:eastAsia="zh-CN"/>
              </w:rPr>
            </w:pPr>
            <w:r>
              <w:rPr>
                <w:rFonts w:hint="eastAsia" w:ascii="宋体" w:hAnsi="宋体" w:eastAsia="宋体" w:cs="宋体"/>
                <w:b w:val="0"/>
                <w:bCs w:val="0"/>
                <w:i w:val="0"/>
                <w:caps w:val="0"/>
                <w:color w:val="auto"/>
                <w:spacing w:val="0"/>
                <w:kern w:val="0"/>
                <w:sz w:val="24"/>
                <w:szCs w:val="24"/>
                <w:highlight w:val="none"/>
                <w:shd w:val="clear" w:color="auto" w:fill="auto"/>
                <w:lang w:val="en-US" w:eastAsia="zh-CN" w:bidi="ar"/>
              </w:rPr>
              <w:t>本项目采购标的所属行业为租赁和商务服务业。根据《关于印发中小企业划型标准规定的通知》（工信部联企业〔2011〕300号）规定，租赁和商务服务业</w:t>
            </w:r>
            <w:r>
              <w:rPr>
                <w:rFonts w:hint="eastAsia" w:ascii="宋体" w:hAnsi="宋体" w:eastAsia="宋体" w:cs="宋体"/>
                <w:i w:val="0"/>
                <w:iCs w:val="0"/>
                <w:caps w:val="0"/>
                <w:color w:val="auto"/>
                <w:spacing w:val="0"/>
                <w:sz w:val="24"/>
                <w:szCs w:val="24"/>
                <w:highlight w:val="none"/>
                <w:shd w:val="clear" w:fill="FFFFFF"/>
              </w:rPr>
              <w:t>划型标准为</w:t>
            </w:r>
            <w:r>
              <w:rPr>
                <w:rFonts w:hint="eastAsia" w:ascii="宋体" w:hAnsi="宋体" w:eastAsia="宋体" w:cs="宋体"/>
                <w:color w:val="auto"/>
                <w:sz w:val="24"/>
                <w:szCs w:val="24"/>
                <w:highlight w:val="none"/>
                <w:lang w:eastAsia="zh-CN"/>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eastAsia="宋体" w:cs="宋体"/>
                <w:b w:val="0"/>
                <w:bCs w:val="0"/>
                <w:i w:val="0"/>
                <w:caps w:val="0"/>
                <w:color w:val="auto"/>
                <w:spacing w:val="0"/>
                <w:kern w:val="0"/>
                <w:sz w:val="24"/>
                <w:szCs w:val="24"/>
                <w:highlight w:val="none"/>
                <w:shd w:val="clear" w:color="auto" w:fill="auto"/>
                <w:lang w:val="en-US" w:eastAsia="zh-CN" w:bidi="ar"/>
              </w:rPr>
              <w:t>。</w:t>
            </w:r>
          </w:p>
        </w:tc>
      </w:tr>
    </w:tbl>
    <w:p w14:paraId="4B356D12">
      <w:pPr>
        <w:pStyle w:val="2"/>
        <w:rPr>
          <w:color w:val="auto"/>
          <w:sz w:val="32"/>
          <w:highlight w:val="none"/>
        </w:rPr>
      </w:pPr>
      <w:r>
        <w:rPr>
          <w:color w:val="auto"/>
          <w:highlight w:val="none"/>
        </w:rPr>
        <w:br w:type="page"/>
      </w:r>
      <w:bookmarkStart w:id="8" w:name="_Toc8415"/>
      <w:r>
        <w:rPr>
          <w:color w:val="auto"/>
          <w:highlight w:val="none"/>
        </w:rPr>
        <w:t>第三章  供应商须知</w:t>
      </w:r>
      <w:bookmarkEnd w:id="8"/>
    </w:p>
    <w:p w14:paraId="55029F31">
      <w:pPr>
        <w:widowControl w:val="0"/>
        <w:spacing w:after="0" w:line="360" w:lineRule="auto"/>
        <w:jc w:val="cente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一、总则</w:t>
      </w:r>
    </w:p>
    <w:p w14:paraId="7AA5049C">
      <w:pPr>
        <w:widowControl w:val="0"/>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1.资金来源：</w:t>
      </w:r>
      <w:r>
        <w:rPr>
          <w:rFonts w:hint="eastAsia" w:ascii="宋体" w:hAnsi="宋体" w:eastAsia="宋体" w:cs="宋体"/>
          <w:b w:val="0"/>
          <w:bCs/>
          <w:color w:val="auto"/>
          <w:sz w:val="24"/>
          <w:szCs w:val="24"/>
          <w:highlight w:val="none"/>
          <w:lang w:val="en-US" w:eastAsia="zh-CN"/>
        </w:rPr>
        <w:t>/。</w:t>
      </w:r>
    </w:p>
    <w:p w14:paraId="3ECBFDE8">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采购人：见《供应商须知前附表》</w:t>
      </w:r>
    </w:p>
    <w:p w14:paraId="2EC83929">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采购代理机构：见《供应商须知前附表》</w:t>
      </w:r>
    </w:p>
    <w:p w14:paraId="07735721">
      <w:pPr>
        <w:widowControl w:val="0"/>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2.合格的供应商</w:t>
      </w:r>
    </w:p>
    <w:p w14:paraId="7D059811">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2.1合格的供应商：见《磋商公告》及《供应商须知前附表》中规定的内容。</w:t>
      </w:r>
    </w:p>
    <w:p w14:paraId="1DF753F2">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2.2联合体投标</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本次采购不接受联合体。</w:t>
      </w:r>
    </w:p>
    <w:p w14:paraId="206E4FDE">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2.3合格的货物和服务：合同规定的货物和服务指其来源符合磋商文件要求的货物和服务。</w:t>
      </w:r>
    </w:p>
    <w:p w14:paraId="244C8C3A">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2.4单位负责人为同一人或者存在直接控股、管理关系的不同供应商，不得参加同一合同项下的采购活动。</w:t>
      </w:r>
    </w:p>
    <w:p w14:paraId="1789129C">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2.5供应商（投标人）之间存在关联关系采购人有权根据国家采购有关规定取消其投标（或取消其提交响应文件），由此产生的一切后果均由相关供应商（投标人）承担</w:t>
      </w:r>
      <w:r>
        <w:rPr>
          <w:rFonts w:hint="eastAsia" w:ascii="宋体" w:hAnsi="宋体" w:eastAsia="宋体" w:cs="宋体"/>
          <w:color w:val="auto"/>
          <w:sz w:val="24"/>
          <w:szCs w:val="24"/>
          <w:highlight w:val="none"/>
        </w:rPr>
        <w:t>。</w:t>
      </w:r>
    </w:p>
    <w:p w14:paraId="43994A45">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6</w:t>
      </w:r>
      <w:r>
        <w:rPr>
          <w:rFonts w:ascii="宋体" w:hAnsi="宋体" w:eastAsia="宋体" w:cs="宋体"/>
          <w:color w:val="auto"/>
          <w:sz w:val="24"/>
          <w:szCs w:val="24"/>
          <w:highlight w:val="none"/>
        </w:rPr>
        <w:t>如为信息系统采购项目，供应商不得为该整体项目或其中分项目前期工作提供过设计、编制、管理等服务的法人及附属单位。</w:t>
      </w:r>
    </w:p>
    <w:p w14:paraId="6B7858B3">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7</w:t>
      </w:r>
      <w:r>
        <w:rPr>
          <w:rFonts w:ascii="宋体" w:hAnsi="宋体" w:eastAsia="宋体" w:cs="宋体"/>
          <w:color w:val="auto"/>
          <w:sz w:val="24"/>
          <w:szCs w:val="24"/>
          <w:highlight w:val="none"/>
        </w:rPr>
        <w:t>采购文件中未明确规定允许进口产品参加的，均视为拒绝进口产品参加。（进口产品是指通过中国海关报关验放进入中国境内且产自关境外的产品）。</w:t>
      </w:r>
    </w:p>
    <w:p w14:paraId="16370273">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.8</w:t>
      </w:r>
      <w:r>
        <w:rPr>
          <w:rFonts w:ascii="宋体" w:hAnsi="宋体" w:eastAsia="宋体" w:cs="宋体"/>
          <w:color w:val="auto"/>
          <w:sz w:val="24"/>
          <w:szCs w:val="24"/>
          <w:highlight w:val="none"/>
        </w:rPr>
        <w:t>供应商在本项目磋商公告前三年内被列入失信被执行人、重大税收违法失信主体，以及存在其他不符合《中华人民共和国政府采购法》第二十二条规定的情况的供应商不得参与投标。</w:t>
      </w:r>
    </w:p>
    <w:p w14:paraId="29412F09">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9</w:t>
      </w:r>
      <w:r>
        <w:rPr>
          <w:rFonts w:ascii="宋体" w:hAnsi="宋体" w:eastAsia="宋体" w:cs="宋体"/>
          <w:color w:val="auto"/>
          <w:sz w:val="24"/>
          <w:szCs w:val="24"/>
          <w:highlight w:val="none"/>
        </w:rPr>
        <w:t>本章2.</w:t>
      </w:r>
      <w:r>
        <w:rPr>
          <w:rFonts w:hint="eastAsia" w:ascii="宋体" w:hAnsi="宋体" w:eastAsia="宋体" w:cs="宋体"/>
          <w:color w:val="auto"/>
          <w:sz w:val="24"/>
          <w:szCs w:val="24"/>
          <w:highlight w:val="none"/>
          <w:lang w:val="en-US" w:eastAsia="zh-CN"/>
        </w:rPr>
        <w:t>8</w:t>
      </w:r>
      <w:r>
        <w:rPr>
          <w:rFonts w:ascii="宋体" w:hAnsi="宋体" w:eastAsia="宋体" w:cs="宋体"/>
          <w:color w:val="auto"/>
          <w:sz w:val="24"/>
          <w:szCs w:val="24"/>
          <w:highlight w:val="none"/>
        </w:rPr>
        <w:t>款的信用记录以“信用中国”网站（www.creditchina.gov.cn）</w:t>
      </w:r>
      <w:r>
        <w:rPr>
          <w:rFonts w:hint="eastAsia" w:ascii="宋体" w:hAnsi="宋体" w:eastAsia="宋体" w:cs="宋体"/>
          <w:color w:val="auto"/>
          <w:sz w:val="24"/>
          <w:szCs w:val="24"/>
          <w:highlight w:val="none"/>
          <w:lang w:val="en-US" w:eastAsia="zh-CN"/>
        </w:rPr>
        <w:t>和</w:t>
      </w:r>
      <w:r>
        <w:rPr>
          <w:rFonts w:ascii="宋体" w:hAnsi="宋体" w:eastAsia="宋体" w:cs="宋体"/>
          <w:color w:val="auto"/>
          <w:sz w:val="24"/>
          <w:szCs w:val="24"/>
          <w:highlight w:val="none"/>
        </w:rPr>
        <w:t>中国执行信息公开网（http://zxgk.court.gov.cn/）上公布的信用记录为准。</w:t>
      </w:r>
    </w:p>
    <w:p w14:paraId="114EACC6">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10</w:t>
      </w:r>
      <w:r>
        <w:rPr>
          <w:rFonts w:ascii="宋体" w:hAnsi="宋体" w:eastAsia="宋体" w:cs="宋体"/>
          <w:color w:val="auto"/>
          <w:sz w:val="24"/>
          <w:szCs w:val="24"/>
          <w:highlight w:val="none"/>
        </w:rPr>
        <w:t>现场信用记录查询：</w:t>
      </w:r>
    </w:p>
    <w:p w14:paraId="5F9D22F5">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10</w:t>
      </w:r>
      <w:r>
        <w:rPr>
          <w:rFonts w:ascii="宋体" w:hAnsi="宋体" w:eastAsia="宋体" w:cs="宋体"/>
          <w:color w:val="auto"/>
          <w:sz w:val="24"/>
          <w:szCs w:val="24"/>
          <w:highlight w:val="none"/>
        </w:rPr>
        <w:t>.1采购代理机构在初步审查环节查询供应商的信用记录。供应商存在不良信用记录的，将被认定为无效响应，并交由磋商小组签字确认。在初步审查结束之后，网站信息发生的任何变更均不再作为评审依据。</w:t>
      </w:r>
    </w:p>
    <w:p w14:paraId="5BA813E8">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10</w:t>
      </w:r>
      <w:r>
        <w:rPr>
          <w:rFonts w:ascii="宋体" w:hAnsi="宋体" w:eastAsia="宋体" w:cs="宋体"/>
          <w:color w:val="auto"/>
          <w:sz w:val="24"/>
          <w:szCs w:val="24"/>
          <w:highlight w:val="none"/>
        </w:rPr>
        <w:t>.2不良信用记录指：</w:t>
      </w:r>
      <w:r>
        <w:rPr>
          <w:rFonts w:hint="eastAsia" w:ascii="宋体" w:hAnsi="宋体" w:eastAsia="宋体" w:cs="宋体"/>
          <w:color w:val="auto"/>
          <w:sz w:val="24"/>
          <w:szCs w:val="24"/>
          <w:highlight w:val="none"/>
          <w:lang w:val="en-US" w:eastAsia="zh-CN"/>
        </w:rPr>
        <w:t>在</w:t>
      </w:r>
      <w:r>
        <w:rPr>
          <w:rFonts w:hint="eastAsia" w:ascii="宋体" w:hAnsi="宋体" w:eastAsia="宋体" w:cs="宋体"/>
          <w:bCs/>
          <w:color w:val="auto"/>
          <w:sz w:val="24"/>
          <w:szCs w:val="24"/>
          <w:highlight w:val="none"/>
          <w:lang w:val="en-US" w:eastAsia="zh-CN"/>
        </w:rPr>
        <w:t>“信用中国”网站（www.creditchina.gov.cn）被列入重大税收违法失信主体名单和被列入中国执行信息公开网（http://zxgk.court.gov.cn/shixin/）失信被执行人名单的</w:t>
      </w:r>
      <w:r>
        <w:rPr>
          <w:rFonts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供应商</w:t>
      </w:r>
      <w:r>
        <w:rPr>
          <w:rFonts w:ascii="宋体" w:hAnsi="宋体" w:eastAsia="宋体" w:cs="宋体"/>
          <w:color w:val="auto"/>
          <w:sz w:val="24"/>
          <w:szCs w:val="24"/>
          <w:highlight w:val="none"/>
        </w:rPr>
        <w:t>。</w:t>
      </w:r>
    </w:p>
    <w:p w14:paraId="55906979">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10</w:t>
      </w:r>
      <w:r>
        <w:rPr>
          <w:rFonts w:ascii="宋体" w:hAnsi="宋体" w:eastAsia="宋体" w:cs="宋体"/>
          <w:color w:val="auto"/>
          <w:sz w:val="24"/>
          <w:szCs w:val="24"/>
          <w:highlight w:val="none"/>
        </w:rPr>
        <w:t>.3供应商不良信用记录以采购代理机构于开标当天查询结果为准。</w:t>
      </w:r>
    </w:p>
    <w:p w14:paraId="20D7D3CA">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3.投标费用</w:t>
      </w:r>
    </w:p>
    <w:p w14:paraId="5133708F">
      <w:pPr>
        <w:spacing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无论投标过程中</w:t>
      </w:r>
      <w:r>
        <w:rPr>
          <w:rFonts w:hint="eastAsia" w:ascii="宋体" w:hAnsi="宋体" w:eastAsia="宋体" w:cs="宋体"/>
          <w:color w:val="auto"/>
          <w:sz w:val="24"/>
          <w:szCs w:val="24"/>
          <w:highlight w:val="none"/>
          <w:lang w:eastAsia="zh-CN"/>
        </w:rPr>
        <w:t>的做法</w:t>
      </w:r>
      <w:r>
        <w:rPr>
          <w:rFonts w:ascii="宋体" w:hAnsi="宋体" w:eastAsia="宋体" w:cs="宋体"/>
          <w:color w:val="auto"/>
          <w:sz w:val="24"/>
          <w:szCs w:val="24"/>
          <w:highlight w:val="none"/>
        </w:rPr>
        <w:t>和结果如何，供应商准备和参加投标活动发生的费用自理。供应商应承担所有与编写和递交磋商响应文件有关的费用，采购人和采购</w:t>
      </w:r>
      <w:r>
        <w:rPr>
          <w:rFonts w:hint="eastAsia" w:ascii="宋体" w:hAnsi="宋体" w:eastAsia="宋体" w:cs="宋体"/>
          <w:color w:val="auto"/>
          <w:sz w:val="24"/>
          <w:szCs w:val="24"/>
          <w:highlight w:val="none"/>
          <w:lang w:val="en-US" w:eastAsia="zh-CN"/>
        </w:rPr>
        <w:t>代理</w:t>
      </w:r>
      <w:r>
        <w:rPr>
          <w:rFonts w:ascii="宋体" w:hAnsi="宋体" w:eastAsia="宋体" w:cs="宋体"/>
          <w:color w:val="auto"/>
          <w:sz w:val="24"/>
          <w:szCs w:val="24"/>
          <w:highlight w:val="none"/>
        </w:rPr>
        <w:t>机构在任何情况下不负担这些费用。</w:t>
      </w:r>
    </w:p>
    <w:p w14:paraId="4022DB53">
      <w:pPr>
        <w:spacing w:line="360" w:lineRule="auto"/>
        <w:jc w:val="center"/>
        <w:rPr>
          <w:rFonts w:ascii="宋体" w:hAnsi="宋体" w:eastAsia="宋体" w:cs="宋体"/>
          <w:b/>
          <w:color w:val="auto"/>
          <w:sz w:val="32"/>
          <w:szCs w:val="32"/>
          <w:highlight w:val="none"/>
        </w:rPr>
      </w:pPr>
      <w:r>
        <w:rPr>
          <w:rFonts w:ascii="宋体" w:hAnsi="宋体" w:eastAsia="宋体" w:cs="宋体"/>
          <w:b/>
          <w:color w:val="auto"/>
          <w:sz w:val="32"/>
          <w:szCs w:val="32"/>
          <w:highlight w:val="none"/>
        </w:rPr>
        <w:t>二、磋商文件</w:t>
      </w:r>
    </w:p>
    <w:p w14:paraId="35FAFF10">
      <w:pPr>
        <w:keepNext w:val="0"/>
        <w:keepLines w:val="0"/>
        <w:pageBreakBefore w:val="0"/>
        <w:widowControl/>
        <w:kinsoku/>
        <w:wordWrap/>
        <w:overflowPunct/>
        <w:topLinePunct w:val="0"/>
        <w:autoSpaceDE/>
        <w:autoSpaceDN/>
        <w:bidi w:val="0"/>
        <w:adjustRightInd/>
        <w:snapToGrid/>
        <w:spacing w:after="0" w:line="360" w:lineRule="auto"/>
        <w:ind w:firstLine="482" w:firstLineChars="200"/>
        <w:textAlignment w:val="auto"/>
        <w:rPr>
          <w:rFonts w:ascii="宋体" w:hAnsi="宋体" w:eastAsia="宋体" w:cs="宋体"/>
          <w:b/>
          <w:color w:val="auto"/>
          <w:sz w:val="24"/>
          <w:szCs w:val="24"/>
          <w:highlight w:val="none"/>
        </w:rPr>
      </w:pPr>
      <w:r>
        <w:rPr>
          <w:rFonts w:ascii="宋体" w:hAnsi="宋体" w:eastAsia="宋体" w:cs="宋体"/>
          <w:b/>
          <w:color w:val="auto"/>
          <w:sz w:val="24"/>
          <w:szCs w:val="24"/>
          <w:highlight w:val="none"/>
        </w:rPr>
        <w:t>4.磋商文件的构成</w:t>
      </w:r>
    </w:p>
    <w:p w14:paraId="64F3C179">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4.1 磋商文件包括：</w:t>
      </w:r>
    </w:p>
    <w:p w14:paraId="26EB2F1B">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第一章  竞争性磋商公告</w:t>
      </w:r>
    </w:p>
    <w:p w14:paraId="31D51EAD">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第二章  供应商须知前附表</w:t>
      </w:r>
    </w:p>
    <w:p w14:paraId="6B9A5A9E">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第三章  供应商须知</w:t>
      </w:r>
    </w:p>
    <w:p w14:paraId="7BBD0FD3">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第四章  </w:t>
      </w:r>
      <w:r>
        <w:rPr>
          <w:rFonts w:hint="eastAsia" w:ascii="宋体" w:hAnsi="宋体" w:eastAsia="宋体" w:cs="宋体"/>
          <w:color w:val="auto"/>
          <w:sz w:val="24"/>
          <w:szCs w:val="24"/>
          <w:highlight w:val="none"/>
        </w:rPr>
        <w:t>合同文本（仅供参考）</w:t>
      </w:r>
    </w:p>
    <w:p w14:paraId="26E24F46">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第五章  磋商响应文件格式</w:t>
      </w:r>
    </w:p>
    <w:p w14:paraId="07980C72">
      <w:pPr>
        <w:spacing w:after="0" w:line="360" w:lineRule="auto"/>
        <w:ind w:firstLine="480" w:firstLineChars="200"/>
        <w:rPr>
          <w:rFonts w:hint="eastAsia" w:ascii="宋体" w:hAnsi="宋体" w:eastAsia="宋体" w:cs="宋体"/>
          <w:color w:val="auto"/>
          <w:sz w:val="24"/>
          <w:szCs w:val="24"/>
          <w:highlight w:val="none"/>
          <w:lang w:eastAsia="zh-CN"/>
        </w:rPr>
      </w:pPr>
      <w:r>
        <w:rPr>
          <w:rFonts w:ascii="宋体" w:hAnsi="宋体" w:eastAsia="宋体" w:cs="宋体"/>
          <w:color w:val="auto"/>
          <w:sz w:val="24"/>
          <w:szCs w:val="24"/>
          <w:highlight w:val="none"/>
        </w:rPr>
        <w:t xml:space="preserve">第六章  </w:t>
      </w:r>
      <w:r>
        <w:rPr>
          <w:rFonts w:hint="eastAsia" w:ascii="宋体" w:hAnsi="宋体" w:eastAsia="宋体" w:cs="宋体"/>
          <w:color w:val="auto"/>
          <w:sz w:val="24"/>
          <w:szCs w:val="24"/>
          <w:highlight w:val="none"/>
          <w:lang w:eastAsia="zh-CN"/>
        </w:rPr>
        <w:t>招租需求</w:t>
      </w:r>
    </w:p>
    <w:p w14:paraId="785CFC48">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第七章  评审办法和程序</w:t>
      </w:r>
    </w:p>
    <w:p w14:paraId="075DEE14">
      <w:pPr>
        <w:spacing w:after="0" w:line="360" w:lineRule="auto"/>
        <w:ind w:firstLine="480" w:firstLineChars="200"/>
        <w:rPr>
          <w:rFonts w:ascii="宋体" w:hAnsi="宋体" w:eastAsia="宋体" w:cs="宋体"/>
          <w:b/>
          <w:color w:val="auto"/>
          <w:sz w:val="24"/>
          <w:szCs w:val="24"/>
          <w:highlight w:val="none"/>
        </w:rPr>
      </w:pPr>
      <w:r>
        <w:rPr>
          <w:rFonts w:ascii="宋体" w:hAnsi="宋体" w:eastAsia="宋体" w:cs="宋体"/>
          <w:color w:val="auto"/>
          <w:sz w:val="24"/>
          <w:szCs w:val="24"/>
          <w:highlight w:val="none"/>
        </w:rPr>
        <w:t>4.2 供应商应审阅磋商文件中所有须知、格式、条款和规格。供应商未按磋商文件要求提供全部资料或提交的响应文件未对磋商文件作出实质性响应，供应商将承担其风险并有可能根据磋商文件要求导致响应文件被拒绝。</w:t>
      </w:r>
    </w:p>
    <w:p w14:paraId="4D30070A">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5.磋商文件的澄清</w:t>
      </w:r>
    </w:p>
    <w:p w14:paraId="5BD82FCF">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任何对磋商文件提出澄清的供应商，应在《供应商须知前附表》中规定的提交响应文件截止之日前5日以书面形式通知采购代理机构。</w:t>
      </w:r>
      <w:r>
        <w:rPr>
          <w:rFonts w:hint="eastAsia" w:ascii="宋体" w:hAnsi="宋体" w:eastAsia="宋体" w:cs="宋体"/>
          <w:color w:val="auto"/>
          <w:sz w:val="24"/>
          <w:szCs w:val="24"/>
          <w:highlight w:val="none"/>
          <w:lang w:eastAsia="zh-CN"/>
        </w:rPr>
        <w:t>采购代理机构</w:t>
      </w:r>
      <w:r>
        <w:rPr>
          <w:rFonts w:ascii="宋体" w:hAnsi="宋体" w:eastAsia="宋体" w:cs="宋体"/>
          <w:color w:val="auto"/>
          <w:sz w:val="24"/>
          <w:szCs w:val="24"/>
          <w:highlight w:val="none"/>
        </w:rPr>
        <w:t>将视情况对提交响应文件截止之日前5日收到的澄清要求采用适当方式或以书面形式予以答复，并在其认为必要时，将不标明查询来源的书面答复发给每一已购买磋商文件的潜在供应商。</w:t>
      </w:r>
    </w:p>
    <w:p w14:paraId="3A61CF59">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6.磋商文件的修改</w:t>
      </w:r>
    </w:p>
    <w:p w14:paraId="1D738364">
      <w:pPr>
        <w:spacing w:after="0" w:line="360" w:lineRule="auto"/>
        <w:ind w:firstLine="480" w:firstLineChars="200"/>
        <w:rPr>
          <w:rFonts w:hint="eastAsia" w:ascii="宋体" w:hAnsi="宋体" w:eastAsia="宋体" w:cs="宋体"/>
          <w:color w:val="auto"/>
          <w:sz w:val="24"/>
          <w:szCs w:val="24"/>
          <w:highlight w:val="none"/>
          <w:lang w:eastAsia="zh-CN"/>
        </w:rPr>
      </w:pPr>
      <w:r>
        <w:rPr>
          <w:rFonts w:ascii="宋体" w:hAnsi="宋体" w:eastAsia="宋体" w:cs="宋体"/>
          <w:color w:val="auto"/>
          <w:sz w:val="24"/>
          <w:szCs w:val="24"/>
          <w:highlight w:val="none"/>
        </w:rPr>
        <w:t>在提交响应文件截止之日前5日的任何时候，无论何故，采购人可主动的或在答复供应商提出澄清的问题时对磋商文件进行修改。距提交响应文件截止之日不足5日的，采购人、采购代理机构</w:t>
      </w:r>
      <w:r>
        <w:rPr>
          <w:rFonts w:hint="eastAsia" w:ascii="宋体" w:hAnsi="宋体" w:eastAsia="宋体" w:cs="宋体"/>
          <w:color w:val="auto"/>
          <w:sz w:val="24"/>
          <w:szCs w:val="24"/>
          <w:highlight w:val="none"/>
          <w:lang w:val="en-US" w:eastAsia="zh-CN"/>
        </w:rPr>
        <w:t>将</w:t>
      </w:r>
      <w:r>
        <w:rPr>
          <w:rFonts w:ascii="宋体" w:hAnsi="宋体" w:eastAsia="宋体" w:cs="宋体"/>
          <w:color w:val="auto"/>
          <w:sz w:val="24"/>
          <w:szCs w:val="24"/>
          <w:highlight w:val="none"/>
        </w:rPr>
        <w:t>相应顺延提交首次响应文件截止时间</w:t>
      </w:r>
      <w:r>
        <w:rPr>
          <w:rFonts w:hint="eastAsia" w:ascii="宋体" w:hAnsi="宋体" w:eastAsia="宋体" w:cs="宋体"/>
          <w:color w:val="auto"/>
          <w:sz w:val="24"/>
          <w:szCs w:val="24"/>
          <w:highlight w:val="none"/>
          <w:lang w:eastAsia="zh-CN"/>
        </w:rPr>
        <w:t>。</w:t>
      </w:r>
    </w:p>
    <w:p w14:paraId="74674F70">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磋商文件的修改将以书面形式通知所有购买磋商文件的供应商，并对其具有约束力。供应商在接收后1日内应立即以传真的形式确认已收到该修改。</w:t>
      </w:r>
    </w:p>
    <w:p w14:paraId="06BC4A73">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为使供应商在准备磋商响应文件时有合理的时间考虑磋商文件的修改，采购人可酌情推迟第18款中规定的提交响应文件截止之日。</w:t>
      </w:r>
    </w:p>
    <w:p w14:paraId="76C33426">
      <w:pPr>
        <w:pStyle w:val="3"/>
        <w:spacing w:before="0" w:after="0" w:line="360" w:lineRule="auto"/>
        <w:jc w:val="center"/>
        <w:rPr>
          <w:rFonts w:ascii="宋体" w:hAnsi="宋体" w:cs="宋体"/>
          <w:b/>
          <w:color w:val="auto"/>
          <w:kern w:val="0"/>
          <w:highlight w:val="none"/>
        </w:rPr>
      </w:pPr>
      <w:bookmarkStart w:id="9" w:name="_投标文件的编制"/>
      <w:bookmarkEnd w:id="9"/>
      <w:r>
        <w:rPr>
          <w:rFonts w:ascii="宋体" w:hAnsi="宋体" w:cs="宋体"/>
          <w:b/>
          <w:color w:val="auto"/>
          <w:kern w:val="0"/>
          <w:highlight w:val="none"/>
        </w:rPr>
        <w:t>三、磋商响应文件的编制</w:t>
      </w:r>
    </w:p>
    <w:p w14:paraId="77EE13E1">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7.投标使用的文字</w:t>
      </w:r>
    </w:p>
    <w:p w14:paraId="563D3AEF">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磋商响应文件所有部分均应以中文编制。</w:t>
      </w:r>
    </w:p>
    <w:p w14:paraId="2D13706B">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8.磋商响应文件的组成</w:t>
      </w:r>
    </w:p>
    <w:p w14:paraId="6FEB63AA">
      <w:pPr>
        <w:spacing w:after="0" w:line="360" w:lineRule="auto"/>
        <w:ind w:firstLine="480" w:firstLineChars="200"/>
        <w:rPr>
          <w:rFonts w:ascii="宋体" w:hAnsi="宋体" w:eastAsia="宋体" w:cs="宋体"/>
          <w:b/>
          <w:color w:val="auto"/>
          <w:sz w:val="24"/>
          <w:szCs w:val="24"/>
          <w:highlight w:val="none"/>
        </w:rPr>
      </w:pPr>
      <w:r>
        <w:rPr>
          <w:rFonts w:ascii="宋体" w:hAnsi="宋体" w:eastAsia="宋体" w:cs="宋体"/>
          <w:color w:val="auto"/>
          <w:sz w:val="24"/>
          <w:szCs w:val="24"/>
          <w:highlight w:val="none"/>
        </w:rPr>
        <w:t>8.1 供应商准备的磋商响应文件应包括以下部分：</w:t>
      </w:r>
    </w:p>
    <w:p w14:paraId="6899CD23">
      <w:pPr>
        <w:spacing w:after="0" w:line="360" w:lineRule="auto"/>
        <w:ind w:firstLine="480" w:firstLineChars="200"/>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（1）按第五章磋商响应文件格式填写的投标函及报价一览表。报价一览表总价与投标函总价不符，以报价一览表为准。</w:t>
      </w:r>
    </w:p>
    <w:p w14:paraId="5CCF46B0">
      <w:pPr>
        <w:spacing w:after="0" w:line="360" w:lineRule="auto"/>
        <w:ind w:firstLine="480" w:firstLineChars="200"/>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（2）按第</w:t>
      </w:r>
      <w:r>
        <w:rPr>
          <w:rFonts w:ascii="宋体" w:hAnsi="宋体" w:eastAsia="宋体" w:cs="宋体"/>
          <w:bCs/>
          <w:color w:val="auto"/>
          <w:sz w:val="24"/>
          <w:szCs w:val="24"/>
          <w:highlight w:val="none"/>
          <w:u w:val="single"/>
        </w:rPr>
        <w:t>13</w:t>
      </w:r>
      <w:r>
        <w:rPr>
          <w:rFonts w:ascii="宋体" w:hAnsi="宋体" w:eastAsia="宋体" w:cs="宋体"/>
          <w:bCs/>
          <w:color w:val="auto"/>
          <w:sz w:val="24"/>
          <w:szCs w:val="24"/>
          <w:highlight w:val="none"/>
        </w:rPr>
        <w:t>款出具的，证明供应商有资格投标以及如果成交有能力履行合同的证明文件。</w:t>
      </w:r>
    </w:p>
    <w:p w14:paraId="7CA09CA0">
      <w:pPr>
        <w:spacing w:after="0" w:line="360" w:lineRule="auto"/>
        <w:ind w:firstLine="480" w:firstLineChars="200"/>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8.2</w:t>
      </w:r>
      <w:r>
        <w:rPr>
          <w:rFonts w:hint="eastAsia" w:ascii="宋体" w:hAnsi="宋体" w:eastAsia="宋体" w:cs="宋体"/>
          <w:bCs/>
          <w:color w:val="auto"/>
          <w:sz w:val="24"/>
          <w:szCs w:val="24"/>
          <w:highlight w:val="none"/>
          <w:lang w:val="en-US" w:eastAsia="zh-CN"/>
        </w:rPr>
        <w:t xml:space="preserve"> </w:t>
      </w:r>
      <w:r>
        <w:rPr>
          <w:rFonts w:ascii="宋体" w:hAnsi="宋体" w:eastAsia="宋体" w:cs="宋体"/>
          <w:bCs/>
          <w:color w:val="auto"/>
          <w:sz w:val="24"/>
          <w:szCs w:val="24"/>
          <w:highlight w:val="none"/>
        </w:rPr>
        <w:t>供应商应按第五章《磋商响应文件格式》中规定结构和顺序编制磋商响应文件。</w:t>
      </w:r>
    </w:p>
    <w:p w14:paraId="082BD1B6">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9.磋商响应文件格式</w:t>
      </w:r>
    </w:p>
    <w:p w14:paraId="761F8625">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供应商应按磋商文件第五章提供的磋商响应文件格式编制磋商响应文件。</w:t>
      </w:r>
    </w:p>
    <w:p w14:paraId="4FD21D66">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10.投标报价</w:t>
      </w:r>
    </w:p>
    <w:p w14:paraId="71FDA189">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10.1 本项目</w:t>
      </w:r>
      <w:r>
        <w:rPr>
          <w:rFonts w:hint="eastAsia" w:ascii="宋体" w:hAnsi="宋体" w:eastAsia="宋体" w:cs="宋体"/>
          <w:bCs/>
          <w:color w:val="auto"/>
          <w:sz w:val="24"/>
          <w:szCs w:val="24"/>
          <w:highlight w:val="none"/>
          <w:lang w:val="en-US" w:eastAsia="zh-CN"/>
        </w:rPr>
        <w:t>控制价（最低限价）</w:t>
      </w:r>
      <w:r>
        <w:rPr>
          <w:rFonts w:hint="eastAsia" w:ascii="宋体" w:hAnsi="宋体" w:eastAsia="宋体" w:cs="宋体"/>
          <w:bCs/>
          <w:color w:val="auto"/>
          <w:sz w:val="24"/>
          <w:szCs w:val="24"/>
          <w:highlight w:val="none"/>
          <w:lang w:eastAsia="zh-CN"/>
        </w:rPr>
        <w:t>：7标段最低限价500元/亩每年，租赁单价每五年上调5%</w:t>
      </w: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投标报价填报</w:t>
      </w:r>
      <w:r>
        <w:rPr>
          <w:rFonts w:hint="eastAsia" w:ascii="宋体" w:hAnsi="宋体" w:eastAsia="宋体" w:cs="宋体"/>
          <w:color w:val="auto"/>
          <w:sz w:val="24"/>
          <w:szCs w:val="24"/>
          <w:highlight w:val="none"/>
          <w:lang w:val="en-US" w:eastAsia="zh-CN"/>
        </w:rPr>
        <w:t>每年每亩单价</w:t>
      </w:r>
      <w:r>
        <w:rPr>
          <w:rFonts w:hint="eastAsia" w:ascii="宋体" w:hAnsi="宋体" w:eastAsia="宋体" w:cs="宋体"/>
          <w:color w:val="auto"/>
          <w:sz w:val="24"/>
          <w:szCs w:val="24"/>
          <w:highlight w:val="none"/>
        </w:rPr>
        <w:t>，报价的单位为</w:t>
      </w:r>
      <w:r>
        <w:rPr>
          <w:rFonts w:hint="eastAsia" w:ascii="宋体" w:hAnsi="宋体" w:eastAsia="宋体" w:cs="宋体"/>
          <w:color w:val="auto"/>
          <w:sz w:val="24"/>
          <w:szCs w:val="24"/>
          <w:highlight w:val="none"/>
          <w:lang w:val="en-US" w:eastAsia="zh-CN"/>
        </w:rPr>
        <w:t>人民币元</w:t>
      </w:r>
      <w:r>
        <w:rPr>
          <w:rFonts w:hint="eastAsia" w:ascii="宋体" w:hAnsi="宋体" w:eastAsia="宋体" w:cs="宋体"/>
          <w:color w:val="auto"/>
          <w:sz w:val="24"/>
          <w:szCs w:val="24"/>
          <w:highlight w:val="none"/>
        </w:rPr>
        <w:t>。</w:t>
      </w:r>
      <w:r>
        <w:rPr>
          <w:rFonts w:ascii="宋体" w:hAnsi="宋体" w:eastAsia="宋体" w:cs="宋体"/>
          <w:color w:val="auto"/>
          <w:sz w:val="24"/>
          <w:szCs w:val="24"/>
          <w:highlight w:val="none"/>
        </w:rPr>
        <w:t>任何有选择的</w:t>
      </w:r>
      <w:r>
        <w:rPr>
          <w:rFonts w:hint="eastAsia" w:ascii="宋体" w:hAnsi="宋体" w:eastAsia="宋体" w:cs="宋体"/>
          <w:color w:val="auto"/>
          <w:sz w:val="24"/>
          <w:szCs w:val="24"/>
          <w:highlight w:val="none"/>
          <w:lang w:val="en-US" w:eastAsia="zh-CN"/>
        </w:rPr>
        <w:t>投标</w:t>
      </w:r>
      <w:r>
        <w:rPr>
          <w:rFonts w:ascii="宋体" w:hAnsi="宋体" w:eastAsia="宋体" w:cs="宋体"/>
          <w:color w:val="auto"/>
          <w:sz w:val="24"/>
          <w:szCs w:val="24"/>
          <w:highlight w:val="none"/>
        </w:rPr>
        <w:t>报价将不予接受，只允许有一个报价。</w:t>
      </w:r>
    </w:p>
    <w:p w14:paraId="62961ED0">
      <w:pPr>
        <w:spacing w:after="0" w:line="360" w:lineRule="auto"/>
        <w:ind w:left="110" w:leftChars="50"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10.2 </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应根据</w:t>
      </w:r>
      <w:r>
        <w:rPr>
          <w:rFonts w:hint="eastAsia" w:ascii="宋体" w:hAnsi="宋体" w:eastAsia="宋体" w:cs="宋体"/>
          <w:color w:val="auto"/>
          <w:sz w:val="24"/>
          <w:szCs w:val="24"/>
          <w:highlight w:val="none"/>
          <w:lang w:val="en-US" w:eastAsia="zh-CN"/>
        </w:rPr>
        <w:t>在可独立履行项目合同义务、可满足预期实施效果、准确核算、验收标准和符合自身合法利益的前提下作出综合性合理报价。</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应充分考虑本项目合同实施期间可能发生的一切费用，并承担由此而带来的风险。投标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因自身原因造成投标报价不完整、估算错误或漏项的风险，一律由投标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自行承担，包括因此导致投标被否决的风险。</w:t>
      </w:r>
    </w:p>
    <w:p w14:paraId="783DC5F6">
      <w:pPr>
        <w:spacing w:after="0" w:line="360" w:lineRule="auto"/>
        <w:ind w:left="110" w:leftChars="50"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10.</w:t>
      </w:r>
      <w:r>
        <w:rPr>
          <w:rFonts w:hint="default" w:ascii="宋体" w:hAnsi="宋体" w:eastAsia="宋体" w:cs="宋体"/>
          <w:color w:val="auto"/>
          <w:sz w:val="24"/>
          <w:szCs w:val="24"/>
          <w:highlight w:val="none"/>
        </w:rPr>
        <w:t>3</w:t>
      </w:r>
      <w:r>
        <w:rPr>
          <w:rFonts w:ascii="宋体" w:hAnsi="宋体" w:eastAsia="宋体" w:cs="宋体"/>
          <w:color w:val="auto"/>
          <w:sz w:val="24"/>
          <w:szCs w:val="24"/>
          <w:highlight w:val="none"/>
        </w:rPr>
        <w:t xml:space="preserve"> 投标函和报价一览表中所填的价格在合同执行过程中是固定不变的；除非另有规定，非固定的投标价将根据</w:t>
      </w:r>
      <w:r>
        <w:rPr>
          <w:rFonts w:ascii="宋体" w:hAnsi="宋体" w:eastAsia="宋体" w:cs="宋体"/>
          <w:color w:val="auto"/>
          <w:sz w:val="24"/>
          <w:szCs w:val="24"/>
          <w:highlight w:val="none"/>
        </w:rPr>
        <w:fldChar w:fldCharType="begin"/>
      </w:r>
      <w:r>
        <w:rPr>
          <w:rFonts w:ascii="宋体" w:hAnsi="宋体" w:eastAsia="宋体" w:cs="宋体"/>
          <w:color w:val="auto"/>
          <w:sz w:val="24"/>
          <w:szCs w:val="24"/>
          <w:highlight w:val="none"/>
        </w:rPr>
        <w:instrText xml:space="preserve"> HYPERLINK \l "bookmark2" </w:instrText>
      </w:r>
      <w:r>
        <w:rPr>
          <w:rFonts w:ascii="宋体" w:hAnsi="宋体" w:eastAsia="宋体" w:cs="宋体"/>
          <w:color w:val="auto"/>
          <w:sz w:val="24"/>
          <w:szCs w:val="24"/>
          <w:highlight w:val="none"/>
        </w:rPr>
        <w:fldChar w:fldCharType="separate"/>
      </w:r>
      <w:r>
        <w:rPr>
          <w:rFonts w:ascii="宋体" w:hAnsi="宋体" w:eastAsia="宋体" w:cs="宋体"/>
          <w:color w:val="auto"/>
          <w:sz w:val="24"/>
          <w:szCs w:val="24"/>
          <w:highlight w:val="none"/>
        </w:rPr>
        <w:t>第22款</w:t>
      </w:r>
      <w:r>
        <w:rPr>
          <w:rFonts w:ascii="宋体" w:hAnsi="宋体" w:eastAsia="宋体" w:cs="宋体"/>
          <w:color w:val="auto"/>
          <w:sz w:val="24"/>
          <w:szCs w:val="24"/>
          <w:highlight w:val="none"/>
        </w:rPr>
        <w:fldChar w:fldCharType="end"/>
      </w:r>
      <w:r>
        <w:rPr>
          <w:rFonts w:ascii="宋体" w:hAnsi="宋体" w:eastAsia="宋体" w:cs="宋体"/>
          <w:color w:val="auto"/>
          <w:sz w:val="24"/>
          <w:szCs w:val="24"/>
          <w:highlight w:val="none"/>
        </w:rPr>
        <w:t>规定被采购人拒绝。</w:t>
      </w:r>
    </w:p>
    <w:p w14:paraId="6EBFFD83">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 xml:space="preserve"> 其他要求见《供应商须知前附表》。</w:t>
      </w:r>
    </w:p>
    <w:p w14:paraId="65CEF109">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11.投标货币</w:t>
      </w:r>
    </w:p>
    <w:p w14:paraId="25F76ADC">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本次采购项目以</w:t>
      </w:r>
      <w:r>
        <w:rPr>
          <w:rFonts w:hint="eastAsia" w:ascii="宋体" w:hAnsi="宋体" w:eastAsia="宋体" w:cs="宋体"/>
          <w:color w:val="auto"/>
          <w:sz w:val="24"/>
          <w:szCs w:val="24"/>
          <w:highlight w:val="none"/>
          <w:lang w:val="en-US" w:eastAsia="zh-CN"/>
        </w:rPr>
        <w:t>每年每亩单价</w:t>
      </w:r>
      <w:r>
        <w:rPr>
          <w:rFonts w:ascii="宋体" w:hAnsi="宋体" w:eastAsia="宋体" w:cs="宋体"/>
          <w:color w:val="auto"/>
          <w:sz w:val="24"/>
          <w:szCs w:val="24"/>
          <w:highlight w:val="none"/>
        </w:rPr>
        <w:t>进行投标报价，</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报价的单位为</w:t>
      </w:r>
      <w:r>
        <w:rPr>
          <w:rFonts w:hint="eastAsia" w:ascii="宋体" w:hAnsi="宋体" w:eastAsia="宋体" w:cs="宋体"/>
          <w:color w:val="auto"/>
          <w:sz w:val="24"/>
          <w:szCs w:val="24"/>
          <w:highlight w:val="none"/>
          <w:lang w:val="en-US" w:eastAsia="zh-CN"/>
        </w:rPr>
        <w:t>人民币元</w:t>
      </w:r>
      <w:r>
        <w:rPr>
          <w:rFonts w:ascii="宋体" w:hAnsi="宋体" w:eastAsia="宋体" w:cs="宋体"/>
          <w:color w:val="auto"/>
          <w:sz w:val="24"/>
          <w:szCs w:val="24"/>
          <w:highlight w:val="none"/>
        </w:rPr>
        <w:t>。</w:t>
      </w:r>
    </w:p>
    <w:p w14:paraId="734A2846">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12.供应商的合格性和资格的</w:t>
      </w:r>
      <w:r>
        <w:rPr>
          <w:rFonts w:hint="eastAsia" w:ascii="宋体" w:hAnsi="宋体" w:eastAsia="宋体" w:cs="宋体"/>
          <w:b/>
          <w:color w:val="auto"/>
          <w:sz w:val="24"/>
          <w:szCs w:val="24"/>
          <w:highlight w:val="none"/>
          <w:lang w:eastAsia="zh-CN"/>
        </w:rPr>
        <w:t>证</w:t>
      </w:r>
      <w:r>
        <w:rPr>
          <w:rFonts w:ascii="宋体" w:hAnsi="宋体" w:eastAsia="宋体" w:cs="宋体"/>
          <w:b/>
          <w:color w:val="auto"/>
          <w:sz w:val="24"/>
          <w:szCs w:val="24"/>
          <w:highlight w:val="none"/>
        </w:rPr>
        <w:t>明文件</w:t>
      </w:r>
    </w:p>
    <w:p w14:paraId="04D98A00">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12.1 根据</w:t>
      </w:r>
      <w:r>
        <w:rPr>
          <w:rFonts w:ascii="宋体" w:hAnsi="宋体" w:eastAsia="宋体" w:cs="宋体"/>
          <w:color w:val="auto"/>
          <w:highlight w:val="none"/>
        </w:rPr>
        <w:fldChar w:fldCharType="begin"/>
      </w:r>
      <w:r>
        <w:rPr>
          <w:rFonts w:ascii="宋体" w:hAnsi="宋体" w:eastAsia="宋体" w:cs="宋体"/>
          <w:color w:val="auto"/>
          <w:highlight w:val="none"/>
        </w:rPr>
        <w:instrText xml:space="preserve"> HYPERLINK \l "bookmark3" </w:instrText>
      </w:r>
      <w:r>
        <w:rPr>
          <w:rFonts w:ascii="宋体" w:hAnsi="宋体" w:eastAsia="宋体" w:cs="宋体"/>
          <w:color w:val="auto"/>
          <w:highlight w:val="none"/>
        </w:rPr>
        <w:fldChar w:fldCharType="separate"/>
      </w:r>
      <w:r>
        <w:rPr>
          <w:rFonts w:ascii="宋体" w:hAnsi="宋体" w:eastAsia="宋体" w:cs="宋体"/>
          <w:color w:val="auto"/>
          <w:sz w:val="24"/>
          <w:szCs w:val="24"/>
          <w:highlight w:val="none"/>
          <w:u w:val="single"/>
        </w:rPr>
        <w:t>第13款</w:t>
      </w:r>
      <w:r>
        <w:rPr>
          <w:rFonts w:ascii="宋体" w:hAnsi="宋体" w:eastAsia="宋体" w:cs="宋体"/>
          <w:color w:val="auto"/>
          <w:sz w:val="24"/>
          <w:szCs w:val="24"/>
          <w:highlight w:val="none"/>
          <w:u w:val="single"/>
        </w:rPr>
        <w:fldChar w:fldCharType="end"/>
      </w:r>
      <w:r>
        <w:rPr>
          <w:rFonts w:ascii="宋体" w:hAnsi="宋体" w:eastAsia="宋体" w:cs="宋体"/>
          <w:color w:val="auto"/>
          <w:sz w:val="24"/>
          <w:szCs w:val="24"/>
          <w:highlight w:val="none"/>
        </w:rPr>
        <w:t>规定，供应商须提交证明其有资格进行投标和有能力履行合同的文件，作为磋商响应文件的一部分。</w:t>
      </w:r>
    </w:p>
    <w:p w14:paraId="2CAA8F89">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12.2 供应商提供的履行合同的资格</w:t>
      </w:r>
      <w:r>
        <w:rPr>
          <w:rFonts w:hint="eastAsia" w:ascii="宋体" w:hAnsi="宋体" w:eastAsia="宋体" w:cs="宋体"/>
          <w:color w:val="auto"/>
          <w:sz w:val="24"/>
          <w:szCs w:val="24"/>
          <w:highlight w:val="none"/>
          <w:lang w:eastAsia="zh-CN"/>
        </w:rPr>
        <w:t>证</w:t>
      </w:r>
      <w:r>
        <w:rPr>
          <w:rFonts w:ascii="宋体" w:hAnsi="宋体" w:eastAsia="宋体" w:cs="宋体"/>
          <w:color w:val="auto"/>
          <w:sz w:val="24"/>
          <w:szCs w:val="24"/>
          <w:highlight w:val="none"/>
        </w:rPr>
        <w:t>明文件应使采购人满意：</w:t>
      </w:r>
    </w:p>
    <w:p w14:paraId="28503F71">
      <w:pPr>
        <w:spacing w:after="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供应商具有履行合同所需的财务、技术和生产能力；</w:t>
      </w:r>
    </w:p>
    <w:p w14:paraId="0BD7140C">
      <w:pPr>
        <w:spacing w:after="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供应商应填写并提交磋商文件第五章上所附的“资格证明</w:t>
      </w:r>
      <w:r>
        <w:rPr>
          <w:rFonts w:hint="eastAsia" w:ascii="宋体" w:hAnsi="宋体" w:eastAsia="宋体" w:cs="宋体"/>
          <w:color w:val="auto"/>
          <w:sz w:val="24"/>
          <w:szCs w:val="24"/>
          <w:highlight w:val="none"/>
          <w:lang w:val="en-US" w:eastAsia="zh-CN"/>
        </w:rPr>
        <w:t>材料</w:t>
      </w:r>
      <w:r>
        <w:rPr>
          <w:rFonts w:ascii="宋体" w:hAnsi="宋体" w:eastAsia="宋体" w:cs="宋体"/>
          <w:color w:val="auto"/>
          <w:sz w:val="24"/>
          <w:szCs w:val="24"/>
          <w:highlight w:val="none"/>
        </w:rPr>
        <w:t>”中的所有内容。</w:t>
      </w:r>
    </w:p>
    <w:p w14:paraId="3F177260">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13.</w:t>
      </w:r>
      <w:r>
        <w:rPr>
          <w:rFonts w:hint="eastAsia" w:ascii="宋体" w:hAnsi="宋体" w:eastAsia="宋体" w:cs="宋体"/>
          <w:b/>
          <w:color w:val="auto"/>
          <w:sz w:val="24"/>
          <w:szCs w:val="24"/>
          <w:highlight w:val="none"/>
          <w:lang w:val="en-US" w:eastAsia="zh-CN"/>
        </w:rPr>
        <w:t>货物或服务</w:t>
      </w:r>
      <w:r>
        <w:rPr>
          <w:rFonts w:ascii="宋体" w:hAnsi="宋体" w:eastAsia="宋体" w:cs="宋体"/>
          <w:b/>
          <w:color w:val="auto"/>
          <w:sz w:val="24"/>
          <w:szCs w:val="24"/>
          <w:highlight w:val="none"/>
        </w:rPr>
        <w:t>的合格性及符合磋商文件规定的证明文件</w:t>
      </w:r>
    </w:p>
    <w:p w14:paraId="4B81D697">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13.1 供应商须提交证明其拟</w:t>
      </w:r>
      <w:r>
        <w:rPr>
          <w:rFonts w:hint="eastAsia" w:ascii="宋体" w:hAnsi="宋体" w:eastAsia="宋体" w:cs="宋体"/>
          <w:color w:val="auto"/>
          <w:sz w:val="24"/>
          <w:szCs w:val="24"/>
          <w:highlight w:val="none"/>
          <w:lang w:val="en-US" w:eastAsia="zh-CN"/>
        </w:rPr>
        <w:t>提供货物或服务</w:t>
      </w:r>
      <w:r>
        <w:rPr>
          <w:rFonts w:ascii="宋体" w:hAnsi="宋体" w:eastAsia="宋体" w:cs="宋体"/>
          <w:color w:val="auto"/>
          <w:sz w:val="24"/>
          <w:szCs w:val="24"/>
          <w:highlight w:val="none"/>
        </w:rPr>
        <w:t>的合格性并符合磋商文件规定的证明文件，作为磋商响应文件的一部分。证明文件可以是文字资料、彩页和数据。</w:t>
      </w:r>
    </w:p>
    <w:p w14:paraId="0E4FC7A8">
      <w:pPr>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13.2 磋商文件规定的其他必要文件。</w:t>
      </w:r>
    </w:p>
    <w:p w14:paraId="65C21CA2">
      <w:pPr>
        <w:spacing w:after="0" w:line="360" w:lineRule="auto"/>
        <w:ind w:firstLine="482" w:firstLineChars="200"/>
        <w:rPr>
          <w:rFonts w:hint="eastAsia" w:ascii="宋体" w:hAnsi="宋体" w:eastAsia="宋体" w:cs="宋体"/>
          <w:b/>
          <w:color w:val="auto"/>
          <w:sz w:val="24"/>
          <w:szCs w:val="24"/>
          <w:highlight w:val="none"/>
          <w:lang w:eastAsia="zh-CN"/>
        </w:rPr>
      </w:pPr>
      <w:r>
        <w:rPr>
          <w:rFonts w:ascii="宋体" w:hAnsi="宋体" w:eastAsia="宋体" w:cs="宋体"/>
          <w:b/>
          <w:color w:val="auto"/>
          <w:sz w:val="24"/>
          <w:szCs w:val="24"/>
          <w:highlight w:val="none"/>
        </w:rPr>
        <w:t>14.</w:t>
      </w:r>
      <w:r>
        <w:rPr>
          <w:rFonts w:hint="eastAsia" w:ascii="宋体" w:hAnsi="宋体" w:eastAsia="宋体" w:cs="宋体"/>
          <w:b/>
          <w:color w:val="auto"/>
          <w:sz w:val="24"/>
          <w:szCs w:val="24"/>
          <w:highlight w:val="none"/>
          <w:lang w:val="en-US" w:eastAsia="zh-CN"/>
        </w:rPr>
        <w:t>磋商保证金</w:t>
      </w:r>
      <w:r>
        <w:rPr>
          <w:rFonts w:hint="eastAsia" w:ascii="宋体" w:hAnsi="宋体" w:eastAsia="宋体" w:cs="宋体"/>
          <w:b/>
          <w:color w:val="auto"/>
          <w:sz w:val="24"/>
          <w:szCs w:val="24"/>
          <w:highlight w:val="none"/>
          <w:lang w:eastAsia="zh-CN"/>
        </w:rPr>
        <w:t>：根据《海南省政府采购领域优化营商环境提升措施》的通知（琼财采〔2023〕981号）规定，本项目不收取磋商保证金。</w:t>
      </w:r>
    </w:p>
    <w:p w14:paraId="69379C2A">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15.投标有效期</w:t>
      </w:r>
    </w:p>
    <w:p w14:paraId="3E85CAED">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15.1 磋商响应文件将在开标日期后《供应商须知前附表》中规定的时间内有效。投标有效期比规定短的可以视为非响应标予以拒绝。</w:t>
      </w:r>
    </w:p>
    <w:p w14:paraId="1E298E22">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15.2 在特殊情况下，采购人可于投标有效期满之前要求供应商同意延长有效期。要求与答复均应为书面形式往来。供应商可以拒绝上述要求而其磋商保证金不被没收。对于同意该要求的供应商，既不要求也不允许其修改磋商响应文件，但将要求其响应延长磋商保证金的有效期。</w:t>
      </w:r>
    </w:p>
    <w:p w14:paraId="54C93685">
      <w:pPr>
        <w:keepNext w:val="0"/>
        <w:keepLines w:val="0"/>
        <w:pageBreakBefore w:val="0"/>
        <w:widowControl/>
        <w:kinsoku/>
        <w:wordWrap/>
        <w:overflowPunct/>
        <w:topLinePunct w:val="0"/>
        <w:autoSpaceDE/>
        <w:autoSpaceDN/>
        <w:bidi w:val="0"/>
        <w:adjustRightInd/>
        <w:snapToGrid/>
        <w:spacing w:after="0" w:line="360" w:lineRule="auto"/>
        <w:ind w:firstLine="482" w:firstLineChars="200"/>
        <w:textAlignment w:val="auto"/>
        <w:rPr>
          <w:rFonts w:ascii="宋体" w:hAnsi="宋体" w:eastAsia="宋体" w:cs="宋体"/>
          <w:b/>
          <w:color w:val="auto"/>
          <w:sz w:val="24"/>
          <w:szCs w:val="24"/>
          <w:highlight w:val="none"/>
        </w:rPr>
      </w:pPr>
      <w:r>
        <w:rPr>
          <w:rFonts w:ascii="宋体" w:hAnsi="宋体" w:eastAsia="宋体" w:cs="宋体"/>
          <w:b/>
          <w:color w:val="auto"/>
          <w:sz w:val="24"/>
          <w:szCs w:val="24"/>
          <w:highlight w:val="none"/>
        </w:rPr>
        <w:t>16. 磋商</w:t>
      </w:r>
      <w:r>
        <w:rPr>
          <w:rFonts w:hint="eastAsia" w:ascii="宋体" w:hAnsi="宋体" w:eastAsia="宋体" w:cs="宋体"/>
          <w:b/>
          <w:color w:val="auto"/>
          <w:sz w:val="24"/>
          <w:szCs w:val="24"/>
          <w:highlight w:val="none"/>
          <w:lang w:val="en-US" w:eastAsia="zh-CN"/>
        </w:rPr>
        <w:t>响应</w:t>
      </w:r>
      <w:r>
        <w:rPr>
          <w:rFonts w:ascii="宋体" w:hAnsi="宋体" w:eastAsia="宋体" w:cs="宋体"/>
          <w:b/>
          <w:color w:val="auto"/>
          <w:sz w:val="24"/>
          <w:szCs w:val="24"/>
          <w:highlight w:val="none"/>
        </w:rPr>
        <w:t>文件的式样和签署</w:t>
      </w:r>
    </w:p>
    <w:p w14:paraId="24711A61">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16.1 供应商应按《供应商须知前附表》中规定的数量递交磋商响应文件，每一份磋商响应文件必须</w:t>
      </w:r>
      <w:r>
        <w:rPr>
          <w:rFonts w:hint="eastAsia" w:ascii="宋体" w:hAnsi="宋体" w:eastAsia="宋体" w:cs="宋体"/>
          <w:color w:val="auto"/>
          <w:sz w:val="24"/>
          <w:szCs w:val="24"/>
          <w:highlight w:val="none"/>
          <w:lang w:val="en-US" w:eastAsia="zh-CN"/>
        </w:rPr>
        <w:t>胶装</w:t>
      </w:r>
      <w:r>
        <w:rPr>
          <w:rFonts w:ascii="宋体" w:hAnsi="宋体" w:eastAsia="宋体" w:cs="宋体"/>
          <w:color w:val="auto"/>
          <w:sz w:val="24"/>
          <w:szCs w:val="24"/>
          <w:highlight w:val="none"/>
        </w:rPr>
        <w:t>成册。并要明确注明“正本”和“副本”，如正本和副本或电子文档有差异，以正本为准。</w:t>
      </w:r>
    </w:p>
    <w:p w14:paraId="3712F5E3">
      <w:pPr>
        <w:spacing w:after="0" w:line="360" w:lineRule="auto"/>
        <w:ind w:firstLine="480" w:firstLineChars="200"/>
        <w:jc w:val="left"/>
        <w:rPr>
          <w:rFonts w:ascii="宋体" w:hAnsi="宋体" w:eastAsia="宋体" w:cs="宋体"/>
          <w:color w:val="auto"/>
          <w:sz w:val="24"/>
          <w:szCs w:val="24"/>
          <w:highlight w:val="none"/>
        </w:rPr>
      </w:pPr>
      <w:bookmarkStart w:id="10" w:name="_投标文件的递交"/>
      <w:bookmarkEnd w:id="10"/>
      <w:r>
        <w:rPr>
          <w:rFonts w:ascii="宋体" w:hAnsi="宋体" w:eastAsia="宋体" w:cs="宋体"/>
          <w:color w:val="auto"/>
          <w:sz w:val="24"/>
          <w:szCs w:val="24"/>
          <w:highlight w:val="none"/>
        </w:rPr>
        <w:t>16.2响应文件的正本须经法定代表人或授权代表签署</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签字</w:t>
      </w:r>
      <w:r>
        <w:rPr>
          <w:rFonts w:hint="eastAsia" w:ascii="宋体" w:hAnsi="宋体" w:eastAsia="宋体" w:cs="宋体"/>
          <w:color w:val="auto"/>
          <w:sz w:val="24"/>
          <w:szCs w:val="24"/>
          <w:highlight w:val="none"/>
        </w:rPr>
        <w:t>或盖私章</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和加盖投标</w:t>
      </w:r>
      <w:r>
        <w:rPr>
          <w:rFonts w:hint="eastAsia" w:ascii="宋体" w:hAnsi="宋体" w:eastAsia="宋体" w:cs="宋体"/>
          <w:color w:val="auto"/>
          <w:sz w:val="24"/>
          <w:szCs w:val="24"/>
          <w:highlight w:val="none"/>
          <w:lang w:val="en-US" w:eastAsia="zh-CN"/>
        </w:rPr>
        <w:t>供应商</w:t>
      </w:r>
      <w:r>
        <w:rPr>
          <w:rFonts w:ascii="宋体" w:hAnsi="宋体" w:eastAsia="宋体" w:cs="宋体"/>
          <w:color w:val="auto"/>
          <w:sz w:val="24"/>
          <w:szCs w:val="24"/>
          <w:highlight w:val="none"/>
        </w:rPr>
        <w:t>公章。响应文件中的投标函、</w:t>
      </w:r>
      <w:r>
        <w:rPr>
          <w:rFonts w:hint="eastAsia" w:ascii="宋体" w:hAnsi="宋体" w:eastAsia="宋体" w:cs="宋体"/>
          <w:color w:val="auto"/>
          <w:sz w:val="24"/>
          <w:szCs w:val="24"/>
          <w:highlight w:val="none"/>
          <w:lang w:val="en-US" w:eastAsia="zh-CN"/>
        </w:rPr>
        <w:t>报价</w:t>
      </w:r>
      <w:r>
        <w:rPr>
          <w:rFonts w:ascii="宋体" w:hAnsi="宋体" w:eastAsia="宋体" w:cs="宋体"/>
          <w:color w:val="auto"/>
          <w:sz w:val="24"/>
          <w:szCs w:val="24"/>
          <w:highlight w:val="none"/>
        </w:rPr>
        <w:t>一览表须经法定代表人或授权代表签署</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签字</w:t>
      </w:r>
      <w:r>
        <w:rPr>
          <w:rFonts w:hint="eastAsia" w:ascii="宋体" w:hAnsi="宋体" w:eastAsia="宋体" w:cs="宋体"/>
          <w:color w:val="auto"/>
          <w:sz w:val="24"/>
          <w:szCs w:val="24"/>
          <w:highlight w:val="none"/>
        </w:rPr>
        <w:t>或盖私章</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并加盖投标</w:t>
      </w:r>
      <w:r>
        <w:rPr>
          <w:rFonts w:hint="eastAsia" w:ascii="宋体" w:hAnsi="宋体" w:eastAsia="宋体" w:cs="宋体"/>
          <w:color w:val="auto"/>
          <w:sz w:val="24"/>
          <w:szCs w:val="24"/>
          <w:highlight w:val="none"/>
          <w:lang w:val="en-US" w:eastAsia="zh-CN"/>
        </w:rPr>
        <w:t>供应商</w:t>
      </w:r>
      <w:r>
        <w:rPr>
          <w:rFonts w:ascii="宋体" w:hAnsi="宋体" w:eastAsia="宋体" w:cs="宋体"/>
          <w:color w:val="auto"/>
          <w:sz w:val="24"/>
          <w:szCs w:val="24"/>
          <w:highlight w:val="none"/>
        </w:rPr>
        <w:t>公章，否则作无效投标处理。</w:t>
      </w:r>
    </w:p>
    <w:p w14:paraId="74815A85">
      <w:pPr>
        <w:spacing w:after="0"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16.3</w:t>
      </w:r>
      <w:r>
        <w:rPr>
          <w:rFonts w:ascii="宋体" w:hAnsi="宋体" w:eastAsia="宋体" w:cs="宋体"/>
          <w:color w:val="auto"/>
          <w:sz w:val="24"/>
          <w:szCs w:val="24"/>
          <w:highlight w:val="none"/>
        </w:rPr>
        <w:t>磋商响应文件正本和副本须打印或用不褪色墨水书写并由法定代表人或授权委托人签署</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签字</w:t>
      </w:r>
      <w:r>
        <w:rPr>
          <w:rFonts w:hint="eastAsia" w:ascii="宋体" w:hAnsi="宋体" w:eastAsia="宋体" w:cs="宋体"/>
          <w:color w:val="auto"/>
          <w:sz w:val="24"/>
          <w:szCs w:val="24"/>
          <w:highlight w:val="none"/>
        </w:rPr>
        <w:t>或盖私章</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，后者须将“授权委托书”以书面形式附在磋商响应文件中。响应文件的正本须经法定代表人或授权代表人签署</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签字</w:t>
      </w:r>
      <w:r>
        <w:rPr>
          <w:rFonts w:hint="eastAsia" w:ascii="宋体" w:hAnsi="宋体" w:eastAsia="宋体" w:cs="宋体"/>
          <w:color w:val="auto"/>
          <w:sz w:val="24"/>
          <w:szCs w:val="24"/>
          <w:highlight w:val="none"/>
        </w:rPr>
        <w:t>或盖私章</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和加盖供应商公章，并须加盖骑缝章。</w:t>
      </w:r>
      <w:r>
        <w:rPr>
          <w:rFonts w:ascii="宋体" w:hAnsi="宋体" w:eastAsia="宋体" w:cs="宋体"/>
          <w:b/>
          <w:bCs/>
          <w:color w:val="auto"/>
          <w:sz w:val="24"/>
          <w:szCs w:val="24"/>
          <w:highlight w:val="none"/>
        </w:rPr>
        <w:t>磋商响应文件副本可以是正本的复印件</w:t>
      </w:r>
      <w:r>
        <w:rPr>
          <w:rFonts w:ascii="宋体" w:hAnsi="宋体" w:eastAsia="宋体" w:cs="宋体"/>
          <w:color w:val="auto"/>
          <w:sz w:val="24"/>
          <w:szCs w:val="24"/>
          <w:highlight w:val="none"/>
        </w:rPr>
        <w:t>。</w:t>
      </w:r>
    </w:p>
    <w:p w14:paraId="37FF5B8B">
      <w:pPr>
        <w:pageBreakBefore w:val="0"/>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16.</w:t>
      </w: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除供应商对错处</w:t>
      </w:r>
      <w:r>
        <w:rPr>
          <w:rFonts w:hint="eastAsia" w:ascii="宋体" w:hAnsi="宋体" w:eastAsia="宋体" w:cs="宋体"/>
          <w:color w:val="auto"/>
          <w:sz w:val="24"/>
          <w:szCs w:val="24"/>
          <w:highlight w:val="none"/>
          <w:lang w:eastAsia="zh-CN"/>
        </w:rPr>
        <w:t>做必要</w:t>
      </w:r>
      <w:r>
        <w:rPr>
          <w:rFonts w:ascii="宋体" w:hAnsi="宋体" w:eastAsia="宋体" w:cs="宋体"/>
          <w:color w:val="auto"/>
          <w:sz w:val="24"/>
          <w:szCs w:val="24"/>
          <w:highlight w:val="none"/>
        </w:rPr>
        <w:t>修改外，磋商响应文件中不许有加行、涂抹或改写。若有修改须由</w:t>
      </w:r>
      <w:r>
        <w:rPr>
          <w:rFonts w:hint="eastAsia" w:ascii="宋体" w:hAnsi="宋体" w:eastAsia="宋体" w:cs="宋体"/>
          <w:color w:val="auto"/>
          <w:sz w:val="24"/>
          <w:szCs w:val="24"/>
          <w:highlight w:val="none"/>
          <w:lang w:val="en-US" w:eastAsia="zh-CN"/>
        </w:rPr>
        <w:t>被授权</w:t>
      </w:r>
      <w:r>
        <w:rPr>
          <w:rFonts w:ascii="宋体" w:hAnsi="宋体" w:eastAsia="宋体" w:cs="宋体"/>
          <w:color w:val="auto"/>
          <w:sz w:val="24"/>
          <w:szCs w:val="24"/>
          <w:highlight w:val="none"/>
        </w:rPr>
        <w:t>签署磋商响应文件的人进行签字，并加盖公章，否则视为无效响应。</w:t>
      </w:r>
    </w:p>
    <w:p w14:paraId="54CBCAAD">
      <w:pPr>
        <w:pageBreakBefore w:val="0"/>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16.</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rPr>
        <w:t>传真投标、邮寄投标概不接受。</w:t>
      </w:r>
    </w:p>
    <w:p w14:paraId="5DA9B82C">
      <w:pPr>
        <w:pStyle w:val="3"/>
        <w:pageBreakBefore w:val="0"/>
        <w:kinsoku/>
        <w:wordWrap/>
        <w:overflowPunct/>
        <w:topLinePunct w:val="0"/>
        <w:autoSpaceDE/>
        <w:autoSpaceDN/>
        <w:bidi w:val="0"/>
        <w:adjustRightInd/>
        <w:snapToGrid/>
        <w:spacing w:before="0" w:after="0" w:line="360" w:lineRule="auto"/>
        <w:jc w:val="center"/>
        <w:textAlignment w:val="auto"/>
        <w:rPr>
          <w:rFonts w:ascii="宋体" w:hAnsi="宋体" w:cs="宋体"/>
          <w:b/>
          <w:color w:val="auto"/>
          <w:kern w:val="0"/>
          <w:highlight w:val="none"/>
        </w:rPr>
      </w:pPr>
      <w:r>
        <w:rPr>
          <w:rFonts w:ascii="宋体" w:hAnsi="宋体" w:cs="宋体"/>
          <w:b/>
          <w:color w:val="auto"/>
          <w:kern w:val="0"/>
          <w:highlight w:val="none"/>
        </w:rPr>
        <w:t>四、磋商响应文件的递交</w:t>
      </w:r>
    </w:p>
    <w:p w14:paraId="239A0C50">
      <w:pPr>
        <w:keepNext w:val="0"/>
        <w:keepLines w:val="0"/>
        <w:pageBreakBefore w:val="0"/>
        <w:widowControl/>
        <w:kinsoku/>
        <w:wordWrap/>
        <w:overflowPunct/>
        <w:topLinePunct w:val="0"/>
        <w:autoSpaceDE/>
        <w:autoSpaceDN/>
        <w:bidi w:val="0"/>
        <w:adjustRightInd/>
        <w:snapToGrid/>
        <w:spacing w:after="0" w:line="360" w:lineRule="auto"/>
        <w:ind w:firstLine="482" w:firstLineChars="200"/>
        <w:textAlignment w:val="auto"/>
        <w:rPr>
          <w:rFonts w:ascii="宋体" w:hAnsi="宋体" w:eastAsia="宋体" w:cs="宋体"/>
          <w:b/>
          <w:color w:val="auto"/>
          <w:sz w:val="24"/>
          <w:szCs w:val="24"/>
          <w:highlight w:val="none"/>
        </w:rPr>
      </w:pPr>
      <w:r>
        <w:rPr>
          <w:rFonts w:ascii="宋体" w:hAnsi="宋体" w:eastAsia="宋体" w:cs="宋体"/>
          <w:b/>
          <w:color w:val="auto"/>
          <w:sz w:val="24"/>
          <w:szCs w:val="24"/>
          <w:highlight w:val="none"/>
        </w:rPr>
        <w:t>17. 磋商响应文件的密封和标记</w:t>
      </w:r>
    </w:p>
    <w:p w14:paraId="66AC56F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17.1供应商应将磋商响应文件正本和副本分别密封在两个投标专用袋（箱）中，并在</w:t>
      </w:r>
      <w:r>
        <w:rPr>
          <w:rFonts w:hint="eastAsia" w:ascii="宋体" w:hAnsi="宋体" w:eastAsia="宋体" w:cs="宋体"/>
          <w:color w:val="auto"/>
          <w:sz w:val="24"/>
          <w:szCs w:val="24"/>
          <w:highlight w:val="none"/>
          <w:lang w:eastAsia="zh-CN"/>
        </w:rPr>
        <w:t>投标专用袋（箱）</w:t>
      </w:r>
      <w:r>
        <w:rPr>
          <w:rFonts w:ascii="宋体" w:hAnsi="宋体" w:eastAsia="宋体" w:cs="宋体"/>
          <w:color w:val="auto"/>
          <w:sz w:val="24"/>
          <w:szCs w:val="24"/>
          <w:highlight w:val="none"/>
        </w:rPr>
        <w:t>上标明“正本”“副本”字样。</w:t>
      </w:r>
      <w:r>
        <w:rPr>
          <w:rFonts w:hint="eastAsia" w:ascii="宋体" w:hAnsi="宋体" w:eastAsia="宋体" w:cs="宋体"/>
          <w:color w:val="auto"/>
          <w:sz w:val="24"/>
          <w:szCs w:val="24"/>
          <w:highlight w:val="none"/>
          <w:lang w:val="en-US" w:eastAsia="zh-CN"/>
        </w:rPr>
        <w:t>投标响应文件</w:t>
      </w:r>
      <w:r>
        <w:rPr>
          <w:rFonts w:hint="eastAsia" w:ascii="宋体" w:hAnsi="宋体" w:eastAsia="宋体" w:cs="宋体"/>
          <w:color w:val="auto"/>
          <w:sz w:val="24"/>
          <w:szCs w:val="24"/>
          <w:highlight w:val="none"/>
        </w:rPr>
        <w:t>电子版</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U盘或光盘，</w:t>
      </w:r>
      <w:r>
        <w:rPr>
          <w:rFonts w:hint="eastAsia" w:ascii="宋体" w:hAnsi="宋体" w:eastAsia="宋体" w:cs="宋体"/>
          <w:color w:val="auto"/>
          <w:sz w:val="24"/>
          <w:szCs w:val="24"/>
          <w:highlight w:val="none"/>
        </w:rPr>
        <w:t>PDF</w:t>
      </w:r>
      <w:r>
        <w:rPr>
          <w:rFonts w:hint="eastAsia" w:ascii="宋体" w:hAnsi="宋体" w:eastAsia="宋体" w:cs="宋体"/>
          <w:color w:val="auto"/>
          <w:sz w:val="24"/>
          <w:szCs w:val="24"/>
          <w:highlight w:val="none"/>
          <w:lang w:eastAsia="zh-CN"/>
        </w:rPr>
        <w:t>格式</w:t>
      </w:r>
      <w:r>
        <w:rPr>
          <w:rFonts w:hint="eastAsia" w:ascii="宋体" w:hAnsi="宋体" w:eastAsia="宋体" w:cs="宋体"/>
          <w:color w:val="auto"/>
          <w:sz w:val="24"/>
          <w:szCs w:val="24"/>
          <w:highlight w:val="none"/>
          <w:lang w:val="zh-TW" w:eastAsia="zh-CN"/>
        </w:rPr>
        <w:t>）</w:t>
      </w:r>
      <w:r>
        <w:rPr>
          <w:rFonts w:ascii="宋体" w:hAnsi="宋体" w:eastAsia="宋体" w:cs="宋体"/>
          <w:color w:val="auto"/>
          <w:sz w:val="24"/>
          <w:szCs w:val="24"/>
          <w:highlight w:val="none"/>
        </w:rPr>
        <w:t>密封于“正本”</w:t>
      </w:r>
      <w:r>
        <w:rPr>
          <w:rFonts w:hint="eastAsia" w:ascii="宋体" w:hAnsi="宋体" w:eastAsia="宋体" w:cs="宋体"/>
          <w:color w:val="auto"/>
          <w:sz w:val="24"/>
          <w:szCs w:val="24"/>
          <w:highlight w:val="none"/>
        </w:rPr>
        <w:t>投标专用袋（箱）</w:t>
      </w:r>
      <w:r>
        <w:rPr>
          <w:rFonts w:ascii="宋体" w:hAnsi="宋体" w:eastAsia="宋体" w:cs="宋体"/>
          <w:color w:val="auto"/>
          <w:sz w:val="24"/>
          <w:szCs w:val="24"/>
          <w:highlight w:val="none"/>
        </w:rPr>
        <w:t>内。</w:t>
      </w:r>
    </w:p>
    <w:p w14:paraId="7C6769A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供应商务必在开标时提交电子版</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U盘或光盘，</w:t>
      </w:r>
      <w:r>
        <w:rPr>
          <w:rFonts w:hint="eastAsia" w:ascii="宋体" w:hAnsi="宋体" w:eastAsia="宋体" w:cs="宋体"/>
          <w:color w:val="auto"/>
          <w:sz w:val="24"/>
          <w:szCs w:val="24"/>
          <w:highlight w:val="none"/>
        </w:rPr>
        <w:t>PDF</w:t>
      </w:r>
      <w:r>
        <w:rPr>
          <w:rFonts w:hint="eastAsia" w:ascii="宋体" w:hAnsi="宋体" w:eastAsia="宋体" w:cs="宋体"/>
          <w:color w:val="auto"/>
          <w:sz w:val="24"/>
          <w:szCs w:val="24"/>
          <w:highlight w:val="none"/>
          <w:lang w:eastAsia="zh-CN"/>
        </w:rPr>
        <w:t>格式</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rPr>
        <w:t>和纸质版响应文件，</w:t>
      </w:r>
      <w:r>
        <w:rPr>
          <w:rFonts w:hint="eastAsia" w:ascii="宋体" w:hAnsi="宋体" w:eastAsia="宋体" w:cs="宋体"/>
          <w:color w:val="auto"/>
          <w:sz w:val="24"/>
          <w:szCs w:val="24"/>
          <w:highlight w:val="none"/>
          <w:lang w:val="en-US" w:eastAsia="zh-CN"/>
        </w:rPr>
        <w:t>投标响应文件</w:t>
      </w:r>
      <w:r>
        <w:rPr>
          <w:rFonts w:hint="eastAsia" w:ascii="宋体" w:hAnsi="宋体" w:eastAsia="宋体" w:cs="宋体"/>
          <w:color w:val="auto"/>
          <w:sz w:val="24"/>
          <w:szCs w:val="24"/>
          <w:highlight w:val="none"/>
        </w:rPr>
        <w:t>电子版（</w:t>
      </w:r>
      <w:r>
        <w:rPr>
          <w:rFonts w:hint="eastAsia" w:ascii="宋体" w:hAnsi="宋体" w:eastAsia="宋体" w:cs="宋体"/>
          <w:color w:val="auto"/>
          <w:sz w:val="24"/>
          <w:szCs w:val="24"/>
          <w:highlight w:val="none"/>
          <w:lang w:val="en-US" w:eastAsia="zh-CN"/>
        </w:rPr>
        <w:t>U盘或光盘，</w:t>
      </w:r>
      <w:r>
        <w:rPr>
          <w:rFonts w:hint="eastAsia" w:ascii="宋体" w:hAnsi="宋体" w:eastAsia="宋体" w:cs="宋体"/>
          <w:color w:val="auto"/>
          <w:sz w:val="24"/>
          <w:szCs w:val="24"/>
          <w:highlight w:val="none"/>
        </w:rPr>
        <w:t>PDF</w:t>
      </w:r>
      <w:r>
        <w:rPr>
          <w:rFonts w:hint="eastAsia" w:ascii="宋体" w:hAnsi="宋体" w:eastAsia="宋体" w:cs="宋体"/>
          <w:color w:val="auto"/>
          <w:sz w:val="24"/>
          <w:szCs w:val="24"/>
          <w:highlight w:val="none"/>
          <w:lang w:eastAsia="zh-CN"/>
        </w:rPr>
        <w:t>格式</w:t>
      </w:r>
      <w:r>
        <w:rPr>
          <w:rFonts w:hint="eastAsia" w:ascii="宋体" w:hAnsi="宋体" w:eastAsia="宋体" w:cs="宋体"/>
          <w:color w:val="auto"/>
          <w:sz w:val="24"/>
          <w:szCs w:val="24"/>
          <w:highlight w:val="none"/>
        </w:rPr>
        <w:t>）的递交：电子版响应文件（</w:t>
      </w:r>
      <w:r>
        <w:rPr>
          <w:rFonts w:hint="eastAsia" w:ascii="宋体" w:hAnsi="宋体" w:eastAsia="宋体" w:cs="宋体"/>
          <w:color w:val="auto"/>
          <w:sz w:val="24"/>
          <w:szCs w:val="24"/>
          <w:highlight w:val="none"/>
          <w:lang w:val="en-US" w:eastAsia="zh-CN"/>
        </w:rPr>
        <w:t>U盘或光盘，</w:t>
      </w:r>
      <w:r>
        <w:rPr>
          <w:rFonts w:hint="eastAsia" w:ascii="宋体" w:hAnsi="宋体" w:eastAsia="宋体" w:cs="宋体"/>
          <w:color w:val="auto"/>
          <w:sz w:val="24"/>
          <w:szCs w:val="24"/>
          <w:highlight w:val="none"/>
        </w:rPr>
        <w:t>PDF</w:t>
      </w:r>
      <w:r>
        <w:rPr>
          <w:rFonts w:hint="eastAsia" w:ascii="宋体" w:hAnsi="宋体" w:eastAsia="宋体" w:cs="宋体"/>
          <w:color w:val="auto"/>
          <w:sz w:val="24"/>
          <w:szCs w:val="24"/>
          <w:highlight w:val="none"/>
          <w:lang w:eastAsia="zh-CN"/>
        </w:rPr>
        <w:t>格式</w:t>
      </w:r>
      <w:r>
        <w:rPr>
          <w:rFonts w:hint="eastAsia" w:ascii="宋体" w:hAnsi="宋体" w:eastAsia="宋体" w:cs="宋体"/>
          <w:color w:val="auto"/>
          <w:sz w:val="24"/>
          <w:szCs w:val="24"/>
          <w:highlight w:val="none"/>
        </w:rPr>
        <w:t>）密封</w:t>
      </w:r>
      <w:r>
        <w:rPr>
          <w:rFonts w:ascii="宋体" w:hAnsi="宋体" w:eastAsia="宋体" w:cs="宋体"/>
          <w:color w:val="auto"/>
          <w:sz w:val="24"/>
          <w:szCs w:val="24"/>
          <w:highlight w:val="none"/>
        </w:rPr>
        <w:t>于“正本”</w:t>
      </w:r>
      <w:r>
        <w:rPr>
          <w:rFonts w:hint="eastAsia" w:ascii="宋体" w:hAnsi="宋体" w:eastAsia="宋体" w:cs="宋体"/>
          <w:color w:val="auto"/>
          <w:sz w:val="24"/>
          <w:szCs w:val="24"/>
          <w:highlight w:val="none"/>
        </w:rPr>
        <w:t>投标专用袋（箱）</w:t>
      </w:r>
      <w:r>
        <w:rPr>
          <w:rFonts w:ascii="宋体" w:hAnsi="宋体" w:eastAsia="宋体" w:cs="宋体"/>
          <w:color w:val="auto"/>
          <w:sz w:val="24"/>
          <w:szCs w:val="24"/>
          <w:highlight w:val="none"/>
        </w:rPr>
        <w:t>内</w:t>
      </w:r>
      <w:r>
        <w:rPr>
          <w:rFonts w:hint="eastAsia" w:ascii="宋体" w:hAnsi="宋体" w:eastAsia="宋体" w:cs="宋体"/>
          <w:color w:val="auto"/>
          <w:sz w:val="24"/>
          <w:szCs w:val="24"/>
          <w:highlight w:val="none"/>
        </w:rPr>
        <w:t>，随纸质版响应文件一起递交，</w:t>
      </w:r>
      <w:r>
        <w:rPr>
          <w:rFonts w:hint="eastAsia" w:ascii="宋体" w:hAnsi="宋体" w:eastAsia="宋体" w:cs="宋体"/>
          <w:b/>
          <w:bCs/>
          <w:color w:val="auto"/>
          <w:sz w:val="24"/>
          <w:szCs w:val="24"/>
          <w:highlight w:val="none"/>
        </w:rPr>
        <w:t>否则视为无效响应</w:t>
      </w:r>
      <w:r>
        <w:rPr>
          <w:rFonts w:hint="eastAsia" w:ascii="宋体" w:hAnsi="宋体" w:eastAsia="宋体" w:cs="宋体"/>
          <w:color w:val="auto"/>
          <w:sz w:val="24"/>
          <w:szCs w:val="24"/>
          <w:highlight w:val="none"/>
        </w:rPr>
        <w:t>；供应商提供的</w:t>
      </w:r>
      <w:r>
        <w:rPr>
          <w:rFonts w:hint="eastAsia" w:ascii="宋体" w:hAnsi="宋体" w:eastAsia="宋体" w:cs="宋体"/>
          <w:color w:val="auto"/>
          <w:sz w:val="24"/>
          <w:szCs w:val="24"/>
          <w:highlight w:val="none"/>
          <w:lang w:val="en-US" w:eastAsia="zh-CN"/>
        </w:rPr>
        <w:t>投标响应文件</w:t>
      </w:r>
      <w:r>
        <w:rPr>
          <w:rFonts w:hint="eastAsia" w:ascii="宋体" w:hAnsi="宋体" w:eastAsia="宋体" w:cs="宋体"/>
          <w:color w:val="auto"/>
          <w:sz w:val="24"/>
          <w:szCs w:val="24"/>
          <w:highlight w:val="none"/>
        </w:rPr>
        <w:t>电子版（</w:t>
      </w:r>
      <w:r>
        <w:rPr>
          <w:rFonts w:hint="eastAsia" w:ascii="宋体" w:hAnsi="宋体" w:eastAsia="宋体" w:cs="宋体"/>
          <w:color w:val="auto"/>
          <w:sz w:val="24"/>
          <w:szCs w:val="24"/>
          <w:highlight w:val="none"/>
          <w:lang w:val="en-US" w:eastAsia="zh-CN"/>
        </w:rPr>
        <w:t>U盘或光盘，</w:t>
      </w:r>
      <w:r>
        <w:rPr>
          <w:rFonts w:hint="eastAsia" w:ascii="宋体" w:hAnsi="宋体" w:eastAsia="宋体" w:cs="宋体"/>
          <w:color w:val="auto"/>
          <w:sz w:val="24"/>
          <w:szCs w:val="24"/>
          <w:highlight w:val="none"/>
        </w:rPr>
        <w:t>PDF</w:t>
      </w:r>
      <w:r>
        <w:rPr>
          <w:rFonts w:hint="eastAsia" w:ascii="宋体" w:hAnsi="宋体" w:eastAsia="宋体" w:cs="宋体"/>
          <w:color w:val="auto"/>
          <w:sz w:val="24"/>
          <w:szCs w:val="24"/>
          <w:highlight w:val="none"/>
          <w:lang w:eastAsia="zh-CN"/>
        </w:rPr>
        <w:t>格式</w:t>
      </w:r>
      <w:r>
        <w:rPr>
          <w:rFonts w:hint="eastAsia" w:ascii="宋体" w:hAnsi="宋体" w:eastAsia="宋体" w:cs="宋体"/>
          <w:color w:val="auto"/>
          <w:sz w:val="24"/>
          <w:szCs w:val="24"/>
          <w:highlight w:val="none"/>
        </w:rPr>
        <w:t>）必须与纸质版响应文件的正本保持一致。</w:t>
      </w:r>
      <w:r>
        <w:rPr>
          <w:rFonts w:hint="eastAsia" w:ascii="宋体" w:hAnsi="宋体" w:eastAsia="宋体" w:cs="宋体"/>
          <w:b/>
          <w:bCs/>
          <w:color w:val="auto"/>
          <w:sz w:val="24"/>
          <w:szCs w:val="24"/>
          <w:highlight w:val="none"/>
        </w:rPr>
        <w:t>注：电子版PDF格式需为纸质响应文件正本签字加盖公章的扫描件</w:t>
      </w:r>
      <w:r>
        <w:rPr>
          <w:rFonts w:ascii="宋体" w:hAnsi="宋体" w:eastAsia="宋体" w:cs="宋体"/>
          <w:b/>
          <w:bCs/>
          <w:color w:val="auto"/>
          <w:sz w:val="24"/>
          <w:szCs w:val="24"/>
          <w:highlight w:val="none"/>
        </w:rPr>
        <w:t>。</w:t>
      </w:r>
    </w:p>
    <w:p w14:paraId="7817AD82">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17.2投标专用袋（箱）上须按</w:t>
      </w:r>
      <w:r>
        <w:rPr>
          <w:rFonts w:hint="eastAsia" w:ascii="宋体" w:hAnsi="宋体" w:eastAsia="宋体" w:cs="宋体"/>
          <w:color w:val="auto"/>
          <w:sz w:val="24"/>
          <w:szCs w:val="24"/>
          <w:highlight w:val="none"/>
          <w:lang w:eastAsia="zh-CN"/>
        </w:rPr>
        <w:t>采购代理</w:t>
      </w:r>
      <w:r>
        <w:rPr>
          <w:rFonts w:ascii="宋体" w:hAnsi="宋体" w:eastAsia="宋体" w:cs="宋体"/>
          <w:color w:val="auto"/>
          <w:sz w:val="24"/>
          <w:szCs w:val="24"/>
          <w:highlight w:val="none"/>
        </w:rPr>
        <w:t>机构提供的格式注明：</w:t>
      </w:r>
    </w:p>
    <w:p w14:paraId="09DA9ABF">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（1）按《供应商须知前附表》所示注明开标地点。</w:t>
      </w:r>
    </w:p>
    <w:p w14:paraId="675816AD">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（2）注明项目名称、项目编号、</w:t>
      </w:r>
      <w:r>
        <w:rPr>
          <w:rFonts w:hint="eastAsia" w:ascii="宋体" w:hAnsi="宋体" w:eastAsia="宋体" w:cs="宋体"/>
          <w:color w:val="auto"/>
          <w:sz w:val="24"/>
          <w:szCs w:val="24"/>
          <w:highlight w:val="none"/>
        </w:rPr>
        <w:t>正本</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副本</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标段</w:t>
      </w:r>
      <w:r>
        <w:rPr>
          <w:rFonts w:ascii="宋体" w:hAnsi="宋体" w:eastAsia="宋体" w:cs="宋体"/>
          <w:color w:val="auto"/>
          <w:sz w:val="24"/>
          <w:szCs w:val="24"/>
          <w:highlight w:val="none"/>
        </w:rPr>
        <w:t>，并注明响应文件递交截止时间前“不准启封”的字样。</w:t>
      </w:r>
    </w:p>
    <w:p w14:paraId="1D669AFC">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（3）写明供应商名称、地址、联系人和联系方式。</w:t>
      </w:r>
    </w:p>
    <w:p w14:paraId="44B73407">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3</w:t>
      </w:r>
      <w:r>
        <w:rPr>
          <w:rFonts w:ascii="宋体" w:hAnsi="宋体" w:eastAsia="宋体" w:cs="宋体"/>
          <w:color w:val="auto"/>
          <w:sz w:val="24"/>
          <w:szCs w:val="24"/>
          <w:highlight w:val="none"/>
        </w:rPr>
        <w:t>如果未按第17.1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17.2</w:t>
      </w:r>
      <w:r>
        <w:rPr>
          <w:rFonts w:ascii="宋体" w:hAnsi="宋体" w:eastAsia="宋体" w:cs="宋体"/>
          <w:color w:val="auto"/>
          <w:sz w:val="24"/>
          <w:szCs w:val="24"/>
          <w:highlight w:val="none"/>
        </w:rPr>
        <w:t>款规定密封和标记，采购人对磋商响应文件的误投或提前拆封不负责任。对由此造成提前开封的磋商响应文件，采购人将</w:t>
      </w:r>
      <w:r>
        <w:rPr>
          <w:rFonts w:hint="eastAsia" w:ascii="宋体" w:hAnsi="宋体" w:eastAsia="宋体" w:cs="宋体"/>
          <w:color w:val="auto"/>
          <w:sz w:val="24"/>
          <w:szCs w:val="24"/>
          <w:highlight w:val="none"/>
          <w:lang w:val="en-US" w:eastAsia="zh-CN"/>
        </w:rPr>
        <w:t>视为无效响应文件</w:t>
      </w:r>
      <w:r>
        <w:rPr>
          <w:rFonts w:ascii="宋体" w:hAnsi="宋体" w:eastAsia="宋体" w:cs="宋体"/>
          <w:color w:val="auto"/>
          <w:sz w:val="24"/>
          <w:szCs w:val="24"/>
          <w:highlight w:val="none"/>
        </w:rPr>
        <w:t>予以拒绝，并退回供应商。</w:t>
      </w:r>
    </w:p>
    <w:p w14:paraId="7EEF208D">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18.递交磋商响应文件的截止日期</w:t>
      </w:r>
    </w:p>
    <w:p w14:paraId="44CC1F49">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18.1采购代理机构收到磋商响应文件的时间不得迟于《供应商须知前附表》中规定的截止时间。</w:t>
      </w:r>
    </w:p>
    <w:p w14:paraId="51A6464F">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18.2 </w:t>
      </w:r>
      <w:r>
        <w:rPr>
          <w:rFonts w:ascii="宋体" w:hAnsi="宋体" w:eastAsia="宋体" w:cs="宋体"/>
          <w:color w:val="auto"/>
          <w:sz w:val="24"/>
          <w:highlight w:val="none"/>
        </w:rPr>
        <w:t>采购代理机构可按照第6款的规定修改磋商文件并酌情延长提交磋商响应文件的截止时间，</w:t>
      </w:r>
      <w:r>
        <w:rPr>
          <w:rFonts w:ascii="宋体" w:hAnsi="宋体" w:eastAsia="宋体" w:cs="宋体"/>
          <w:color w:val="auto"/>
          <w:sz w:val="24"/>
          <w:szCs w:val="24"/>
          <w:highlight w:val="none"/>
        </w:rPr>
        <w:t>在此情况下，采购代理机构、采购人和投标供应商的一切权利和义务将按延期后的磋商响应文件递交截止时间履行。</w:t>
      </w:r>
    </w:p>
    <w:p w14:paraId="6A1DD123">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19.迟交的磋商响应文件</w:t>
      </w:r>
    </w:p>
    <w:p w14:paraId="635BB813">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根据第18.1款规定，在《供应商须知前附表》中规定的投标截止时间后递交的磋商响应文件，</w:t>
      </w:r>
      <w:r>
        <w:rPr>
          <w:rFonts w:hint="eastAsia" w:ascii="宋体" w:hAnsi="宋体" w:eastAsia="宋体" w:cs="宋体"/>
          <w:color w:val="auto"/>
          <w:sz w:val="24"/>
          <w:szCs w:val="24"/>
          <w:highlight w:val="none"/>
          <w:lang w:val="en-US" w:eastAsia="zh-CN"/>
        </w:rPr>
        <w:t>采购人、</w:t>
      </w:r>
      <w:r>
        <w:rPr>
          <w:rFonts w:ascii="宋体" w:hAnsi="宋体" w:eastAsia="宋体" w:cs="宋体"/>
          <w:color w:val="auto"/>
          <w:sz w:val="24"/>
          <w:szCs w:val="24"/>
          <w:highlight w:val="none"/>
        </w:rPr>
        <w:t>采购代理机构将拒绝接收。</w:t>
      </w:r>
    </w:p>
    <w:p w14:paraId="53FD62AF">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20.磋商响应文件的修改和撤回</w:t>
      </w:r>
    </w:p>
    <w:p w14:paraId="7807D5C6">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20.1 供应商在提交磋商响应文件后可对其磋商响应文件进行修改或撤回，但采购代理机构须在提交响应文件截止之日前收到该修改或撤回的书面通知。</w:t>
      </w:r>
    </w:p>
    <w:p w14:paraId="75A33A17">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20.2 供应商对磋商响应文件的修改或撤回的通知应按</w:t>
      </w:r>
      <w:r>
        <w:rPr>
          <w:rFonts w:ascii="宋体" w:hAnsi="宋体" w:eastAsia="宋体" w:cs="宋体"/>
          <w:color w:val="auto"/>
          <w:highlight w:val="none"/>
        </w:rPr>
        <w:fldChar w:fldCharType="begin"/>
      </w:r>
      <w:r>
        <w:rPr>
          <w:rFonts w:ascii="宋体" w:hAnsi="宋体" w:eastAsia="宋体" w:cs="宋体"/>
          <w:color w:val="auto"/>
          <w:highlight w:val="none"/>
        </w:rPr>
        <w:instrText xml:space="preserve"> HYPERLINK \l "bookmark6" </w:instrText>
      </w:r>
      <w:r>
        <w:rPr>
          <w:rFonts w:ascii="宋体" w:hAnsi="宋体" w:eastAsia="宋体" w:cs="宋体"/>
          <w:color w:val="auto"/>
          <w:highlight w:val="none"/>
        </w:rPr>
        <w:fldChar w:fldCharType="separate"/>
      </w:r>
      <w:r>
        <w:rPr>
          <w:rFonts w:ascii="宋体" w:hAnsi="宋体" w:eastAsia="宋体" w:cs="宋体"/>
          <w:color w:val="auto"/>
          <w:sz w:val="24"/>
          <w:szCs w:val="24"/>
          <w:highlight w:val="none"/>
          <w:u w:val="single"/>
        </w:rPr>
        <w:t>第16款</w:t>
      </w:r>
      <w:r>
        <w:rPr>
          <w:rFonts w:ascii="宋体" w:hAnsi="宋体" w:eastAsia="宋体" w:cs="宋体"/>
          <w:color w:val="auto"/>
          <w:sz w:val="24"/>
          <w:szCs w:val="24"/>
          <w:highlight w:val="none"/>
          <w:u w:val="single"/>
        </w:rPr>
        <w:fldChar w:fldCharType="end"/>
      </w:r>
      <w:r>
        <w:rPr>
          <w:rFonts w:ascii="宋体" w:hAnsi="宋体" w:eastAsia="宋体" w:cs="宋体"/>
          <w:color w:val="auto"/>
          <w:sz w:val="24"/>
          <w:szCs w:val="24"/>
          <w:highlight w:val="none"/>
        </w:rPr>
        <w:t>和</w:t>
      </w:r>
      <w:r>
        <w:rPr>
          <w:rFonts w:ascii="宋体" w:hAnsi="宋体" w:eastAsia="宋体" w:cs="宋体"/>
          <w:color w:val="auto"/>
          <w:highlight w:val="none"/>
        </w:rPr>
        <w:fldChar w:fldCharType="begin"/>
      </w:r>
      <w:r>
        <w:rPr>
          <w:rFonts w:ascii="宋体" w:hAnsi="宋体" w:eastAsia="宋体" w:cs="宋体"/>
          <w:color w:val="auto"/>
          <w:highlight w:val="none"/>
        </w:rPr>
        <w:instrText xml:space="preserve"> HYPERLINK \l "bookmark7" </w:instrText>
      </w:r>
      <w:r>
        <w:rPr>
          <w:rFonts w:ascii="宋体" w:hAnsi="宋体" w:eastAsia="宋体" w:cs="宋体"/>
          <w:color w:val="auto"/>
          <w:highlight w:val="none"/>
        </w:rPr>
        <w:fldChar w:fldCharType="separate"/>
      </w:r>
      <w:r>
        <w:rPr>
          <w:rFonts w:ascii="宋体" w:hAnsi="宋体" w:eastAsia="宋体" w:cs="宋体"/>
          <w:color w:val="auto"/>
          <w:sz w:val="24"/>
          <w:szCs w:val="24"/>
          <w:highlight w:val="none"/>
          <w:u w:val="single"/>
        </w:rPr>
        <w:t>第17款</w:t>
      </w:r>
      <w:r>
        <w:rPr>
          <w:rFonts w:ascii="宋体" w:hAnsi="宋体" w:eastAsia="宋体" w:cs="宋体"/>
          <w:color w:val="auto"/>
          <w:sz w:val="24"/>
          <w:szCs w:val="24"/>
          <w:highlight w:val="none"/>
          <w:u w:val="single"/>
        </w:rPr>
        <w:fldChar w:fldCharType="end"/>
      </w:r>
      <w:r>
        <w:rPr>
          <w:rFonts w:ascii="宋体" w:hAnsi="宋体" w:eastAsia="宋体" w:cs="宋体"/>
          <w:color w:val="auto"/>
          <w:sz w:val="24"/>
          <w:szCs w:val="24"/>
          <w:highlight w:val="none"/>
        </w:rPr>
        <w:t>规定进行准备、密封、标注和递送。</w:t>
      </w:r>
    </w:p>
    <w:p w14:paraId="3C42F662">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20.3 磋商响应文件递交截止时间后不得修改磋商响应文件。</w:t>
      </w:r>
    </w:p>
    <w:p w14:paraId="758FA733">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20.4 供应商不得在磋商响应文件递交截止日起至</w:t>
      </w:r>
      <w:r>
        <w:rPr>
          <w:rFonts w:ascii="宋体" w:hAnsi="宋体" w:eastAsia="宋体" w:cs="宋体"/>
          <w:color w:val="auto"/>
          <w:highlight w:val="none"/>
        </w:rPr>
        <w:fldChar w:fldCharType="begin"/>
      </w:r>
      <w:r>
        <w:rPr>
          <w:rFonts w:ascii="宋体" w:hAnsi="宋体" w:eastAsia="宋体" w:cs="宋体"/>
          <w:color w:val="auto"/>
          <w:highlight w:val="none"/>
        </w:rPr>
        <w:instrText xml:space="preserve"> HYPERLINK \l "bookmark8" </w:instrText>
      </w:r>
      <w:r>
        <w:rPr>
          <w:rFonts w:ascii="宋体" w:hAnsi="宋体" w:eastAsia="宋体" w:cs="宋体"/>
          <w:color w:val="auto"/>
          <w:highlight w:val="none"/>
        </w:rPr>
        <w:fldChar w:fldCharType="separate"/>
      </w:r>
      <w:r>
        <w:rPr>
          <w:rFonts w:ascii="宋体" w:hAnsi="宋体" w:eastAsia="宋体" w:cs="宋体"/>
          <w:color w:val="auto"/>
          <w:sz w:val="24"/>
          <w:szCs w:val="24"/>
          <w:highlight w:val="none"/>
          <w:u w:val="single"/>
        </w:rPr>
        <w:t>第15款</w:t>
      </w:r>
      <w:r>
        <w:rPr>
          <w:rFonts w:ascii="宋体" w:hAnsi="宋体" w:eastAsia="宋体" w:cs="宋体"/>
          <w:color w:val="auto"/>
          <w:sz w:val="24"/>
          <w:szCs w:val="24"/>
          <w:highlight w:val="none"/>
          <w:u w:val="single"/>
        </w:rPr>
        <w:fldChar w:fldCharType="end"/>
      </w:r>
      <w:r>
        <w:rPr>
          <w:rFonts w:ascii="宋体" w:hAnsi="宋体" w:eastAsia="宋体" w:cs="宋体"/>
          <w:color w:val="auto"/>
          <w:sz w:val="24"/>
          <w:szCs w:val="24"/>
          <w:highlight w:val="none"/>
        </w:rPr>
        <w:t>规定的磋商响应文件有效期期满前撤销磋商响应文件。</w:t>
      </w:r>
    </w:p>
    <w:p w14:paraId="0B135ABE">
      <w:pPr>
        <w:pStyle w:val="3"/>
        <w:spacing w:before="0" w:after="0" w:line="360" w:lineRule="auto"/>
        <w:jc w:val="center"/>
        <w:rPr>
          <w:rFonts w:ascii="宋体" w:hAnsi="宋体" w:cs="宋体"/>
          <w:b/>
          <w:color w:val="auto"/>
          <w:kern w:val="0"/>
          <w:highlight w:val="none"/>
        </w:rPr>
      </w:pPr>
      <w:bookmarkStart w:id="11" w:name="_开标与评标细则参见财政部_政府采购招标投标管理暂行办法_及中华人民共和国3"/>
      <w:bookmarkEnd w:id="11"/>
      <w:r>
        <w:rPr>
          <w:rFonts w:ascii="宋体" w:hAnsi="宋体" w:cs="宋体"/>
          <w:b/>
          <w:color w:val="auto"/>
          <w:kern w:val="0"/>
          <w:highlight w:val="none"/>
        </w:rPr>
        <w:t>五、开标与评标</w:t>
      </w:r>
    </w:p>
    <w:p w14:paraId="7070D499">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21.开标</w:t>
      </w:r>
    </w:p>
    <w:p w14:paraId="13F68F26">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21.1 采购人在供应商代表自愿出席的情况下，在《供应商须知前附表》规定的地点和时间开标，出席代表需登记以示出席。</w:t>
      </w:r>
    </w:p>
    <w:p w14:paraId="72D08389">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21.2 按照</w:t>
      </w:r>
      <w:r>
        <w:rPr>
          <w:rFonts w:ascii="宋体" w:hAnsi="宋体" w:eastAsia="宋体" w:cs="宋体"/>
          <w:color w:val="auto"/>
          <w:sz w:val="24"/>
          <w:szCs w:val="24"/>
          <w:highlight w:val="none"/>
          <w:u w:val="single"/>
        </w:rPr>
        <w:t>第20款</w:t>
      </w:r>
      <w:r>
        <w:rPr>
          <w:rFonts w:ascii="宋体" w:hAnsi="宋体" w:eastAsia="宋体" w:cs="宋体"/>
          <w:color w:val="auto"/>
          <w:sz w:val="24"/>
          <w:szCs w:val="24"/>
          <w:highlight w:val="none"/>
        </w:rPr>
        <w:t>规定，提交了可接受的“撤回”通知的磋商响应文件将不予开封。</w:t>
      </w:r>
    </w:p>
    <w:p w14:paraId="078F3D4D">
      <w:pPr>
        <w:spacing w:after="0" w:line="360" w:lineRule="auto"/>
        <w:ind w:firstLine="480" w:firstLineChars="200"/>
        <w:jc w:val="both"/>
        <w:rPr>
          <w:rFonts w:ascii="宋体" w:hAnsi="宋体" w:eastAsia="宋体" w:cs="宋体"/>
          <w:color w:val="auto"/>
          <w:spacing w:val="-6"/>
          <w:sz w:val="24"/>
          <w:szCs w:val="24"/>
          <w:highlight w:val="none"/>
        </w:rPr>
      </w:pPr>
      <w:r>
        <w:rPr>
          <w:rFonts w:ascii="宋体" w:hAnsi="宋体" w:eastAsia="宋体" w:cs="宋体"/>
          <w:color w:val="auto"/>
          <w:sz w:val="24"/>
          <w:szCs w:val="24"/>
          <w:highlight w:val="none"/>
        </w:rPr>
        <w:t>21.3</w:t>
      </w:r>
      <w:r>
        <w:rPr>
          <w:rFonts w:ascii="宋体" w:hAnsi="宋体" w:eastAsia="宋体" w:cs="宋体"/>
          <w:color w:val="auto"/>
          <w:spacing w:val="-6"/>
          <w:sz w:val="24"/>
          <w:szCs w:val="24"/>
          <w:highlight w:val="none"/>
        </w:rPr>
        <w:t>采购代理机构、公证员（如有）或供应商代表将查验响应文件的密封情况。</w:t>
      </w:r>
    </w:p>
    <w:p w14:paraId="5EED5A34">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22.磋商响应文件的初审</w:t>
      </w:r>
    </w:p>
    <w:p w14:paraId="15BE6058">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22.1 磋商小组根据“初步评审表”对磋商响应文件的资格性和符合性进行评审，只有对“初步评审表”所列各项作出实质性响应的磋商响应文件才能通过初步评审。对是否实质性响应磋商文件的要求有争议的投标内容，磋商小组将以记名方式表决，得票超过半数的供应商有资格进入下一阶段的评审，否则将被淘汰。具体工作包括：</w:t>
      </w:r>
    </w:p>
    <w:p w14:paraId="3E166583">
      <w:pPr>
        <w:spacing w:after="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磋商小组将审查磋商响应文件是否完整、有无提供所需的磋商保证金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ascii="宋体" w:hAnsi="宋体" w:eastAsia="宋体" w:cs="宋体"/>
          <w:color w:val="auto"/>
          <w:sz w:val="24"/>
          <w:szCs w:val="24"/>
          <w:highlight w:val="none"/>
        </w:rPr>
        <w:t>、是否恰当地签署、是否大致编排有序等；</w:t>
      </w:r>
    </w:p>
    <w:p w14:paraId="60B48AB2">
      <w:pPr>
        <w:spacing w:after="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根据第2</w:t>
      </w: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款规定对磋商响应文件进行详细评审之前，磋商小组将确定每一磋商响应文件是否对磋商文件的要求作出了实质性的响应。所谓作出实质性响应的投标指的是符合磋商文件要求的全部条款、条件和规格而无任何重大偏离或保留。重大偏离或保留系指实质上影响到合同项下的</w:t>
      </w:r>
      <w:r>
        <w:rPr>
          <w:rFonts w:hint="eastAsia" w:ascii="宋体" w:hAnsi="宋体" w:eastAsia="宋体" w:cs="宋体"/>
          <w:color w:val="auto"/>
          <w:sz w:val="24"/>
          <w:szCs w:val="24"/>
          <w:highlight w:val="none"/>
          <w:lang w:val="en-US" w:eastAsia="zh-CN"/>
        </w:rPr>
        <w:t>服务内容、</w:t>
      </w:r>
      <w:r>
        <w:rPr>
          <w:rFonts w:ascii="宋体" w:hAnsi="宋体" w:eastAsia="宋体" w:cs="宋体"/>
          <w:color w:val="auto"/>
          <w:sz w:val="24"/>
          <w:szCs w:val="24"/>
          <w:highlight w:val="none"/>
        </w:rPr>
        <w:t>范围</w:t>
      </w:r>
      <w:r>
        <w:rPr>
          <w:rFonts w:hint="eastAsia" w:ascii="宋体" w:hAnsi="宋体" w:eastAsia="宋体" w:cs="宋体"/>
          <w:color w:val="auto"/>
          <w:sz w:val="24"/>
          <w:szCs w:val="24"/>
          <w:highlight w:val="none"/>
          <w:lang w:val="en-US" w:eastAsia="zh-CN"/>
        </w:rPr>
        <w:t>和</w:t>
      </w:r>
      <w:r>
        <w:rPr>
          <w:rFonts w:ascii="宋体" w:hAnsi="宋体" w:eastAsia="宋体" w:cs="宋体"/>
          <w:color w:val="auto"/>
          <w:sz w:val="24"/>
          <w:szCs w:val="24"/>
          <w:highlight w:val="none"/>
        </w:rPr>
        <w:t>质量，或指与磋商文件有实质不一致，限制了合同项下采购人的权利和供应商的义务， 或对该重大偏离的修改对提交实质性响应投标的供应商将不公平。磋商小组决定磋商响应文件的响应性是基于磋商文件的内容本身而不靠外部的证据。</w:t>
      </w:r>
    </w:p>
    <w:p w14:paraId="0EDB7119">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22.2 磋商小组将拒绝</w:t>
      </w:r>
      <w:r>
        <w:rPr>
          <w:rFonts w:hint="eastAsia" w:ascii="宋体" w:hAnsi="宋体" w:eastAsia="宋体" w:cs="宋体"/>
          <w:color w:val="auto"/>
          <w:sz w:val="24"/>
          <w:szCs w:val="24"/>
          <w:highlight w:val="none"/>
          <w:lang w:eastAsia="zh-CN"/>
        </w:rPr>
        <w:t>被认</w:t>
      </w:r>
      <w:r>
        <w:rPr>
          <w:rFonts w:ascii="宋体" w:hAnsi="宋体" w:eastAsia="宋体" w:cs="宋体"/>
          <w:color w:val="auto"/>
          <w:sz w:val="24"/>
          <w:szCs w:val="24"/>
          <w:highlight w:val="none"/>
        </w:rPr>
        <w:t>定为非响应性的投标，供应商不能通过修正或撤销不符之处而使其投标成为响应性投标。</w:t>
      </w:r>
    </w:p>
    <w:p w14:paraId="11D29E96">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在采购中，出现下列情形之一的，应予废标：</w:t>
      </w:r>
    </w:p>
    <w:p w14:paraId="46A8FA7D">
      <w:pPr>
        <w:numPr>
          <w:ilvl w:val="0"/>
          <w:numId w:val="1"/>
        </w:num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符合专业条件的供应商或者对磋商文件作实质响应的供应商不足三家的；</w:t>
      </w:r>
    </w:p>
    <w:p w14:paraId="06323845">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按照财政部关于政府采购竞争性磋商采购方式管理暂行办法有关问题的补充通知（财库〔2015〕124号）：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5E9E6B77">
      <w:pPr>
        <w:numPr>
          <w:ilvl w:val="0"/>
          <w:numId w:val="1"/>
        </w:num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出现影响采购公正的违法、违规行为的；</w:t>
      </w:r>
    </w:p>
    <w:p w14:paraId="17248A93">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（三）因重大变故，采购任务取消的。</w:t>
      </w:r>
    </w:p>
    <w:p w14:paraId="04970127">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废标后，采购人或采购代理机构应当将废标理由通知所有供应商。</w:t>
      </w:r>
    </w:p>
    <w:p w14:paraId="055EDE51">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22.3 磋商小组将对确定为实质上响应的投标进行审核，看其是否有计算上和累加上的算术错误，修正错误的原则如下：</w:t>
      </w:r>
    </w:p>
    <w:p w14:paraId="79D97F5C">
      <w:pPr>
        <w:spacing w:after="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磋商响应文件中投标函总价内容与磋商响应文件中报价一览表内容不一致的，以</w:t>
      </w:r>
      <w:r>
        <w:rPr>
          <w:rFonts w:hint="eastAsia" w:ascii="宋体" w:hAnsi="宋体" w:eastAsia="宋体" w:cs="宋体"/>
          <w:color w:val="auto"/>
          <w:sz w:val="24"/>
          <w:szCs w:val="24"/>
          <w:highlight w:val="none"/>
          <w:lang w:val="en-US" w:eastAsia="zh-CN"/>
        </w:rPr>
        <w:t>报价一览表</w:t>
      </w:r>
      <w:r>
        <w:rPr>
          <w:rFonts w:ascii="宋体" w:hAnsi="宋体" w:eastAsia="宋体" w:cs="宋体"/>
          <w:color w:val="auto"/>
          <w:sz w:val="24"/>
          <w:szCs w:val="24"/>
          <w:highlight w:val="none"/>
        </w:rPr>
        <w:t>为准；</w:t>
      </w:r>
    </w:p>
    <w:p w14:paraId="4686FCAE">
      <w:pPr>
        <w:spacing w:after="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磋商响应文件的大写金额和小写金额不一致的，以大写金额为准；</w:t>
      </w:r>
    </w:p>
    <w:p w14:paraId="22DC2D84">
      <w:pPr>
        <w:spacing w:after="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总价金额与按单价汇总金额不一致的，以单价金额计算结果为准；单价金额小数点有明显错位的，应以总价为准，并修改单价；</w:t>
      </w:r>
    </w:p>
    <w:p w14:paraId="06119B74">
      <w:pPr>
        <w:spacing w:after="0" w:line="360" w:lineRule="auto"/>
        <w:ind w:firstLine="360" w:firstLineChars="15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对不同文字文本磋商响应文件的解释发生异议的，以中文文本为准。</w:t>
      </w:r>
    </w:p>
    <w:p w14:paraId="18ED68EF">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22.4 磋商小组将按上述修正错误的方法调整磋商响应文件中的投标报价，调整后的价格应对供应商具有约束力。如果供应商不接受修正后的价格，则其投标将被拒绝，其磋商保证金将被没收。</w:t>
      </w:r>
    </w:p>
    <w:p w14:paraId="34982D1E">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22.5 对供应商报价经过上述修正和调整（包括缺漏项调整）后所得出的价格构成其“评标价”。</w:t>
      </w:r>
    </w:p>
    <w:p w14:paraId="0339555D">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22.6 磋商小组将允许修正磋商响应文件中不构成重大偏离的、微小的、非正规的、不一致的或不规则的地方，但这些修正不能影响任何供应商相应的名次排列。</w:t>
      </w:r>
    </w:p>
    <w:p w14:paraId="73D96A54">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23.磋商响应文件的澄清</w:t>
      </w:r>
    </w:p>
    <w:p w14:paraId="63514039">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对磋商响应文件中含义不明确、同类问题表述不一致或者有明显文字和计算错误的内容，磋商小组可以书面形式要求供应商作出必要的澄清、说明或者纠正。供应商的澄清、说明或者补正应当采用书面形式，由其授权的代表签字，并不得超出磋商响应文件的范围或者改变磋商响应文件的实质性内容。</w:t>
      </w:r>
    </w:p>
    <w:p w14:paraId="6BC1080E">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24.磋商响应文件的详细评审：</w:t>
      </w:r>
      <w:r>
        <w:rPr>
          <w:rFonts w:ascii="宋体" w:hAnsi="宋体" w:eastAsia="宋体" w:cs="宋体"/>
          <w:bCs/>
          <w:color w:val="auto"/>
          <w:sz w:val="24"/>
          <w:szCs w:val="24"/>
          <w:highlight w:val="none"/>
        </w:rPr>
        <w:t>详见第七章《评审办法和程序》。</w:t>
      </w:r>
    </w:p>
    <w:p w14:paraId="5041079E">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25.确定成交供应商</w:t>
      </w:r>
    </w:p>
    <w:p w14:paraId="01830A72">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磋商小组根据综合评分情况，按照评审得分由高到低顺序推荐3名成交候选供应商。评审得分相同的，按照最后报价由</w:t>
      </w:r>
      <w:r>
        <w:rPr>
          <w:rFonts w:hint="eastAsia" w:ascii="宋体" w:hAnsi="宋体" w:eastAsia="宋体" w:cs="宋体"/>
          <w:color w:val="auto"/>
          <w:sz w:val="24"/>
          <w:szCs w:val="24"/>
          <w:highlight w:val="none"/>
          <w:lang w:val="en-US" w:eastAsia="zh-CN"/>
        </w:rPr>
        <w:t>高</w:t>
      </w:r>
      <w:r>
        <w:rPr>
          <w:rFonts w:ascii="宋体" w:hAnsi="宋体" w:eastAsia="宋体" w:cs="宋体"/>
          <w:color w:val="auto"/>
          <w:sz w:val="24"/>
          <w:szCs w:val="24"/>
          <w:highlight w:val="none"/>
        </w:rPr>
        <w:t>到</w:t>
      </w:r>
      <w:r>
        <w:rPr>
          <w:rFonts w:hint="eastAsia" w:ascii="宋体" w:hAnsi="宋体" w:eastAsia="宋体" w:cs="宋体"/>
          <w:color w:val="auto"/>
          <w:sz w:val="24"/>
          <w:szCs w:val="24"/>
          <w:highlight w:val="none"/>
          <w:lang w:val="en-US" w:eastAsia="zh-CN"/>
        </w:rPr>
        <w:t>低</w:t>
      </w:r>
      <w:r>
        <w:rPr>
          <w:rFonts w:ascii="宋体" w:hAnsi="宋体" w:eastAsia="宋体" w:cs="宋体"/>
          <w:color w:val="auto"/>
          <w:sz w:val="24"/>
          <w:szCs w:val="24"/>
          <w:highlight w:val="none"/>
        </w:rPr>
        <w:t>的顺序推荐。评审得分且最后报价相同的，按照技术指标优劣顺序推荐。采购代理机构应当在评审结束后2个工作日内将评审报告送采购人确认。采购人应当在收到评审报告后5个工作日内，从评审报告提出的成交候选供应商中，按照排序由高到低的原则确定成交供应商。采购人逾期未确定成交供应商且不提出异议的，视为确定评审报告提出的排序第一的供应商为成交供应商。采购人或者采购代理机构在成交供应商确定后2个工作日内，在省级以上财政部门指定的政府采购信息发布媒体上公告成交结果，同时向成交供应商发出成交通知书。</w:t>
      </w:r>
    </w:p>
    <w:p w14:paraId="2F087323">
      <w:pPr>
        <w:pStyle w:val="3"/>
        <w:spacing w:before="0" w:after="0" w:line="360" w:lineRule="auto"/>
        <w:jc w:val="center"/>
        <w:rPr>
          <w:rFonts w:ascii="宋体" w:hAnsi="宋体" w:cs="宋体"/>
          <w:b/>
          <w:color w:val="auto"/>
          <w:kern w:val="0"/>
          <w:highlight w:val="none"/>
        </w:rPr>
      </w:pPr>
      <w:r>
        <w:rPr>
          <w:rFonts w:ascii="宋体" w:hAnsi="宋体" w:cs="宋体"/>
          <w:b/>
          <w:color w:val="auto"/>
          <w:kern w:val="0"/>
          <w:highlight w:val="none"/>
        </w:rPr>
        <w:t>六、授予合同</w:t>
      </w:r>
    </w:p>
    <w:p w14:paraId="338CB55A">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26.授予合同的准则</w:t>
      </w:r>
    </w:p>
    <w:p w14:paraId="382DD2DA">
      <w:pPr>
        <w:spacing w:after="0" w:line="360" w:lineRule="auto"/>
        <w:ind w:firstLine="480" w:firstLineChars="200"/>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26.1除第</w:t>
      </w:r>
      <w:r>
        <w:rPr>
          <w:rFonts w:hint="eastAsia" w:ascii="宋体" w:hAnsi="宋体" w:eastAsia="宋体" w:cs="宋体"/>
          <w:bCs/>
          <w:color w:val="auto"/>
          <w:sz w:val="24"/>
          <w:szCs w:val="24"/>
          <w:highlight w:val="none"/>
          <w:lang w:val="en-US" w:eastAsia="zh-CN"/>
        </w:rPr>
        <w:t>29</w:t>
      </w:r>
      <w:r>
        <w:rPr>
          <w:rFonts w:ascii="宋体" w:hAnsi="宋体" w:eastAsia="宋体" w:cs="宋体"/>
          <w:bCs/>
          <w:color w:val="auto"/>
          <w:sz w:val="24"/>
          <w:szCs w:val="24"/>
          <w:highlight w:val="none"/>
        </w:rPr>
        <w:t>款规定外，合同将授予采购人确定的成交供应商。成交供应商放弃成交或因不可抗力提出不能履行合同，或者磋商文件规定应当提交履约保证金而在规定的期限内未能提交的，采购人可以与排位其后第一位的供应商签订合同，以此类推。</w:t>
      </w:r>
    </w:p>
    <w:p w14:paraId="6730C3EB">
      <w:pPr>
        <w:spacing w:after="0" w:line="360" w:lineRule="auto"/>
        <w:ind w:firstLine="480" w:firstLineChars="200"/>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26.2如采购人发现成交供应商在投标、提供资料时有弄虚作假的行为，经核实，采购人有权拒绝该成交供应商的投标。</w:t>
      </w:r>
    </w:p>
    <w:p w14:paraId="68C35D0B">
      <w:pPr>
        <w:spacing w:after="0" w:line="360" w:lineRule="auto"/>
        <w:ind w:firstLine="480" w:firstLineChars="200"/>
        <w:rPr>
          <w:rFonts w:ascii="宋体" w:hAnsi="宋体" w:eastAsia="宋体" w:cs="宋体"/>
          <w:bCs/>
          <w:color w:val="auto"/>
          <w:sz w:val="24"/>
          <w:szCs w:val="24"/>
          <w:highlight w:val="none"/>
        </w:rPr>
      </w:pPr>
      <w:r>
        <w:rPr>
          <w:rFonts w:ascii="宋体" w:hAnsi="宋体" w:eastAsia="宋体" w:cs="宋体"/>
          <w:bCs/>
          <w:color w:val="auto"/>
          <w:sz w:val="24"/>
          <w:szCs w:val="24"/>
          <w:highlight w:val="none"/>
        </w:rPr>
        <w:t>26.3其他规定见《供应商须知前附表》。</w:t>
      </w:r>
    </w:p>
    <w:p w14:paraId="126E1E8F">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27.资格后审</w:t>
      </w:r>
    </w:p>
    <w:p w14:paraId="1E3F48E8">
      <w:pPr>
        <w:spacing w:after="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资格后审</w:t>
      </w:r>
      <w:r>
        <w:rPr>
          <w:rFonts w:ascii="宋体" w:hAnsi="宋体" w:eastAsia="宋体" w:cs="宋体"/>
          <w:color w:val="auto"/>
          <w:sz w:val="24"/>
          <w:szCs w:val="24"/>
          <w:highlight w:val="none"/>
        </w:rPr>
        <w:t>供应商的财务、技术和</w:t>
      </w:r>
      <w:r>
        <w:rPr>
          <w:rFonts w:hint="eastAsia" w:ascii="宋体" w:hAnsi="宋体" w:eastAsia="宋体" w:cs="宋体"/>
          <w:color w:val="auto"/>
          <w:sz w:val="24"/>
          <w:szCs w:val="24"/>
          <w:highlight w:val="none"/>
          <w:lang w:val="en-US" w:eastAsia="zh-CN"/>
        </w:rPr>
        <w:t>服务</w:t>
      </w:r>
      <w:r>
        <w:rPr>
          <w:rFonts w:ascii="宋体" w:hAnsi="宋体" w:eastAsia="宋体" w:cs="宋体"/>
          <w:color w:val="auto"/>
          <w:sz w:val="24"/>
          <w:szCs w:val="24"/>
          <w:highlight w:val="none"/>
        </w:rPr>
        <w:t>能力及信誉，确定其是否有资格能圆满地履行合同。如果审查通过，则将合同授予该供应商；如果审查没有通过，则拒绝其投标。在此情况下，磋商小组将对排位其后第一位的供应商的能力做类似的审查。</w:t>
      </w:r>
    </w:p>
    <w:p w14:paraId="63D9CCBC">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28.在授予合同时变更采购</w:t>
      </w:r>
      <w:r>
        <w:rPr>
          <w:rFonts w:hint="eastAsia" w:ascii="宋体" w:hAnsi="宋体" w:eastAsia="宋体" w:cs="宋体"/>
          <w:b/>
          <w:color w:val="auto"/>
          <w:sz w:val="24"/>
          <w:szCs w:val="24"/>
          <w:highlight w:val="none"/>
          <w:lang w:val="en-US" w:eastAsia="zh-CN"/>
        </w:rPr>
        <w:t>服务范围</w:t>
      </w:r>
      <w:r>
        <w:rPr>
          <w:rFonts w:ascii="宋体" w:hAnsi="宋体" w:eastAsia="宋体" w:cs="宋体"/>
          <w:b/>
          <w:color w:val="auto"/>
          <w:sz w:val="24"/>
          <w:szCs w:val="24"/>
          <w:highlight w:val="none"/>
        </w:rPr>
        <w:t>的权利（适用）</w:t>
      </w:r>
    </w:p>
    <w:p w14:paraId="29E944BA">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29.接受和拒绝任何投标或所有投标的权利（适用）</w:t>
      </w:r>
    </w:p>
    <w:p w14:paraId="7974DFD2">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29.1 </w:t>
      </w:r>
      <w:bookmarkStart w:id="50" w:name="_GoBack"/>
      <w:bookmarkEnd w:id="50"/>
      <w:r>
        <w:rPr>
          <w:rFonts w:ascii="宋体" w:hAnsi="宋体" w:eastAsia="宋体" w:cs="宋体"/>
          <w:color w:val="auto"/>
          <w:sz w:val="24"/>
          <w:szCs w:val="24"/>
          <w:highlight w:val="none"/>
        </w:rPr>
        <w:t>因重大变故或为维护国家利益，采购人在授予合同之前仍保留接受或拒绝任何投标或所有投标的权利。</w:t>
      </w:r>
    </w:p>
    <w:p w14:paraId="2D944A11">
      <w:pPr>
        <w:spacing w:after="0" w:line="360" w:lineRule="auto"/>
        <w:ind w:firstLine="482" w:firstLineChars="200"/>
        <w:jc w:val="both"/>
        <w:rPr>
          <w:rFonts w:ascii="宋体" w:hAnsi="宋体" w:eastAsia="宋体" w:cs="宋体"/>
          <w:b/>
          <w:color w:val="auto"/>
          <w:sz w:val="24"/>
          <w:szCs w:val="24"/>
          <w:highlight w:val="none"/>
        </w:rPr>
      </w:pPr>
      <w:bookmarkStart w:id="12" w:name="_Toc238907033"/>
      <w:r>
        <w:rPr>
          <w:rFonts w:ascii="宋体" w:hAnsi="宋体" w:eastAsia="宋体" w:cs="宋体"/>
          <w:b/>
          <w:color w:val="auto"/>
          <w:sz w:val="24"/>
          <w:szCs w:val="24"/>
          <w:highlight w:val="none"/>
        </w:rPr>
        <w:t>30.成交通知</w:t>
      </w:r>
    </w:p>
    <w:p w14:paraId="1A318B1A">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30.1定标后，采购代理机构将以书面形式通知成交供应商其投标被接受。</w:t>
      </w:r>
    </w:p>
    <w:p w14:paraId="2D01CEB9">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30.2采购代理机构向成交供应商发出书面通知的同时，采购代理机构通知落选的供应商其投标未被接受。</w:t>
      </w:r>
    </w:p>
    <w:p w14:paraId="39F14DF8">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30.3成交通知书是合同的一个组成部分。</w:t>
      </w:r>
    </w:p>
    <w:p w14:paraId="6A4399AA">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31.签署合同</w:t>
      </w:r>
    </w:p>
    <w:p w14:paraId="3230F7ED">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采购代理机构通知成交供应商成交时，成交供应商按成交通知书规定的时间、地点与采购人签订成交合同，</w:t>
      </w:r>
      <w:r>
        <w:rPr>
          <w:rFonts w:hint="eastAsia" w:ascii="宋体" w:hAnsi="宋体" w:eastAsia="宋体" w:cs="宋体"/>
          <w:color w:val="auto"/>
          <w:sz w:val="24"/>
          <w:szCs w:val="24"/>
          <w:highlight w:val="none"/>
          <w:lang w:val="en-US" w:eastAsia="zh-CN"/>
        </w:rPr>
        <w:t>如成交供应商无故拖延或超期签订成交合同，</w:t>
      </w:r>
      <w:r>
        <w:rPr>
          <w:rFonts w:ascii="宋体" w:hAnsi="宋体" w:eastAsia="宋体" w:cs="宋体"/>
          <w:color w:val="auto"/>
          <w:sz w:val="24"/>
          <w:szCs w:val="24"/>
          <w:highlight w:val="none"/>
        </w:rPr>
        <w:t>给采购人和采购代理机构造成损失的，成交供应商还应承担赔偿责任。</w:t>
      </w:r>
    </w:p>
    <w:p w14:paraId="1930D226">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32.履约保证金（</w:t>
      </w:r>
      <w:r>
        <w:rPr>
          <w:rFonts w:hint="eastAsia" w:ascii="宋体" w:hAnsi="宋体" w:eastAsia="宋体" w:cs="宋体"/>
          <w:b/>
          <w:color w:val="auto"/>
          <w:sz w:val="24"/>
          <w:szCs w:val="24"/>
          <w:highlight w:val="none"/>
          <w:lang w:val="en-US" w:eastAsia="zh-CN"/>
        </w:rPr>
        <w:t>如有，按第六章招租需求执行</w:t>
      </w:r>
      <w:r>
        <w:rPr>
          <w:rFonts w:ascii="宋体" w:hAnsi="宋体" w:eastAsia="宋体" w:cs="宋体"/>
          <w:b/>
          <w:color w:val="auto"/>
          <w:sz w:val="24"/>
          <w:szCs w:val="24"/>
          <w:highlight w:val="none"/>
        </w:rPr>
        <w:t>）</w:t>
      </w:r>
    </w:p>
    <w:p w14:paraId="7AD716A9">
      <w:pPr>
        <w:spacing w:after="0" w:line="360" w:lineRule="auto"/>
        <w:ind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33.采购代理服务费</w:t>
      </w:r>
    </w:p>
    <w:bookmarkEnd w:id="12"/>
    <w:p w14:paraId="26C6AFC0">
      <w:pPr>
        <w:spacing w:after="0" w:line="360" w:lineRule="auto"/>
        <w:ind w:firstLine="480" w:firstLineChars="200"/>
        <w:jc w:val="both"/>
        <w:rPr>
          <w:rFonts w:ascii="宋体" w:hAnsi="宋体" w:eastAsia="宋体" w:cs="宋体"/>
          <w:color w:val="auto"/>
          <w:sz w:val="24"/>
          <w:szCs w:val="24"/>
          <w:highlight w:val="none"/>
          <w:lang w:val="zh-TW"/>
        </w:rPr>
      </w:pPr>
      <w:r>
        <w:rPr>
          <w:rFonts w:hint="eastAsia" w:ascii="宋体" w:hAnsi="宋体" w:eastAsia="宋体" w:cs="宋体"/>
          <w:color w:val="auto"/>
          <w:sz w:val="24"/>
          <w:szCs w:val="24"/>
          <w:highlight w:val="none"/>
          <w:lang w:val="en-US" w:eastAsia="zh-CN"/>
        </w:rPr>
        <w:t>参照</w:t>
      </w:r>
      <w:r>
        <w:rPr>
          <w:rFonts w:hint="eastAsia" w:ascii="宋体" w:hAnsi="宋体" w:eastAsia="宋体" w:cs="宋体"/>
          <w:color w:val="auto"/>
          <w:sz w:val="24"/>
          <w:szCs w:val="24"/>
          <w:highlight w:val="none"/>
          <w:lang w:val="zh-TW"/>
        </w:rPr>
        <w:t>《招标代理服务收费管理暂行办法》（计价格〔2002〕1980号）文件中相关规定计算下浮30%计取，</w:t>
      </w:r>
      <w:r>
        <w:rPr>
          <w:rFonts w:hint="eastAsia" w:ascii="宋体" w:hAnsi="宋体" w:eastAsia="宋体" w:cs="宋体"/>
          <w:color w:val="auto"/>
          <w:sz w:val="24"/>
          <w:szCs w:val="24"/>
          <w:highlight w:val="none"/>
          <w:lang w:val="zh-TW" w:eastAsia="zh-CN"/>
        </w:rPr>
        <w:t>本项目</w:t>
      </w:r>
      <w:r>
        <w:rPr>
          <w:rFonts w:hint="eastAsia" w:ascii="宋体" w:hAnsi="宋体" w:eastAsia="宋体" w:cs="宋体"/>
          <w:color w:val="auto"/>
          <w:sz w:val="24"/>
          <w:szCs w:val="24"/>
          <w:highlight w:val="none"/>
          <w:lang w:val="en-US" w:eastAsia="zh-CN"/>
        </w:rPr>
        <w:t>7标段采购</w:t>
      </w:r>
      <w:r>
        <w:rPr>
          <w:rFonts w:hint="eastAsia" w:ascii="宋体" w:hAnsi="宋体" w:eastAsia="宋体" w:cs="宋体"/>
          <w:color w:val="auto"/>
          <w:sz w:val="24"/>
          <w:szCs w:val="24"/>
          <w:highlight w:val="none"/>
          <w:lang w:val="zh-TW" w:eastAsia="zh-CN"/>
        </w:rPr>
        <w:t>代理服务费为人民币</w:t>
      </w:r>
      <w:r>
        <w:rPr>
          <w:rFonts w:hint="eastAsia" w:ascii="宋体" w:hAnsi="宋体" w:eastAsia="宋体" w:cs="宋体"/>
          <w:color w:val="auto"/>
          <w:sz w:val="24"/>
          <w:szCs w:val="24"/>
          <w:highlight w:val="none"/>
          <w:lang w:val="en-US" w:eastAsia="zh-CN"/>
        </w:rPr>
        <w:t>贰仟陆佰肆拾柒元</w:t>
      </w:r>
      <w:r>
        <w:rPr>
          <w:rFonts w:hint="eastAsia" w:ascii="宋体" w:hAnsi="宋体" w:eastAsia="宋体" w:cs="宋体"/>
          <w:color w:val="auto"/>
          <w:sz w:val="24"/>
          <w:szCs w:val="24"/>
          <w:highlight w:val="none"/>
          <w:lang w:val="zh-TW" w:eastAsia="zh-CN"/>
        </w:rPr>
        <w:t>整（¥</w:t>
      </w:r>
      <w:r>
        <w:rPr>
          <w:rFonts w:hint="eastAsia" w:ascii="宋体" w:hAnsi="宋体" w:eastAsia="宋体" w:cs="宋体"/>
          <w:color w:val="auto"/>
          <w:sz w:val="24"/>
          <w:szCs w:val="24"/>
          <w:highlight w:val="none"/>
          <w:lang w:val="en-US" w:eastAsia="zh-CN"/>
        </w:rPr>
        <w:t>2647</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lang w:val="zh-TW" w:eastAsia="zh-CN"/>
        </w:rPr>
        <w:t>0元）。</w:t>
      </w:r>
      <w:r>
        <w:rPr>
          <w:rFonts w:hint="eastAsia" w:ascii="宋体" w:hAnsi="宋体" w:eastAsia="宋体" w:cs="宋体"/>
          <w:color w:val="auto"/>
          <w:sz w:val="24"/>
          <w:szCs w:val="24"/>
          <w:highlight w:val="none"/>
          <w:lang w:val="en-US" w:eastAsia="zh-CN"/>
        </w:rPr>
        <w:t>采购代理服务费由成交供应商支付，</w:t>
      </w:r>
      <w:r>
        <w:rPr>
          <w:rFonts w:hint="eastAsia" w:ascii="宋体" w:hAnsi="宋体" w:eastAsia="宋体" w:cs="宋体"/>
          <w:color w:val="auto"/>
          <w:sz w:val="24"/>
          <w:szCs w:val="24"/>
          <w:highlight w:val="none"/>
          <w:lang w:val="zh-TW" w:eastAsia="zh-CN"/>
        </w:rPr>
        <w:t>在成交通知书签发前一次性付</w:t>
      </w:r>
      <w:r>
        <w:rPr>
          <w:rFonts w:hint="eastAsia" w:ascii="宋体" w:hAnsi="宋体" w:eastAsia="宋体"/>
          <w:b w:val="0"/>
          <w:bCs w:val="0"/>
          <w:color w:val="auto"/>
          <w:sz w:val="24"/>
          <w:highlight w:val="none"/>
          <w:lang w:eastAsia="zh-CN"/>
        </w:rPr>
        <w:t>清</w:t>
      </w:r>
      <w:r>
        <w:rPr>
          <w:rFonts w:hint="eastAsia" w:ascii="宋体" w:hAnsi="宋体" w:eastAsia="宋体" w:cs="宋体"/>
          <w:color w:val="auto"/>
          <w:sz w:val="24"/>
          <w:szCs w:val="24"/>
          <w:highlight w:val="none"/>
          <w:lang w:val="zh-TW" w:eastAsia="zh-CN"/>
        </w:rPr>
        <w:t>。</w:t>
      </w:r>
    </w:p>
    <w:p w14:paraId="1A071CAB">
      <w:pPr>
        <w:spacing w:after="0" w:line="360" w:lineRule="auto"/>
        <w:ind w:firstLine="482" w:firstLineChars="200"/>
        <w:rPr>
          <w:rFonts w:ascii="宋体" w:hAnsi="宋体" w:eastAsia="宋体" w:cs="宋体"/>
          <w:b/>
          <w:color w:val="auto"/>
          <w:sz w:val="24"/>
          <w:szCs w:val="24"/>
          <w:highlight w:val="none"/>
        </w:rPr>
      </w:pPr>
      <w:r>
        <w:rPr>
          <w:rFonts w:ascii="宋体" w:hAnsi="宋体" w:eastAsia="宋体" w:cs="宋体"/>
          <w:b/>
          <w:color w:val="auto"/>
          <w:sz w:val="24"/>
          <w:szCs w:val="24"/>
          <w:highlight w:val="none"/>
        </w:rPr>
        <w:t>34.质疑和投诉</w:t>
      </w:r>
    </w:p>
    <w:p w14:paraId="1C598177">
      <w:pPr>
        <w:spacing w:after="0"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34.1质疑的接收和处理参照《中华人民共和国政府采购法》《</w:t>
      </w:r>
      <w:r>
        <w:rPr>
          <w:rFonts w:hint="eastAsia" w:ascii="宋体" w:hAnsi="宋体" w:eastAsia="宋体" w:cs="宋体"/>
          <w:color w:val="auto"/>
          <w:sz w:val="24"/>
          <w:szCs w:val="24"/>
          <w:highlight w:val="none"/>
          <w:lang w:eastAsia="zh-CN"/>
        </w:rPr>
        <w:t>中华人民共和国</w:t>
      </w:r>
      <w:r>
        <w:rPr>
          <w:rFonts w:hint="eastAsia" w:ascii="宋体" w:hAnsi="宋体" w:eastAsia="宋体" w:cs="宋体"/>
          <w:color w:val="auto"/>
          <w:sz w:val="24"/>
          <w:szCs w:val="24"/>
          <w:highlight w:val="none"/>
        </w:rPr>
        <w:t>政府采购法实施条例》《政府采购质疑和投诉办法》《财政部关于加强政府采购供应商投诉受理审查工作的通知》的规定办理。</w:t>
      </w:r>
    </w:p>
    <w:p w14:paraId="1D138BC8">
      <w:pPr>
        <w:spacing w:after="0"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34.2供应商对采购活动事项有疑问的，可以向采购代理机构提出询问，采购代理机构应当及时作出答复，但答复的内容不得涉及商业秘密。询问联系人：</w:t>
      </w:r>
      <w:r>
        <w:rPr>
          <w:rFonts w:hint="eastAsia" w:ascii="宋体" w:hAnsi="宋体" w:eastAsia="宋体" w:cs="宋体"/>
          <w:color w:val="auto"/>
          <w:sz w:val="24"/>
          <w:szCs w:val="24"/>
          <w:highlight w:val="none"/>
          <w:lang w:val="en-US" w:eastAsia="zh-CN"/>
        </w:rPr>
        <w:t>吴</w:t>
      </w:r>
      <w:r>
        <w:rPr>
          <w:rFonts w:hint="eastAsia" w:ascii="宋体" w:hAnsi="宋体" w:eastAsia="宋体" w:cs="宋体"/>
          <w:color w:val="auto"/>
          <w:sz w:val="24"/>
          <w:szCs w:val="24"/>
          <w:highlight w:val="none"/>
        </w:rPr>
        <w:t>女士，联系方式：0898-65381678，地址：海口市龙华区新港路9号新港商业城4楼。</w:t>
      </w:r>
    </w:p>
    <w:p w14:paraId="27C21A21">
      <w:pPr>
        <w:spacing w:after="0"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34.3供应商认为采购文件、采购过程和</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结果使自己的权益受到损害的，可以在知道或者应知其权益受到损害之日起七个工作日内，以书面形式向</w:t>
      </w:r>
      <w:r>
        <w:rPr>
          <w:rFonts w:hint="eastAsia" w:ascii="宋体" w:hAnsi="宋体" w:eastAsia="宋体" w:cs="宋体"/>
          <w:color w:val="auto"/>
          <w:sz w:val="24"/>
          <w:szCs w:val="24"/>
          <w:highlight w:val="none"/>
          <w:lang w:eastAsia="zh-CN"/>
        </w:rPr>
        <w:t>海南品诚项目咨询有限公司</w:t>
      </w:r>
      <w:r>
        <w:rPr>
          <w:rFonts w:hint="eastAsia" w:ascii="宋体" w:hAnsi="宋体" w:eastAsia="宋体" w:cs="宋体"/>
          <w:color w:val="auto"/>
          <w:sz w:val="24"/>
          <w:szCs w:val="24"/>
          <w:highlight w:val="none"/>
        </w:rPr>
        <w:t>提出质疑，并附相关证明材料。非书面原件形式、七个工作日之外以及匿名的质疑将不予受理。质疑联系人：</w:t>
      </w:r>
      <w:r>
        <w:rPr>
          <w:rFonts w:hint="eastAsia" w:ascii="宋体" w:hAnsi="宋体" w:eastAsia="宋体" w:cs="宋体"/>
          <w:color w:val="auto"/>
          <w:sz w:val="24"/>
          <w:szCs w:val="24"/>
          <w:highlight w:val="none"/>
          <w:lang w:val="en-US" w:eastAsia="zh-CN"/>
        </w:rPr>
        <w:t>吴</w:t>
      </w:r>
      <w:r>
        <w:rPr>
          <w:rFonts w:hint="eastAsia" w:ascii="宋体" w:hAnsi="宋体" w:eastAsia="宋体" w:cs="宋体"/>
          <w:color w:val="auto"/>
          <w:sz w:val="24"/>
          <w:szCs w:val="24"/>
          <w:highlight w:val="none"/>
        </w:rPr>
        <w:t>女士，联系方式：0898-65381678，地址：海口市龙华区新港路9号新港商业城4楼。</w:t>
      </w:r>
    </w:p>
    <w:p w14:paraId="7007B70C">
      <w:pPr>
        <w:spacing w:after="0"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34.4供应商应按照《政府采购质疑和投诉办法》（财政部令第94号）及相关法律法规要求，在法定质疑期内一次性提出针对同一采购程序环节的质疑。</w:t>
      </w:r>
    </w:p>
    <w:p w14:paraId="3C8503EB">
      <w:pPr>
        <w:spacing w:after="0"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34.5供应商提出质疑应当提交质疑函和必要的证明材料。质疑函应当包括下列内容：（一）供应商的姓名或者名称、地址、邮编、联系人及联系电话；（二）质疑项目的名称、编号；（三）具体、明确的质疑事项和与质疑事项相关的请求；（四）事实依据；（五）必要的法律依据；（六）提出质疑的日期。供应商为法人或者其他组织的，应当由法定代表人、主要负责人，或者其授权代表签字或者盖章，并加盖公章。质疑人未按相关法律法规及本磋商文件规定的内容提出质疑的，视为无效质疑，采购人或代理机构将不予受理。</w:t>
      </w:r>
    </w:p>
    <w:p w14:paraId="1F83D0D4">
      <w:pPr>
        <w:spacing w:after="0"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34.6</w:t>
      </w:r>
      <w:r>
        <w:rPr>
          <w:rFonts w:hint="eastAsia" w:ascii="宋体" w:hAnsi="宋体" w:eastAsia="宋体" w:cs="宋体"/>
          <w:color w:val="auto"/>
          <w:spacing w:val="-6"/>
          <w:sz w:val="24"/>
          <w:szCs w:val="24"/>
          <w:highlight w:val="none"/>
        </w:rPr>
        <w:t>采购代理机构应当在收到供应商的书面质疑后7个工作日内作出答复，并以书面形式通知质疑供应商和其他有关供应商，但答复的内容不得涉及商业秘密。</w:t>
      </w:r>
    </w:p>
    <w:p w14:paraId="2EBB7C2A">
      <w:pPr>
        <w:spacing w:after="0" w:line="360" w:lineRule="auto"/>
        <w:ind w:firstLine="480" w:firstLineChars="200"/>
        <w:jc w:val="both"/>
        <w:rPr>
          <w:rFonts w:ascii="宋体" w:hAnsi="宋体" w:eastAsia="宋体" w:cs="宋体"/>
          <w:color w:val="auto"/>
          <w:sz w:val="24"/>
          <w:szCs w:val="24"/>
          <w:highlight w:val="none"/>
          <w:lang w:val="zh-TW"/>
        </w:rPr>
      </w:pPr>
      <w:r>
        <w:rPr>
          <w:rFonts w:hint="eastAsia" w:ascii="宋体" w:hAnsi="宋体" w:eastAsia="宋体" w:cs="宋体"/>
          <w:color w:val="auto"/>
          <w:sz w:val="24"/>
          <w:szCs w:val="24"/>
          <w:highlight w:val="none"/>
        </w:rPr>
        <w:t>34.7质疑供应商对采购代理机构的答复不满意或者采购代理机构未在规定的时间内作出答复的，可以在答复期满后15个工作日内向采购人投诉</w:t>
      </w:r>
      <w:r>
        <w:rPr>
          <w:rFonts w:ascii="宋体" w:hAnsi="宋体" w:eastAsia="宋体" w:cs="宋体"/>
          <w:color w:val="auto"/>
          <w:sz w:val="24"/>
          <w:szCs w:val="24"/>
          <w:highlight w:val="none"/>
        </w:rPr>
        <w:t>。</w:t>
      </w:r>
    </w:p>
    <w:p w14:paraId="64C0FD88">
      <w:pPr>
        <w:spacing w:after="0" w:line="360" w:lineRule="auto"/>
        <w:ind w:firstLine="482" w:firstLineChars="200"/>
        <w:jc w:val="both"/>
        <w:rPr>
          <w:rFonts w:hint="eastAsia" w:ascii="宋体" w:hAnsi="宋体" w:eastAsia="宋体" w:cs="宋体"/>
          <w:b/>
          <w:color w:val="auto"/>
          <w:sz w:val="24"/>
          <w:szCs w:val="24"/>
          <w:highlight w:val="none"/>
          <w:lang w:eastAsia="zh-CN"/>
        </w:rPr>
      </w:pPr>
      <w:r>
        <w:rPr>
          <w:rFonts w:ascii="宋体" w:hAnsi="宋体" w:eastAsia="宋体" w:cs="宋体"/>
          <w:b/>
          <w:color w:val="auto"/>
          <w:sz w:val="24"/>
          <w:szCs w:val="24"/>
          <w:highlight w:val="none"/>
        </w:rPr>
        <w:t>35.政策功能</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本项目不适用本条款</w:t>
      </w:r>
      <w:r>
        <w:rPr>
          <w:rFonts w:hint="eastAsia" w:ascii="宋体" w:hAnsi="宋体" w:eastAsia="宋体" w:cs="宋体"/>
          <w:b/>
          <w:color w:val="auto"/>
          <w:sz w:val="24"/>
          <w:szCs w:val="24"/>
          <w:highlight w:val="none"/>
          <w:lang w:eastAsia="zh-CN"/>
        </w:rPr>
        <w:t>】</w:t>
      </w:r>
    </w:p>
    <w:p w14:paraId="40707FB2">
      <w:pPr>
        <w:spacing w:after="0" w:line="360" w:lineRule="auto"/>
        <w:ind w:firstLine="480" w:firstLineChars="200"/>
        <w:jc w:val="both"/>
        <w:rPr>
          <w:rFonts w:ascii="宋体" w:hAnsi="宋体" w:eastAsia="宋体" w:cs="宋体"/>
          <w:color w:val="auto"/>
          <w:sz w:val="24"/>
          <w:szCs w:val="24"/>
          <w:highlight w:val="none"/>
        </w:rPr>
      </w:pPr>
      <w:bookmarkStart w:id="13" w:name="_Toc531861735"/>
      <w:r>
        <w:rPr>
          <w:rFonts w:ascii="宋体" w:hAnsi="宋体" w:eastAsia="宋体" w:cs="宋体"/>
          <w:color w:val="auto"/>
          <w:sz w:val="24"/>
          <w:szCs w:val="24"/>
          <w:highlight w:val="none"/>
        </w:rPr>
        <w:t>35.1本次采购优先选购中华人民共和国财政部公布的《节能环保产品目录》的标的物。</w:t>
      </w:r>
      <w:bookmarkEnd w:id="13"/>
    </w:p>
    <w:p w14:paraId="08F42835">
      <w:pPr>
        <w:spacing w:after="0" w:line="360" w:lineRule="auto"/>
        <w:ind w:firstLine="480" w:firstLineChars="200"/>
        <w:jc w:val="both"/>
        <w:rPr>
          <w:rFonts w:ascii="宋体" w:hAnsi="宋体" w:eastAsia="宋体" w:cs="宋体"/>
          <w:color w:val="auto"/>
          <w:sz w:val="24"/>
          <w:szCs w:val="24"/>
          <w:highlight w:val="none"/>
        </w:rPr>
      </w:pPr>
      <w:bookmarkStart w:id="14" w:name="_Toc531861736"/>
      <w:r>
        <w:rPr>
          <w:rFonts w:ascii="宋体" w:hAnsi="宋体" w:eastAsia="宋体" w:cs="宋体"/>
          <w:color w:val="auto"/>
          <w:sz w:val="24"/>
          <w:szCs w:val="24"/>
          <w:highlight w:val="none"/>
        </w:rPr>
        <w:t>35.2强制采购节能产品、信息安全产品，优先采购环境标志产品。节能产品是指列入财政部、国家发展和改革委员会制定的《节能产品政府采购清单》，且经过认定的节能产品；信息安全产品是指列入国家质检总局 国家认监委《信息安全产品强制性认证目录》，并获得强制性产品认证证书的产品；环境标志产品是指列入财政部、国家环保总局制定的《环境标志产品政府采购清单》，且经过认证的环境标志产品。</w:t>
      </w:r>
      <w:bookmarkEnd w:id="14"/>
    </w:p>
    <w:p w14:paraId="5D29B91C">
      <w:pPr>
        <w:spacing w:after="0" w:line="360" w:lineRule="auto"/>
        <w:ind w:firstLine="480" w:firstLineChars="200"/>
        <w:jc w:val="both"/>
        <w:rPr>
          <w:rFonts w:ascii="宋体" w:hAnsi="宋体" w:eastAsia="宋体" w:cs="宋体"/>
          <w:color w:val="auto"/>
          <w:sz w:val="24"/>
          <w:szCs w:val="24"/>
          <w:highlight w:val="none"/>
        </w:rPr>
      </w:pPr>
      <w:bookmarkStart w:id="15" w:name="_Toc531861737"/>
      <w:r>
        <w:rPr>
          <w:rFonts w:ascii="宋体" w:hAnsi="宋体" w:eastAsia="宋体" w:cs="宋体"/>
          <w:color w:val="auto"/>
          <w:sz w:val="24"/>
          <w:szCs w:val="24"/>
          <w:highlight w:val="none"/>
        </w:rPr>
        <w:t>35.3投标产品属于信息安全产品的，供应商应当选择经国家认证的信息安全产品投标，并提供由中国信息安全认证中心按国家标准颁发的有效认证证书复印件。</w:t>
      </w:r>
      <w:bookmarkEnd w:id="15"/>
    </w:p>
    <w:p w14:paraId="6763DA45">
      <w:pPr>
        <w:spacing w:after="0" w:line="360" w:lineRule="auto"/>
        <w:ind w:firstLine="480" w:firstLineChars="200"/>
        <w:jc w:val="both"/>
        <w:rPr>
          <w:rFonts w:ascii="宋体" w:hAnsi="宋体" w:eastAsia="宋体" w:cs="宋体"/>
          <w:color w:val="auto"/>
          <w:sz w:val="24"/>
          <w:szCs w:val="24"/>
          <w:highlight w:val="none"/>
        </w:rPr>
      </w:pPr>
      <w:bookmarkStart w:id="16" w:name="_Toc531861738"/>
      <w:r>
        <w:rPr>
          <w:rFonts w:ascii="宋体" w:hAnsi="宋体" w:eastAsia="宋体" w:cs="宋体"/>
          <w:color w:val="auto"/>
          <w:sz w:val="24"/>
          <w:szCs w:val="24"/>
          <w:highlight w:val="none"/>
        </w:rPr>
        <w:t>35.4投标产品属于政府强制采购节能产品的，供应商应当选择《节能产品政府采购清单》中的产品投标，并提供有效的节能产品认证证书复印件。</w:t>
      </w:r>
      <w:bookmarkEnd w:id="16"/>
    </w:p>
    <w:p w14:paraId="200816DF">
      <w:pPr>
        <w:spacing w:after="0" w:line="360" w:lineRule="auto"/>
        <w:ind w:firstLine="480" w:firstLineChars="200"/>
        <w:jc w:val="both"/>
        <w:rPr>
          <w:rFonts w:ascii="宋体" w:hAnsi="宋体" w:eastAsia="宋体" w:cs="宋体"/>
          <w:color w:val="auto"/>
          <w:sz w:val="24"/>
          <w:szCs w:val="24"/>
          <w:highlight w:val="none"/>
        </w:rPr>
      </w:pPr>
      <w:bookmarkStart w:id="17" w:name="_Toc531861739"/>
      <w:r>
        <w:rPr>
          <w:rFonts w:ascii="宋体" w:hAnsi="宋体" w:eastAsia="宋体" w:cs="宋体"/>
          <w:color w:val="auto"/>
          <w:sz w:val="24"/>
          <w:szCs w:val="24"/>
          <w:highlight w:val="none"/>
        </w:rPr>
        <w:t>35.5磋商文件中提供的参考产品品牌或型号，是采购人根据项目所要实现的功能根据市场情况列出的品牌或型号，并不是限制条件。</w:t>
      </w:r>
      <w:bookmarkEnd w:id="17"/>
    </w:p>
    <w:p w14:paraId="27FDC77D">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rPr>
        <w:t>.6</w:t>
      </w:r>
      <w:r>
        <w:rPr>
          <w:rFonts w:ascii="宋体" w:hAnsi="宋体" w:eastAsia="宋体" w:cs="宋体"/>
          <w:color w:val="auto"/>
          <w:sz w:val="24"/>
          <w:szCs w:val="24"/>
          <w:highlight w:val="none"/>
        </w:rPr>
        <w:t>投标人为小型和微型企业（含联合体）的情况：</w:t>
      </w:r>
    </w:p>
    <w:p w14:paraId="67B09C2E">
      <w:pPr>
        <w:spacing w:after="0" w:line="360" w:lineRule="auto"/>
        <w:ind w:firstLine="480" w:firstLineChars="200"/>
        <w:jc w:val="both"/>
        <w:rPr>
          <w:rFonts w:ascii="宋体" w:hAnsi="宋体" w:eastAsia="宋体" w:cs="宋体"/>
          <w:color w:val="auto"/>
          <w:sz w:val="24"/>
          <w:szCs w:val="24"/>
          <w:highlight w:val="none"/>
        </w:rPr>
      </w:pPr>
      <w:bookmarkStart w:id="18" w:name="_Toc27572_WPSOffice_Level2"/>
      <w:bookmarkStart w:id="19" w:name="_Toc28493_WPSOffice_Level2"/>
      <w:r>
        <w:rPr>
          <w:rFonts w:hint="eastAsia" w:ascii="宋体" w:hAnsi="宋体" w:eastAsia="宋体" w:cs="宋体"/>
          <w:color w:val="auto"/>
          <w:sz w:val="24"/>
          <w:szCs w:val="24"/>
          <w:highlight w:val="none"/>
          <w:lang w:val="en-US"/>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rPr>
        <w:t>.6.1</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中小企业的认定标准：</w:t>
      </w:r>
      <w:bookmarkEnd w:id="18"/>
      <w:bookmarkEnd w:id="19"/>
    </w:p>
    <w:p w14:paraId="22EC942F">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ascii="宋体" w:hAnsi="宋体" w:eastAsia="宋体" w:cs="宋体"/>
          <w:color w:val="auto"/>
          <w:sz w:val="24"/>
          <w:szCs w:val="24"/>
          <w:highlight w:val="none"/>
        </w:rPr>
        <w:t>提供本企业制造的货物、承担的工程或者服务，或者提供其他中小企业制造的货物，不包括提供或使用大型企业注册商标的货物；</w:t>
      </w:r>
    </w:p>
    <w:p w14:paraId="6F280054">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ascii="宋体" w:hAnsi="宋体" w:eastAsia="宋体" w:cs="宋体"/>
          <w:color w:val="auto"/>
          <w:sz w:val="24"/>
          <w:szCs w:val="24"/>
          <w:highlight w:val="none"/>
        </w:rPr>
        <w:t>本规定所称中小企业划分标准，是指国务院有关部门根据企业从业人员、营业收入、资产总额等指标制定的中小企业划型标准（工信部联企业〔2011〕300号）；</w:t>
      </w:r>
    </w:p>
    <w:p w14:paraId="360C07AC">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ascii="宋体" w:hAnsi="宋体" w:eastAsia="宋体" w:cs="宋体"/>
          <w:color w:val="auto"/>
          <w:sz w:val="24"/>
          <w:szCs w:val="24"/>
          <w:highlight w:val="none"/>
        </w:rPr>
        <w:t>小型、微型企业提供有中型企业制造的货物的，视同为中型企业；小型、微型、中型企业提供有大型企业制造的货物的，视同为大型企业；</w:t>
      </w:r>
    </w:p>
    <w:p w14:paraId="6434631D">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根据财库〔2014〕68 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设区的市</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监狱、强制隔离戒毒所、戒毒康复所，以及新疆生产建设兵团监狱管理局、戒毒管理局的企业。监狱企业投标时，提供由省级以上监狱管理局、戒毒管理局</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含新疆生产建设兵团</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出具的属于监狱企业的证明文件，不再提供《中小微企业声明函》。</w:t>
      </w:r>
    </w:p>
    <w:p w14:paraId="6DCB883C">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rPr>
        <w:t>根据财库〔2017〕141 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2AD156AC">
      <w:pPr>
        <w:spacing w:after="0" w:line="360" w:lineRule="auto"/>
        <w:ind w:firstLine="480" w:firstLineChars="200"/>
        <w:jc w:val="both"/>
        <w:rPr>
          <w:rFonts w:ascii="宋体" w:hAnsi="宋体" w:eastAsia="宋体" w:cs="宋体"/>
          <w:color w:val="auto"/>
          <w:sz w:val="24"/>
          <w:szCs w:val="24"/>
          <w:highlight w:val="none"/>
        </w:rPr>
      </w:pPr>
      <w:bookmarkStart w:id="20" w:name="_Toc27609_WPSOffice_Level2"/>
      <w:bookmarkStart w:id="21" w:name="_Toc28798_WPSOffice_Level2"/>
      <w:r>
        <w:rPr>
          <w:rFonts w:hint="eastAsia" w:ascii="宋体" w:hAnsi="宋体" w:eastAsia="宋体" w:cs="宋体"/>
          <w:color w:val="auto"/>
          <w:sz w:val="24"/>
          <w:szCs w:val="24"/>
          <w:highlight w:val="none"/>
          <w:lang w:val="en-US"/>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rPr>
        <w:t>.6.2</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具体评审价说明：</w:t>
      </w:r>
      <w:bookmarkEnd w:id="20"/>
      <w:bookmarkEnd w:id="21"/>
    </w:p>
    <w:p w14:paraId="720D25DA">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（1）本次采购项目为服务类，</w:t>
      </w:r>
      <w:r>
        <w:rPr>
          <w:rFonts w:ascii="宋体" w:hAnsi="宋体" w:eastAsia="宋体" w:cs="宋体"/>
          <w:color w:val="auto"/>
          <w:sz w:val="24"/>
          <w:szCs w:val="24"/>
          <w:highlight w:val="none"/>
        </w:rPr>
        <w:t>投标人为小型或微型企业，其评审价=投标报价*（1-</w:t>
      </w:r>
      <w:r>
        <w:rPr>
          <w:rFonts w:hint="eastAsia" w:ascii="宋体" w:hAnsi="宋体" w:eastAsia="宋体" w:cs="宋体"/>
          <w:color w:val="auto"/>
          <w:sz w:val="24"/>
          <w:szCs w:val="24"/>
          <w:highlight w:val="none"/>
          <w:lang w:val="en-US" w:eastAsia="zh-CN"/>
        </w:rPr>
        <w:t>10</w:t>
      </w:r>
      <w:r>
        <w:rPr>
          <w:rFonts w:ascii="宋体" w:hAnsi="宋体" w:eastAsia="宋体" w:cs="宋体"/>
          <w:color w:val="auto"/>
          <w:sz w:val="24"/>
          <w:szCs w:val="24"/>
          <w:highlight w:val="none"/>
        </w:rPr>
        <w:t>%）；</w:t>
      </w:r>
    </w:p>
    <w:p w14:paraId="23257CD1">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ascii="宋体" w:hAnsi="宋体" w:eastAsia="宋体" w:cs="宋体"/>
          <w:color w:val="auto"/>
          <w:sz w:val="24"/>
          <w:szCs w:val="24"/>
          <w:highlight w:val="none"/>
        </w:rPr>
        <w:t>投标人为联合体投标，联合体中有小型或微型企业且联合协议中约定小型、微型企业的协议合同金额占到联合体协议合同总金额</w:t>
      </w:r>
      <w:r>
        <w:rPr>
          <w:rFonts w:hint="eastAsia" w:ascii="宋体" w:hAnsi="宋体" w:eastAsia="宋体" w:cs="宋体"/>
          <w:color w:val="auto"/>
          <w:sz w:val="24"/>
          <w:szCs w:val="24"/>
          <w:highlight w:val="none"/>
          <w:lang w:val="en-US" w:eastAsia="zh-CN"/>
        </w:rPr>
        <w:t>30</w:t>
      </w:r>
      <w:r>
        <w:rPr>
          <w:rFonts w:ascii="宋体" w:hAnsi="宋体" w:eastAsia="宋体" w:cs="宋体"/>
          <w:color w:val="auto"/>
          <w:sz w:val="24"/>
          <w:szCs w:val="24"/>
          <w:highlight w:val="none"/>
        </w:rPr>
        <w:t>％以上的，其评审价=投标报价*（</w:t>
      </w:r>
      <w:r>
        <w:rPr>
          <w:rFonts w:hint="eastAsia" w:ascii="宋体" w:hAnsi="宋体" w:eastAsia="宋体" w:cs="宋体"/>
          <w:color w:val="auto"/>
          <w:sz w:val="24"/>
          <w:szCs w:val="24"/>
          <w:highlight w:val="none"/>
          <w:lang w:val="en-US" w:eastAsia="zh-CN"/>
        </w:rPr>
        <w:t>1</w:t>
      </w:r>
      <w:r>
        <w:rPr>
          <w:rFonts w:ascii="宋体" w:hAnsi="宋体" w:eastAsia="宋体" w:cs="宋体"/>
          <w:color w:val="auto"/>
          <w:sz w:val="24"/>
          <w:szCs w:val="24"/>
          <w:highlight w:val="none"/>
        </w:rPr>
        <w:t>-3%）。</w:t>
      </w:r>
    </w:p>
    <w:p w14:paraId="1B2F241E">
      <w:pPr>
        <w:spacing w:after="0" w:line="360"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ascii="宋体" w:hAnsi="宋体" w:eastAsia="宋体" w:cs="宋体"/>
          <w:color w:val="auto"/>
          <w:sz w:val="24"/>
          <w:szCs w:val="24"/>
          <w:highlight w:val="none"/>
        </w:rPr>
        <w:t>投标人为工信部联企业〔2011〕300 号文规定的小型和微型企业（含联合体）的，必须如实填写“中小企业声明函”（内容、格式见财库〔20</w:t>
      </w:r>
      <w:r>
        <w:rPr>
          <w:rFonts w:hint="eastAsia" w:ascii="宋体" w:hAnsi="宋体" w:eastAsia="宋体" w:cs="宋体"/>
          <w:color w:val="auto"/>
          <w:sz w:val="24"/>
          <w:szCs w:val="24"/>
          <w:highlight w:val="none"/>
          <w:lang w:val="en-US" w:eastAsia="zh-CN"/>
        </w:rPr>
        <w:t>20</w:t>
      </w:r>
      <w:r>
        <w:rPr>
          <w:rFonts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46</w:t>
      </w:r>
      <w:r>
        <w:rPr>
          <w:rFonts w:ascii="宋体" w:hAnsi="宋体" w:eastAsia="宋体" w:cs="宋体"/>
          <w:color w:val="auto"/>
          <w:sz w:val="24"/>
          <w:szCs w:val="24"/>
          <w:highlight w:val="none"/>
        </w:rPr>
        <w:t>号），并提供中小企业声明函，否则无效。</w:t>
      </w:r>
    </w:p>
    <w:p w14:paraId="5047CE7A">
      <w:pPr>
        <w:bidi w:val="0"/>
        <w:jc w:val="center"/>
        <w:rPr>
          <w:rFonts w:hint="eastAsia" w:ascii="宋体" w:hAnsi="宋体" w:eastAsia="宋体" w:cs="宋体"/>
          <w:b/>
          <w:bCs/>
          <w:sz w:val="24"/>
          <w:szCs w:val="24"/>
        </w:rPr>
        <w:sectPr>
          <w:headerReference r:id="rId6" w:type="default"/>
          <w:footerReference r:id="rId7" w:type="default"/>
          <w:pgSz w:w="11906" w:h="16838"/>
          <w:pgMar w:top="1440" w:right="1797" w:bottom="1440" w:left="1797" w:header="851" w:footer="992" w:gutter="0"/>
          <w:pgNumType w:fmt="decimal" w:start="1"/>
          <w:cols w:space="720" w:num="1"/>
          <w:docGrid w:linePitch="312" w:charSpace="0"/>
        </w:sectPr>
      </w:pPr>
      <w:bookmarkStart w:id="22" w:name="_Toc20081_WPSOffice_Level2"/>
      <w:bookmarkStart w:id="23" w:name="_Toc26479_WPSOffice_Level2"/>
      <w:r>
        <w:rPr>
          <w:rFonts w:hint="eastAsia" w:ascii="宋体" w:hAnsi="宋体" w:eastAsia="宋体" w:cs="宋体"/>
          <w:b/>
          <w:bCs/>
          <w:sz w:val="24"/>
          <w:szCs w:val="24"/>
        </w:rPr>
        <w:t>如有虚假骗取政策性加分，将依法承担相应责任。</w:t>
      </w:r>
      <w:bookmarkEnd w:id="22"/>
      <w:bookmarkEnd w:id="23"/>
    </w:p>
    <w:p w14:paraId="55843429">
      <w:pPr>
        <w:keepNext w:val="0"/>
        <w:keepLines w:val="0"/>
        <w:pageBreakBefore w:val="0"/>
        <w:widowControl/>
        <w:kinsoku/>
        <w:wordWrap/>
        <w:overflowPunct/>
        <w:topLinePunct w:val="0"/>
        <w:autoSpaceDE/>
        <w:autoSpaceDN/>
        <w:bidi w:val="0"/>
        <w:adjustRightInd/>
        <w:snapToGrid/>
        <w:ind w:firstLine="0" w:firstLineChars="0"/>
        <w:jc w:val="center"/>
        <w:textAlignment w:val="auto"/>
        <w:outlineLvl w:val="0"/>
        <w:rPr>
          <w:rStyle w:val="23"/>
          <w:color w:val="auto"/>
          <w:highlight w:val="none"/>
        </w:rPr>
      </w:pPr>
      <w:bookmarkStart w:id="24" w:name="_Toc10103"/>
      <w:bookmarkStart w:id="25" w:name="_Toc238907075"/>
      <w:r>
        <w:rPr>
          <w:rFonts w:hint="eastAsia" w:ascii="宋体" w:hAnsi="宋体" w:eastAsia="宋体" w:cs="宋体"/>
          <w:b/>
          <w:bCs/>
          <w:color w:val="auto"/>
          <w:kern w:val="44"/>
          <w:sz w:val="36"/>
          <w:szCs w:val="32"/>
          <w:highlight w:val="none"/>
          <w:lang w:val="en-US" w:eastAsia="zh-CN" w:bidi="ar-SA"/>
        </w:rPr>
        <w:t>第四章  合同文本（仅供参考）</w:t>
      </w:r>
      <w:bookmarkEnd w:id="24"/>
    </w:p>
    <w:bookmarkEnd w:id="25"/>
    <w:p w14:paraId="262CECAE">
      <w:pPr>
        <w:keepNext w:val="0"/>
        <w:keepLines w:val="0"/>
        <w:pageBreakBefore w:val="0"/>
        <w:widowControl w:val="0"/>
        <w:kinsoku/>
        <w:wordWrap/>
        <w:overflowPunct/>
        <w:topLinePunct w:val="0"/>
        <w:autoSpaceDE/>
        <w:autoSpaceDN/>
        <w:bidi w:val="0"/>
        <w:adjustRightInd/>
        <w:snapToGrid/>
        <w:spacing w:line="160" w:lineRule="atLeast"/>
        <w:jc w:val="center"/>
        <w:textAlignment w:val="auto"/>
        <w:rPr>
          <w:rFonts w:hint="eastAsia" w:ascii="宋体" w:hAnsi="宋体" w:eastAsia="宋体" w:cs="宋体"/>
          <w:b/>
          <w:bCs/>
          <w:sz w:val="24"/>
          <w:szCs w:val="24"/>
          <w:u w:val="none"/>
          <w:lang w:val="en-US" w:eastAsia="zh-CN"/>
        </w:rPr>
      </w:pPr>
      <w:bookmarkStart w:id="26" w:name="_Toc32596"/>
      <w:bookmarkStart w:id="27" w:name="_Toc9412"/>
      <w:bookmarkStart w:id="28" w:name="_Toc19005"/>
      <w:r>
        <w:rPr>
          <w:rFonts w:hint="eastAsia" w:ascii="宋体" w:hAnsi="宋体" w:eastAsia="宋体" w:cs="宋体"/>
          <w:b/>
          <w:bCs/>
          <w:sz w:val="24"/>
          <w:szCs w:val="24"/>
          <w:u w:val="none"/>
          <w:lang w:val="en-US" w:eastAsia="zh-CN"/>
        </w:rPr>
        <w:t>保亭新星农场有限公司</w:t>
      </w:r>
    </w:p>
    <w:p w14:paraId="7E811D37">
      <w:pPr>
        <w:keepNext w:val="0"/>
        <w:keepLines w:val="0"/>
        <w:pageBreakBefore w:val="0"/>
        <w:widowControl w:val="0"/>
        <w:kinsoku/>
        <w:wordWrap/>
        <w:overflowPunct/>
        <w:topLinePunct w:val="0"/>
        <w:autoSpaceDE/>
        <w:autoSpaceDN/>
        <w:bidi w:val="0"/>
        <w:adjustRightInd/>
        <w:snapToGrid/>
        <w:spacing w:line="160" w:lineRule="atLeast"/>
        <w:jc w:val="center"/>
        <w:textAlignment w:val="auto"/>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农业用地经营性土地承包合同书</w:t>
      </w:r>
    </w:p>
    <w:p w14:paraId="5F9FA9F0">
      <w:pPr>
        <w:keepNext w:val="0"/>
        <w:keepLines w:val="0"/>
        <w:pageBreakBefore w:val="0"/>
        <w:widowControl w:val="0"/>
        <w:kinsoku/>
        <w:wordWrap/>
        <w:overflowPunct/>
        <w:topLinePunct w:val="0"/>
        <w:autoSpaceDE/>
        <w:autoSpaceDN/>
        <w:bidi w:val="0"/>
        <w:adjustRightInd/>
        <w:snapToGrid/>
        <w:spacing w:line="160" w:lineRule="atLeast"/>
        <w:ind w:right="0" w:right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p>
    <w:p w14:paraId="555938D1">
      <w:pPr>
        <w:keepNext w:val="0"/>
        <w:keepLines w:val="0"/>
        <w:pageBreakBefore w:val="0"/>
        <w:widowControl w:val="0"/>
        <w:kinsoku/>
        <w:wordWrap/>
        <w:overflowPunct/>
        <w:topLinePunct w:val="0"/>
        <w:autoSpaceDE/>
        <w:autoSpaceDN/>
        <w:bidi w:val="0"/>
        <w:adjustRightInd/>
        <w:snapToGrid/>
        <w:spacing w:line="160" w:lineRule="atLeast"/>
        <w:ind w:right="0" w:right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发包方（甲方）：</w:t>
      </w:r>
      <w:r>
        <w:rPr>
          <w:rFonts w:hint="eastAsia" w:ascii="宋体" w:hAnsi="宋体" w:eastAsia="宋体" w:cs="宋体"/>
          <w:b w:val="0"/>
          <w:bCs w:val="0"/>
          <w:color w:val="000000" w:themeColor="text1"/>
          <w:sz w:val="24"/>
          <w:szCs w:val="24"/>
          <w:u w:val="single"/>
          <w:lang w:val="en-US" w:eastAsia="zh-CN"/>
          <w14:textFill>
            <w14:solidFill>
              <w14:schemeClr w14:val="tx1"/>
            </w14:solidFill>
          </w14:textFill>
        </w:rPr>
        <w:t xml:space="preserve">                    </w:t>
      </w:r>
    </w:p>
    <w:p w14:paraId="72C42F96">
      <w:pPr>
        <w:keepNext w:val="0"/>
        <w:keepLines w:val="0"/>
        <w:pageBreakBefore w:val="0"/>
        <w:widowControl w:val="0"/>
        <w:kinsoku/>
        <w:wordWrap/>
        <w:overflowPunct/>
        <w:topLinePunct w:val="0"/>
        <w:autoSpaceDE/>
        <w:autoSpaceDN/>
        <w:bidi w:val="0"/>
        <w:adjustRightInd/>
        <w:snapToGrid/>
        <w:spacing w:line="160" w:lineRule="atLeast"/>
        <w:ind w:right="0" w:right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w:t>
      </w:r>
    </w:p>
    <w:p w14:paraId="14EB41FF">
      <w:pPr>
        <w:keepNext w:val="0"/>
        <w:keepLines w:val="0"/>
        <w:pageBreakBefore w:val="0"/>
        <w:widowControl w:val="0"/>
        <w:kinsoku/>
        <w:wordWrap/>
        <w:overflowPunct/>
        <w:topLinePunct w:val="0"/>
        <w:autoSpaceDE/>
        <w:autoSpaceDN/>
        <w:bidi w:val="0"/>
        <w:adjustRightInd/>
        <w:snapToGrid/>
        <w:spacing w:line="160" w:lineRule="atLeast"/>
        <w:ind w:right="0" w:rightChars="0" w:firstLine="240" w:firstLineChars="100"/>
        <w:jc w:val="both"/>
        <w:textAlignment w:val="auto"/>
        <w:outlineLvl w:val="9"/>
        <w:rPr>
          <w:rFonts w:hint="eastAsia" w:ascii="宋体" w:hAnsi="宋体" w:eastAsia="宋体" w:cs="宋体"/>
          <w:color w:val="auto"/>
          <w:sz w:val="24"/>
          <w:szCs w:val="24"/>
          <w:highlight w:val="none"/>
          <w:u w:val="single"/>
          <w:lang w:val="en-US"/>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承包方（乙方）：</w:t>
      </w:r>
      <w:r>
        <w:rPr>
          <w:rFonts w:hint="eastAsia" w:ascii="宋体" w:hAnsi="宋体" w:eastAsia="宋体" w:cs="宋体"/>
          <w:b w:val="0"/>
          <w:bCs w:val="0"/>
          <w:color w:val="000000" w:themeColor="text1"/>
          <w:sz w:val="24"/>
          <w:szCs w:val="24"/>
          <w:u w:val="single"/>
          <w:lang w:val="en-US" w:eastAsia="zh-CN"/>
          <w14:textFill>
            <w14:solidFill>
              <w14:schemeClr w14:val="tx1"/>
            </w14:solidFill>
          </w14:textFill>
        </w:rPr>
        <w:t xml:space="preserve">                    </w:t>
      </w:r>
    </w:p>
    <w:p w14:paraId="46A64F88">
      <w:pPr>
        <w:keepNext w:val="0"/>
        <w:keepLines w:val="0"/>
        <w:pageBreakBefore w:val="0"/>
        <w:widowControl w:val="0"/>
        <w:kinsoku/>
        <w:wordWrap/>
        <w:overflowPunct/>
        <w:topLinePunct w:val="0"/>
        <w:autoSpaceDE/>
        <w:autoSpaceDN/>
        <w:bidi w:val="0"/>
        <w:adjustRightInd/>
        <w:snapToGrid/>
        <w:spacing w:line="120" w:lineRule="auto"/>
        <w:ind w:right="0" w:rightChars="0" w:firstLine="480" w:firstLineChars="200"/>
        <w:jc w:val="both"/>
        <w:textAlignment w:val="auto"/>
        <w:outlineLvl w:val="9"/>
        <w:rPr>
          <w:rFonts w:hint="eastAsia" w:ascii="宋体" w:hAnsi="宋体" w:eastAsia="宋体" w:cs="宋体"/>
          <w:color w:val="auto"/>
          <w:sz w:val="24"/>
          <w:szCs w:val="24"/>
          <w:highlight w:val="none"/>
        </w:rPr>
      </w:pPr>
    </w:p>
    <w:p w14:paraId="799C667E">
      <w:pPr>
        <w:keepNext w:val="0"/>
        <w:keepLines w:val="0"/>
        <w:pageBreakBefore w:val="0"/>
        <w:widowControl w:val="0"/>
        <w:kinsoku/>
        <w:wordWrap/>
        <w:overflowPunct/>
        <w:topLinePunct w:val="0"/>
        <w:autoSpaceDE/>
        <w:autoSpaceDN/>
        <w:bidi w:val="0"/>
        <w:adjustRightInd/>
        <w:snapToGrid/>
        <w:spacing w:line="580" w:lineRule="exact"/>
        <w:ind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rPr>
        <w:t>为了加强</w:t>
      </w:r>
      <w:r>
        <w:rPr>
          <w:rFonts w:hint="eastAsia" w:ascii="宋体" w:hAnsi="宋体" w:eastAsia="宋体" w:cs="宋体"/>
          <w:color w:val="auto"/>
          <w:sz w:val="24"/>
          <w:szCs w:val="24"/>
          <w:highlight w:val="none"/>
          <w:lang w:eastAsia="zh-CN"/>
        </w:rPr>
        <w:t>我</w:t>
      </w:r>
      <w:r>
        <w:rPr>
          <w:rFonts w:hint="eastAsia" w:ascii="宋体" w:hAnsi="宋体" w:eastAsia="宋体" w:cs="宋体"/>
          <w:color w:val="auto"/>
          <w:sz w:val="24"/>
          <w:szCs w:val="24"/>
          <w:highlight w:val="none"/>
          <w:lang w:val="en-US" w:eastAsia="zh-CN"/>
        </w:rPr>
        <w:t>司</w:t>
      </w:r>
      <w:r>
        <w:rPr>
          <w:rFonts w:hint="eastAsia" w:ascii="宋体" w:hAnsi="宋体" w:eastAsia="宋体" w:cs="宋体"/>
          <w:color w:val="auto"/>
          <w:sz w:val="24"/>
          <w:szCs w:val="24"/>
          <w:highlight w:val="none"/>
          <w:lang w:eastAsia="zh-CN"/>
        </w:rPr>
        <w:t>国有土</w:t>
      </w:r>
      <w:r>
        <w:rPr>
          <w:rFonts w:hint="eastAsia" w:ascii="宋体" w:hAnsi="宋体" w:eastAsia="宋体" w:cs="宋体"/>
          <w:color w:val="auto"/>
          <w:sz w:val="24"/>
          <w:szCs w:val="24"/>
          <w:highlight w:val="none"/>
        </w:rPr>
        <w:t>地管理，</w:t>
      </w:r>
      <w:r>
        <w:rPr>
          <w:rFonts w:hint="eastAsia" w:ascii="宋体" w:hAnsi="宋体" w:eastAsia="宋体" w:cs="宋体"/>
          <w:color w:val="auto"/>
          <w:sz w:val="24"/>
          <w:szCs w:val="24"/>
          <w:highlight w:val="none"/>
          <w:lang w:eastAsia="zh-CN"/>
        </w:rPr>
        <w:t>规范</w:t>
      </w:r>
      <w:r>
        <w:rPr>
          <w:rFonts w:hint="eastAsia" w:ascii="宋体" w:hAnsi="宋体" w:eastAsia="宋体" w:cs="宋体"/>
          <w:color w:val="auto"/>
          <w:sz w:val="24"/>
          <w:szCs w:val="24"/>
          <w:highlight w:val="none"/>
        </w:rPr>
        <w:t>国有土地</w:t>
      </w:r>
      <w:r>
        <w:rPr>
          <w:rFonts w:hint="eastAsia" w:ascii="宋体" w:hAnsi="宋体" w:eastAsia="宋体" w:cs="宋体"/>
          <w:color w:val="auto"/>
          <w:sz w:val="24"/>
          <w:szCs w:val="24"/>
          <w:highlight w:val="none"/>
          <w:lang w:eastAsia="zh-CN"/>
        </w:rPr>
        <w:t>承包经营、流转、转让等</w:t>
      </w:r>
      <w:r>
        <w:rPr>
          <w:rFonts w:hint="eastAsia" w:ascii="宋体" w:hAnsi="宋体" w:eastAsia="宋体" w:cs="宋体"/>
          <w:color w:val="auto"/>
          <w:sz w:val="24"/>
          <w:szCs w:val="24"/>
          <w:highlight w:val="none"/>
        </w:rPr>
        <w:t>经营</w:t>
      </w:r>
      <w:r>
        <w:rPr>
          <w:rFonts w:hint="eastAsia" w:ascii="宋体" w:hAnsi="宋体" w:eastAsia="宋体" w:cs="宋体"/>
          <w:color w:val="auto"/>
          <w:sz w:val="24"/>
          <w:szCs w:val="24"/>
          <w:highlight w:val="none"/>
          <w:lang w:eastAsia="zh-CN"/>
        </w:rPr>
        <w:t>行为</w:t>
      </w:r>
      <w:r>
        <w:rPr>
          <w:rFonts w:hint="eastAsia" w:ascii="宋体" w:hAnsi="宋体" w:eastAsia="宋体" w:cs="宋体"/>
          <w:color w:val="auto"/>
          <w:sz w:val="24"/>
          <w:szCs w:val="24"/>
          <w:highlight w:val="none"/>
        </w:rPr>
        <w:t>，依据《</w:t>
      </w:r>
      <w:r>
        <w:rPr>
          <w:rFonts w:hint="eastAsia" w:ascii="宋体" w:hAnsi="宋体" w:eastAsia="宋体" w:cs="宋体"/>
          <w:color w:val="auto"/>
          <w:sz w:val="24"/>
          <w:szCs w:val="24"/>
          <w:highlight w:val="none"/>
          <w:lang w:eastAsia="zh-CN"/>
        </w:rPr>
        <w:t>中华人民共和国土地管理法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中华人民共和国土地管理法实施条例</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海南自由贸易港土地管理条例</w:t>
      </w:r>
      <w:r>
        <w:rPr>
          <w:rFonts w:hint="eastAsia" w:ascii="宋体" w:hAnsi="宋体" w:eastAsia="宋体" w:cs="宋体"/>
          <w:color w:val="auto"/>
          <w:sz w:val="24"/>
          <w:szCs w:val="24"/>
          <w:highlight w:val="none"/>
        </w:rPr>
        <w:t>》《中华人民共和国农村土地承包法》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保亭黎族苗族自治县县属国有企业土地管理暂行规定》</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有关法律法规，</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甲、乙双方本着平等、自愿、有偿的原则，就保亭新星农场有限公司土地承包事宜，经双方协商一致，订立本合同。</w:t>
      </w:r>
    </w:p>
    <w:p w14:paraId="640FCE2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right="0" w:rightChars="0"/>
        <w:jc w:val="both"/>
        <w:textAlignment w:val="auto"/>
        <w:outlineLvl w:val="9"/>
        <w:rPr>
          <w:rFonts w:hint="eastAsia" w:ascii="宋体" w:hAnsi="宋体" w:eastAsia="宋体" w:cs="宋体"/>
          <w:b/>
          <w:bCs/>
          <w:color w:val="000000" w:themeColor="text1"/>
          <w:sz w:val="24"/>
          <w:szCs w:val="24"/>
          <w:u w:val="none"/>
          <w:lang w:val="en-US" w:eastAsia="zh-CN"/>
          <w14:textFill>
            <w14:solidFill>
              <w14:schemeClr w14:val="tx1"/>
            </w14:solidFill>
          </w14:textFill>
        </w:rPr>
      </w:pP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第一条  承包土地概况</w:t>
      </w:r>
    </w:p>
    <w:p w14:paraId="17AFEA6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1.承包土地的坐落：        </w:t>
      </w:r>
    </w:p>
    <w:p w14:paraId="460E222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2.土地性质属国有园地。 </w:t>
      </w:r>
    </w:p>
    <w:p w14:paraId="6D926A7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3.承包土地的用途：种植榴莲、红毛丹等高效农业作物。</w:t>
      </w:r>
    </w:p>
    <w:p w14:paraId="0010937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4.土地面积：</w:t>
      </w:r>
    </w:p>
    <w:p w14:paraId="02C720A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5.四至：详见宗地图。</w:t>
      </w:r>
    </w:p>
    <w:p w14:paraId="44F6563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6.土地承包期限为20年，从      年    月    日至  年    月    日止。</w:t>
      </w:r>
    </w:p>
    <w:p w14:paraId="5B202FD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7.宗地编号：</w:t>
      </w:r>
    </w:p>
    <w:p w14:paraId="276467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2" w:firstLineChars="200"/>
        <w:jc w:val="left"/>
        <w:textAlignment w:val="auto"/>
        <w:outlineLvl w:val="9"/>
        <w:rPr>
          <w:rFonts w:hint="eastAsia" w:ascii="宋体" w:hAnsi="宋体" w:eastAsia="宋体" w:cs="宋体"/>
          <w:b/>
          <w:bCs/>
          <w:color w:val="000000" w:themeColor="text1"/>
          <w:sz w:val="24"/>
          <w:szCs w:val="24"/>
          <w:u w:val="none"/>
          <w:lang w:val="en-US" w:eastAsia="zh-CN"/>
          <w14:textFill>
            <w14:solidFill>
              <w14:schemeClr w14:val="tx1"/>
            </w14:solidFill>
          </w14:textFill>
        </w:rPr>
      </w:pPr>
      <w:r>
        <w:rPr>
          <w:rFonts w:hint="eastAsia" w:ascii="宋体" w:hAnsi="宋体" w:eastAsia="宋体" w:cs="宋体"/>
          <w:b/>
          <w:bCs/>
          <w:color w:val="000000" w:themeColor="text1"/>
          <w:sz w:val="24"/>
          <w:szCs w:val="24"/>
          <w:u w:val="none"/>
          <w:lang w:val="en-US" w:eastAsia="zh-CN"/>
          <w14:textFill>
            <w14:solidFill>
              <w14:schemeClr w14:val="tx1"/>
            </w14:solidFill>
          </w14:textFill>
        </w:rPr>
        <w:t>第二条  承包费用</w:t>
      </w:r>
    </w:p>
    <w:p w14:paraId="7806E9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1.土地承包费收费标准：      元/亩/年。</w:t>
      </w:r>
    </w:p>
    <w:p w14:paraId="30B0A8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2.橡胶赔偿标准按甲方与海南天然橡胶产业集团股份有限公司金江分公司约定：       元/亩，总金额为：¥</w:t>
      </w:r>
      <w:r>
        <w:rPr>
          <w:rFonts w:hint="eastAsia" w:ascii="宋体" w:hAnsi="宋体" w:eastAsia="宋体" w:cs="宋体"/>
          <w:b w:val="0"/>
          <w:bCs w:val="0"/>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元，（大写：人民币        元整），由甲方代收并支付给海南天然橡胶产业集团股份有限公司金江分公司，甲方不提供发票，可开具收据。</w:t>
      </w:r>
    </w:p>
    <w:p w14:paraId="0F5E7B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3.土地承包费缴交登记表：见附件2。</w:t>
      </w:r>
    </w:p>
    <w:p w14:paraId="2C2B78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4.所有</w:t>
      </w:r>
      <w:r>
        <w:rPr>
          <w:rFonts w:hint="eastAsia" w:ascii="宋体" w:hAnsi="宋体" w:eastAsia="宋体" w:cs="宋体"/>
          <w:sz w:val="24"/>
          <w:szCs w:val="24"/>
          <w:highlight w:val="none"/>
          <w:lang w:eastAsia="zh-CN"/>
          <w:woUserID w:val="1"/>
        </w:rPr>
        <w:t>经营性</w:t>
      </w:r>
      <w:r>
        <w:rPr>
          <w:rFonts w:hint="eastAsia" w:ascii="宋体" w:hAnsi="宋体" w:eastAsia="宋体" w:cs="宋体"/>
          <w:sz w:val="24"/>
          <w:szCs w:val="24"/>
          <w:highlight w:val="none"/>
          <w:lang w:val="en-US" w:eastAsia="zh-CN"/>
        </w:rPr>
        <w:t>土地承包费按承包期</w:t>
      </w:r>
      <w:r>
        <w:rPr>
          <w:rFonts w:hint="eastAsia" w:ascii="宋体" w:hAnsi="宋体" w:eastAsia="宋体" w:cs="宋体"/>
          <w:sz w:val="24"/>
          <w:szCs w:val="24"/>
          <w:highlight w:val="none"/>
          <w:lang w:eastAsia="zh-CN"/>
          <w:woUserID w:val="1"/>
        </w:rPr>
        <w:t>开始</w:t>
      </w:r>
      <w:r>
        <w:rPr>
          <w:rFonts w:hint="eastAsia" w:ascii="宋体" w:hAnsi="宋体" w:eastAsia="宋体" w:cs="宋体"/>
          <w:sz w:val="24"/>
          <w:szCs w:val="24"/>
          <w:highlight w:val="none"/>
          <w:lang w:val="en-US" w:eastAsia="zh-CN"/>
        </w:rPr>
        <w:t>每5年递增</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woUserID w:val="1"/>
        </w:rPr>
        <w:t>，直到承包期结束</w:t>
      </w:r>
      <w:r>
        <w:rPr>
          <w:rFonts w:hint="eastAsia" w:ascii="宋体" w:hAnsi="宋体" w:eastAsia="宋体" w:cs="宋体"/>
          <w:sz w:val="24"/>
          <w:szCs w:val="24"/>
          <w:lang w:val="en-US" w:eastAsia="zh-CN"/>
        </w:rPr>
        <w:t>；如遇政府指导价格调整，则以政府调整价格</w:t>
      </w:r>
      <w:r>
        <w:rPr>
          <w:rFonts w:hint="eastAsia" w:ascii="宋体" w:hAnsi="宋体" w:eastAsia="宋体" w:cs="宋体"/>
          <w:sz w:val="24"/>
          <w:szCs w:val="24"/>
          <w:lang w:eastAsia="zh-CN"/>
          <w:woUserID w:val="1"/>
        </w:rPr>
        <w:t>的</w:t>
      </w:r>
      <w:r>
        <w:rPr>
          <w:rFonts w:hint="eastAsia" w:ascii="宋体" w:hAnsi="宋体" w:eastAsia="宋体" w:cs="宋体"/>
          <w:sz w:val="24"/>
          <w:szCs w:val="24"/>
          <w:lang w:val="en-US" w:eastAsia="zh-CN"/>
        </w:rPr>
        <w:t>时间重新计算</w:t>
      </w:r>
      <w:r>
        <w:rPr>
          <w:rFonts w:hint="eastAsia" w:ascii="宋体" w:hAnsi="宋体" w:eastAsia="宋体" w:cs="宋体"/>
          <w:sz w:val="24"/>
          <w:szCs w:val="24"/>
          <w:lang w:eastAsia="zh-CN"/>
          <w:woUserID w:val="1"/>
        </w:rPr>
        <w:t>，</w:t>
      </w:r>
      <w:r>
        <w:rPr>
          <w:rFonts w:hint="eastAsia" w:ascii="宋体" w:hAnsi="宋体" w:eastAsia="宋体" w:cs="宋体"/>
          <w:sz w:val="24"/>
          <w:szCs w:val="24"/>
          <w:lang w:val="en-US" w:eastAsia="zh-CN"/>
        </w:rPr>
        <w:t>每5年</w:t>
      </w:r>
      <w:r>
        <w:rPr>
          <w:rFonts w:hint="eastAsia" w:ascii="宋体" w:hAnsi="宋体" w:eastAsia="宋体" w:cs="宋体"/>
          <w:sz w:val="24"/>
          <w:szCs w:val="24"/>
          <w:lang w:eastAsia="zh-CN"/>
          <w:woUserID w:val="1"/>
        </w:rPr>
        <w:t>递增5%</w:t>
      </w:r>
      <w:r>
        <w:rPr>
          <w:rFonts w:hint="eastAsia" w:ascii="宋体" w:hAnsi="宋体" w:eastAsia="宋体" w:cs="宋体"/>
          <w:sz w:val="24"/>
          <w:szCs w:val="24"/>
          <w:lang w:val="en-US" w:eastAsia="zh-CN"/>
        </w:rPr>
        <w:t>。</w:t>
      </w:r>
    </w:p>
    <w:p w14:paraId="650BA960">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5.该地块</w:t>
      </w:r>
      <w:r>
        <w:rPr>
          <w:rFonts w:hint="eastAsia" w:ascii="宋体" w:hAnsi="宋体" w:eastAsia="宋体" w:cs="宋体"/>
          <w:sz w:val="24"/>
          <w:szCs w:val="24"/>
          <w:highlight w:val="none"/>
          <w:lang w:eastAsia="zh-CN"/>
          <w:woUserID w:val="1"/>
        </w:rPr>
        <w:t>按年为标准实行先付费后使用，即承包合同签订后5个工作日内，承包方应预缴第一年的土地承包费，同时按发包第一年的土地承包费标准</w:t>
      </w:r>
      <w:r>
        <w:rPr>
          <w:rFonts w:hint="eastAsia" w:ascii="宋体" w:hAnsi="宋体" w:eastAsia="宋体" w:cs="宋体"/>
          <w:sz w:val="24"/>
          <w:szCs w:val="24"/>
          <w:highlight w:val="none"/>
          <w:lang w:val="en-US" w:eastAsia="zh-CN"/>
        </w:rPr>
        <w:t>收取土地承包保证金</w:t>
      </w:r>
      <w:r>
        <w:rPr>
          <w:rFonts w:hint="eastAsia" w:ascii="宋体" w:hAnsi="宋体" w:eastAsia="宋体" w:cs="宋体"/>
          <w:sz w:val="24"/>
          <w:szCs w:val="24"/>
          <w:highlight w:val="none"/>
          <w:lang w:eastAsia="zh-CN"/>
          <w:woUserID w:val="1"/>
        </w:rPr>
        <w:t>。土地承包</w:t>
      </w:r>
      <w:r>
        <w:rPr>
          <w:rFonts w:hint="eastAsia" w:ascii="宋体" w:hAnsi="宋体" w:eastAsia="宋体" w:cs="宋体"/>
          <w:sz w:val="24"/>
          <w:szCs w:val="24"/>
          <w:highlight w:val="none"/>
          <w:lang w:val="en-US" w:eastAsia="zh-CN"/>
        </w:rPr>
        <w:t>保证金在该合同解除后退还至承包方</w:t>
      </w:r>
      <w:r>
        <w:rPr>
          <w:rFonts w:hint="eastAsia" w:ascii="宋体" w:hAnsi="宋体" w:eastAsia="宋体" w:cs="宋体"/>
          <w:sz w:val="24"/>
          <w:szCs w:val="24"/>
          <w:highlight w:val="none"/>
          <w:lang w:eastAsia="zh-CN"/>
          <w:woUserID w:val="1"/>
        </w:rPr>
        <w:t>。但如果承包方违约，造成发包方经济损失的，土地承包保证金则用于弥补发包方的实际经济损失，多退少补。</w:t>
      </w:r>
    </w:p>
    <w:p w14:paraId="73B064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6.缴费时间：自本合同签订之日起，每年度对应合同签订月份，乙方需按期缴清下一自然年度的土地使用相关费用。</w:t>
      </w:r>
    </w:p>
    <w:p w14:paraId="31409C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7.缴费方式为公对公转账，具体账号如下：</w:t>
      </w:r>
    </w:p>
    <w:p w14:paraId="53CB971E">
      <w:pPr>
        <w:keepNext w:val="0"/>
        <w:keepLines w:val="0"/>
        <w:pageBreakBefore w:val="0"/>
        <w:widowControl w:val="0"/>
        <w:kinsoku/>
        <w:wordWrap/>
        <w:overflowPunct/>
        <w:topLinePunct w:val="0"/>
        <w:autoSpaceDE/>
        <w:autoSpaceDN/>
        <w:bidi w:val="0"/>
        <w:adjustRightInd/>
        <w:snapToGrid/>
        <w:spacing w:line="360" w:lineRule="auto"/>
        <w:ind w:left="1003" w:leftChars="456" w:right="0" w:rightChars="0" w:firstLine="0" w:firstLine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i w:val="0"/>
          <w:iCs w:val="0"/>
          <w:caps w:val="0"/>
          <w:color w:val="171A1D"/>
          <w:spacing w:val="0"/>
          <w:sz w:val="24"/>
          <w:szCs w:val="24"/>
          <w:shd w:val="clear" w:fill="FFFFFF"/>
        </w:rPr>
        <w:t>开户名：</w:t>
      </w:r>
      <w:r>
        <w:rPr>
          <w:rFonts w:hint="eastAsia" w:ascii="宋体" w:hAnsi="宋体" w:eastAsia="宋体" w:cs="宋体"/>
          <w:b w:val="0"/>
          <w:bCs w:val="0"/>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 w:val="0"/>
          <w:iCs w:val="0"/>
          <w:caps w:val="0"/>
          <w:color w:val="171A1D"/>
          <w:spacing w:val="0"/>
          <w:sz w:val="24"/>
          <w:szCs w:val="24"/>
          <w:u w:val="single"/>
          <w:shd w:val="clear" w:fill="FFFFFF"/>
        </w:rPr>
        <w:br w:type="textWrapping"/>
      </w:r>
      <w:r>
        <w:rPr>
          <w:rFonts w:hint="eastAsia" w:ascii="宋体" w:hAnsi="宋体" w:eastAsia="宋体" w:cs="宋体"/>
          <w:i w:val="0"/>
          <w:iCs w:val="0"/>
          <w:caps w:val="0"/>
          <w:color w:val="171A1D"/>
          <w:spacing w:val="0"/>
          <w:sz w:val="24"/>
          <w:szCs w:val="24"/>
          <w:shd w:val="clear" w:fill="FFFFFF"/>
        </w:rPr>
        <w:t>账</w:t>
      </w:r>
      <w:r>
        <w:rPr>
          <w:rFonts w:hint="eastAsia" w:ascii="宋体" w:hAnsi="宋体" w:eastAsia="宋体" w:cs="宋体"/>
          <w:i w:val="0"/>
          <w:iCs w:val="0"/>
          <w:caps w:val="0"/>
          <w:color w:val="171A1D"/>
          <w:spacing w:val="0"/>
          <w:sz w:val="24"/>
          <w:szCs w:val="24"/>
          <w:shd w:val="clear" w:fill="FFFFFF"/>
          <w:lang w:val="en-US" w:eastAsia="zh-CN"/>
        </w:rPr>
        <w:t xml:space="preserve">  </w:t>
      </w:r>
      <w:r>
        <w:rPr>
          <w:rFonts w:hint="eastAsia" w:ascii="宋体" w:hAnsi="宋体" w:eastAsia="宋体" w:cs="宋体"/>
          <w:i w:val="0"/>
          <w:iCs w:val="0"/>
          <w:caps w:val="0"/>
          <w:color w:val="171A1D"/>
          <w:spacing w:val="0"/>
          <w:sz w:val="24"/>
          <w:szCs w:val="24"/>
          <w:shd w:val="clear" w:fill="FFFFFF"/>
        </w:rPr>
        <w:t>号：</w:t>
      </w:r>
      <w:r>
        <w:rPr>
          <w:rFonts w:hint="eastAsia" w:ascii="宋体" w:hAnsi="宋体" w:eastAsia="宋体" w:cs="宋体"/>
          <w:b w:val="0"/>
          <w:bCs w:val="0"/>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 w:val="0"/>
          <w:iCs w:val="0"/>
          <w:caps w:val="0"/>
          <w:color w:val="171A1D"/>
          <w:spacing w:val="0"/>
          <w:sz w:val="24"/>
          <w:szCs w:val="24"/>
          <w:u w:val="single"/>
          <w:shd w:val="clear" w:fill="FFFFFF"/>
        </w:rPr>
        <w:br w:type="textWrapping"/>
      </w:r>
      <w:r>
        <w:rPr>
          <w:rFonts w:hint="eastAsia" w:ascii="宋体" w:hAnsi="宋体" w:eastAsia="宋体" w:cs="宋体"/>
          <w:i w:val="0"/>
          <w:iCs w:val="0"/>
          <w:caps w:val="0"/>
          <w:color w:val="171A1D"/>
          <w:spacing w:val="0"/>
          <w:sz w:val="24"/>
          <w:szCs w:val="24"/>
          <w:shd w:val="clear" w:fill="FFFFFF"/>
        </w:rPr>
        <w:t>开户行：</w:t>
      </w:r>
      <w:r>
        <w:rPr>
          <w:rFonts w:hint="eastAsia" w:ascii="宋体" w:hAnsi="宋体" w:eastAsia="宋体" w:cs="宋体"/>
          <w:b w:val="0"/>
          <w:bCs w:val="0"/>
          <w:color w:val="000000" w:themeColor="text1"/>
          <w:sz w:val="24"/>
          <w:szCs w:val="24"/>
          <w:u w:val="single"/>
          <w:lang w:val="en-US" w:eastAsia="zh-CN"/>
          <w14:textFill>
            <w14:solidFill>
              <w14:schemeClr w14:val="tx1"/>
            </w14:solidFill>
          </w14:textFill>
        </w:rPr>
        <w:t xml:space="preserve">                             </w:t>
      </w:r>
    </w:p>
    <w:p w14:paraId="315434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241" w:firstLineChars="100"/>
        <w:jc w:val="left"/>
        <w:textAlignment w:val="auto"/>
        <w:outlineLvl w:val="9"/>
        <w:rPr>
          <w:rFonts w:hint="eastAsia" w:ascii="宋体" w:hAnsi="宋体" w:eastAsia="宋体" w:cs="宋体"/>
          <w:b/>
          <w:bCs/>
          <w:color w:val="000000" w:themeColor="text1"/>
          <w:sz w:val="24"/>
          <w:szCs w:val="24"/>
          <w:u w:val="none"/>
          <w:lang w:val="en-US" w:eastAsia="zh-CN"/>
          <w14:textFill>
            <w14:solidFill>
              <w14:schemeClr w14:val="tx1"/>
            </w14:solidFill>
          </w14:textFill>
        </w:rPr>
      </w:pPr>
      <w:r>
        <w:rPr>
          <w:rFonts w:hint="eastAsia" w:ascii="宋体" w:hAnsi="宋体" w:eastAsia="宋体" w:cs="宋体"/>
          <w:b/>
          <w:bCs/>
          <w:color w:val="000000" w:themeColor="text1"/>
          <w:sz w:val="24"/>
          <w:szCs w:val="24"/>
          <w:u w:val="none"/>
          <w:lang w:val="en-US" w:eastAsia="zh-CN"/>
          <w14:textFill>
            <w14:solidFill>
              <w14:schemeClr w14:val="tx1"/>
            </w14:solidFill>
          </w14:textFill>
        </w:rPr>
        <w:t>第三条 双方权利和义务</w:t>
      </w:r>
    </w:p>
    <w:p w14:paraId="04D7AC81">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甲方的权利和义务</w:t>
      </w:r>
    </w:p>
    <w:p w14:paraId="733BFDEC">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依照合同书的约定收取土地承包费，依照合同书约定的期限收回承包土地。</w:t>
      </w:r>
    </w:p>
    <w:p w14:paraId="574465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2.监督乙方按合同书的约定合理利用、保护土地，制止乙方损坏土地和其他农业资源的行为，并有权要求乙方赔偿由此造成的损失。</w:t>
      </w:r>
    </w:p>
    <w:p w14:paraId="347BE8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3.尊重乙方的生产经营自主权，不得干预乙方合法的生产经营活动。</w:t>
      </w:r>
    </w:p>
    <w:p w14:paraId="64D7DB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4.乙方申请国家和地方政府扶持政策时，甲方在其职责范围内提供必要的协助。</w:t>
      </w:r>
    </w:p>
    <w:p w14:paraId="6DB13A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5.因国家、地方政府或甲方开发建设规划需要，甲方有权收回承包土地，乙方须无条件配合、服从收回土地。地上农作物和附着物补偿按最新出台的《海南省征地青苗及地上附着物补偿标准》执行。</w:t>
      </w:r>
    </w:p>
    <w:p w14:paraId="3A3846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6.承包土地被政府依法收回时，甲方依法获得相应的土地补偿费和安置补助费。</w:t>
      </w:r>
    </w:p>
    <w:p w14:paraId="4F8F4D4C">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乙方的权利和义务</w:t>
      </w:r>
    </w:p>
    <w:p w14:paraId="05FBFAEC">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依法享有合同书约定的土地承包经营权，在法律、法规和政策允许范围内自主从事农业生产经营活动。</w:t>
      </w:r>
    </w:p>
    <w:p w14:paraId="0235D41D">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依照合同书的约定，按时足额向甲方缴纳土地承包费。</w:t>
      </w:r>
    </w:p>
    <w:p w14:paraId="4FCA92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3.保护承包土地完整不受侵占和农业基础设施不受破坏，不得擅自改变土地用途。</w:t>
      </w:r>
    </w:p>
    <w:p w14:paraId="6B1ADD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4.经营方式：乙方自主经营，自负盈亏，自我发展，自担风险。</w:t>
      </w:r>
    </w:p>
    <w:p w14:paraId="6A4F9D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5.</w:t>
      </w:r>
      <w:r>
        <w:rPr>
          <w:rFonts w:hint="eastAsia" w:ascii="宋体" w:hAnsi="宋体" w:eastAsia="宋体" w:cs="宋体"/>
          <w:b w:val="0"/>
          <w:bCs w:val="0"/>
          <w:color w:val="auto"/>
          <w:sz w:val="24"/>
          <w:szCs w:val="24"/>
          <w:u w:val="none"/>
          <w:lang w:val="en-US" w:eastAsia="zh-CN"/>
        </w:rPr>
        <w:t>未经甲方同意，乙方不得转包、转租、互换、入股、抵押、融资等。否则该合同视为无效合同。</w:t>
      </w:r>
    </w:p>
    <w:p w14:paraId="0F388B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6.地下各类资源，埋藏物、隐藏物不属于承包范围，乙方不得在承包地内进行采石、采矿、取土等破坏农业产业及盗采资源的行为，否则，将依法追究法律责任，</w:t>
      </w:r>
      <w:r>
        <w:rPr>
          <w:rFonts w:hint="eastAsia" w:ascii="宋体" w:hAnsi="宋体" w:eastAsia="宋体" w:cs="宋体"/>
          <w:b w:val="0"/>
          <w:bCs w:val="0"/>
          <w:color w:val="auto"/>
          <w:sz w:val="24"/>
          <w:szCs w:val="24"/>
          <w:u w:val="none"/>
          <w:lang w:val="en-US" w:eastAsia="zh-CN"/>
        </w:rPr>
        <w:t>包括但不限于解除合同等民事及刑事责任。</w:t>
      </w:r>
    </w:p>
    <w:p w14:paraId="2FC20E5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2" w:firstLineChars="200"/>
        <w:jc w:val="left"/>
        <w:textAlignment w:val="auto"/>
        <w:outlineLvl w:val="9"/>
        <w:rPr>
          <w:rFonts w:hint="eastAsia" w:ascii="宋体" w:hAnsi="宋体" w:eastAsia="宋体" w:cs="宋体"/>
          <w:b/>
          <w:bCs/>
          <w:color w:val="000000" w:themeColor="text1"/>
          <w:sz w:val="24"/>
          <w:szCs w:val="24"/>
          <w:u w:val="none"/>
          <w:lang w:val="en-US" w:eastAsia="zh-CN"/>
          <w14:textFill>
            <w14:solidFill>
              <w14:schemeClr w14:val="tx1"/>
            </w14:solidFill>
          </w14:textFill>
        </w:rPr>
      </w:pPr>
      <w:r>
        <w:rPr>
          <w:rFonts w:hint="eastAsia" w:ascii="宋体" w:hAnsi="宋体" w:eastAsia="宋体" w:cs="宋体"/>
          <w:b/>
          <w:bCs/>
          <w:color w:val="000000" w:themeColor="text1"/>
          <w:sz w:val="24"/>
          <w:szCs w:val="24"/>
          <w:u w:val="none"/>
          <w:lang w:val="en-US" w:eastAsia="zh-CN"/>
          <w14:textFill>
            <w14:solidFill>
              <w14:schemeClr w14:val="tx1"/>
            </w14:solidFill>
          </w14:textFill>
        </w:rPr>
        <w:t>第四条  合同的解除和终止</w:t>
      </w:r>
    </w:p>
    <w:p w14:paraId="2775EEE0">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承包方提出书面申请，自愿交回承包土地；</w:t>
      </w:r>
    </w:p>
    <w:p w14:paraId="3706DAE5">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承包方的全部承包地被依法征收、征用的；</w:t>
      </w:r>
    </w:p>
    <w:p w14:paraId="648DC9D2">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承包方的全部承包地通过转让方式流转的；</w:t>
      </w:r>
    </w:p>
    <w:p w14:paraId="33BE8472">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承包方的全部承包地被军事、能源、公共设施、公益事业建设依法占用的；</w:t>
      </w:r>
    </w:p>
    <w:p w14:paraId="120D0709">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承包期满不再发包或承包的：承包期限届满，本合同自动终止，青苗及地上附着物由乙方在承包期限届满之日起30日内自行处理，逾期未清理的，视为乙方放弃其所有权并同意归甲方所有。乙方如需继续承包，应当参加我司对该地块的招标、竞价，在同等条件下，乙方享有优先承包权；</w:t>
      </w:r>
    </w:p>
    <w:p w14:paraId="05A978BA">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订立合同所依据的法律、法规、规范性文件和有关政策发生调整和变化的，或遭遇不可抗力，致使合同无法继续履行的，或继续履行将损害国家、甲乙双方或其中一方利益的，可以解除合同；</w:t>
      </w:r>
    </w:p>
    <w:p w14:paraId="32B2107A">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乙方有以下情形之一的，甲方可以解除合同，无偿收回承包土地，乙方在承包土地上的青苗及地上附着物等所有动产及不动产由乙方自行限期处理，甲方不作任何赔偿，无偿收回土地：</w:t>
      </w:r>
    </w:p>
    <w:p w14:paraId="1FF047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1.利用土地从事违法生产、经营的；</w:t>
      </w:r>
    </w:p>
    <w:p w14:paraId="77F7FB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2.擅自改变合同约定的土地用途的；</w:t>
      </w:r>
    </w:p>
    <w:p w14:paraId="46F397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3.对承包土地弃耕撂荒1年；</w:t>
      </w:r>
    </w:p>
    <w:p w14:paraId="5CF6EC2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4.拖欠或未足额缴纳土地承包费1年，对于恶意拖欠土地承包费甲方可随时无偿收回承包土地；</w:t>
      </w:r>
    </w:p>
    <w:p w14:paraId="3A0512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5.破坏农业基础设施或土地、水源等进行毁灭性、破坏性、伤害性的操作和生产的；</w:t>
      </w:r>
    </w:p>
    <w:p w14:paraId="49C230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6.未经甲方书面同意，擅自将承包土地以转租、转包、互换、转让、融资或入股等方式流转的。</w:t>
      </w:r>
    </w:p>
    <w:p w14:paraId="17C8A8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2" w:firstLineChars="200"/>
        <w:jc w:val="both"/>
        <w:textAlignment w:val="auto"/>
        <w:outlineLvl w:val="9"/>
        <w:rPr>
          <w:rFonts w:hint="eastAsia" w:ascii="宋体" w:hAnsi="宋体" w:eastAsia="宋体" w:cs="宋体"/>
          <w:b/>
          <w:bCs/>
          <w:color w:val="000000" w:themeColor="text1"/>
          <w:sz w:val="24"/>
          <w:szCs w:val="24"/>
          <w:u w:val="none"/>
          <w:lang w:val="en-US" w:eastAsia="zh-CN"/>
          <w14:textFill>
            <w14:solidFill>
              <w14:schemeClr w14:val="tx1"/>
            </w14:solidFill>
          </w14:textFill>
        </w:rPr>
      </w:pPr>
      <w:r>
        <w:rPr>
          <w:rFonts w:hint="eastAsia" w:ascii="宋体" w:hAnsi="宋体" w:eastAsia="宋体" w:cs="宋体"/>
          <w:b/>
          <w:bCs/>
          <w:color w:val="000000" w:themeColor="text1"/>
          <w:sz w:val="24"/>
          <w:szCs w:val="24"/>
          <w:u w:val="none"/>
          <w:lang w:val="en-US" w:eastAsia="zh-CN"/>
          <w14:textFill>
            <w14:solidFill>
              <w14:schemeClr w14:val="tx1"/>
            </w14:solidFill>
          </w14:textFill>
        </w:rPr>
        <w:t>第五条 合同转让</w:t>
      </w:r>
    </w:p>
    <w:p w14:paraId="5BE90F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1.合同转让指的是在承包方和接包方按“依法、自愿、有偿”的原则，对土地承包经营权进行流转、转让、转租等，并在发包方同意后办理土地承包合同名字的变更；</w:t>
      </w:r>
    </w:p>
    <w:p w14:paraId="0AF000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2.承包方将土地承包经营权流转或转让产生的增值部分，经评估后，增值部分50％归发包方所有；</w:t>
      </w:r>
    </w:p>
    <w:p w14:paraId="7CA4DD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3.受让方享有原承包方的权利和义务；</w:t>
      </w:r>
    </w:p>
    <w:p w14:paraId="25D04676">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right="0" w:rightChars="0" w:firstLine="480" w:firstLineChars="200"/>
        <w:jc w:val="both"/>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shd w:val="clear"/>
          <w:lang w:val="en-US" w:eastAsia="zh-CN"/>
        </w:rPr>
        <w:t>4.土地承包经营权流转、转让期限不超过原承包合同的剩余年限。</w:t>
      </w:r>
    </w:p>
    <w:p w14:paraId="7B6D22EA">
      <w:pPr>
        <w:keepNext w:val="0"/>
        <w:keepLines w:val="0"/>
        <w:pageBreakBefore w:val="0"/>
        <w:widowControl w:val="0"/>
        <w:numPr>
          <w:ilvl w:val="0"/>
          <w:numId w:val="7"/>
        </w:numPr>
        <w:shd w:val="clear"/>
        <w:kinsoku/>
        <w:wordWrap/>
        <w:overflowPunct/>
        <w:topLinePunct w:val="0"/>
        <w:autoSpaceDE/>
        <w:autoSpaceDN/>
        <w:bidi w:val="0"/>
        <w:adjustRightInd/>
        <w:snapToGrid/>
        <w:spacing w:line="560" w:lineRule="exact"/>
        <w:ind w:left="0" w:leftChars="0" w:right="0" w:rightChars="0" w:firstLine="482" w:firstLineChars="200"/>
        <w:jc w:val="both"/>
        <w:textAlignment w:val="auto"/>
        <w:outlineLvl w:val="9"/>
        <w:rPr>
          <w:rFonts w:hint="eastAsia" w:ascii="宋体" w:hAnsi="宋体" w:eastAsia="宋体" w:cs="宋体"/>
          <w:b/>
          <w:bCs/>
          <w:color w:val="000000" w:themeColor="text1"/>
          <w:sz w:val="24"/>
          <w:szCs w:val="24"/>
          <w:u w:val="none"/>
          <w:lang w:val="en-US" w:eastAsia="zh-CN"/>
          <w14:textFill>
            <w14:solidFill>
              <w14:schemeClr w14:val="tx1"/>
            </w14:solidFill>
          </w14:textFill>
        </w:rPr>
      </w:pP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违约责任</w:t>
      </w:r>
    </w:p>
    <w:p w14:paraId="13242848">
      <w:pPr>
        <w:keepNext w:val="0"/>
        <w:keepLines w:val="0"/>
        <w:pageBreakBefore w:val="0"/>
        <w:widowControl w:val="0"/>
        <w:numPr>
          <w:ilvl w:val="0"/>
          <w:numId w:val="8"/>
        </w:numPr>
        <w:shd w:val="clea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土地承包合同签订后1年内，</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甲方未依合同约定将承包土地交付乙方的，乙方有权解除合同。合同解除后，甲方应当将乙方支付的承包费退还乙方；</w:t>
      </w:r>
    </w:p>
    <w:p w14:paraId="77A18B3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乙方不缴或</w:t>
      </w:r>
      <w:r>
        <w:rPr>
          <w:rFonts w:hint="eastAsia" w:ascii="宋体" w:hAnsi="宋体" w:eastAsia="宋体" w:cs="宋体"/>
          <w:b w:val="0"/>
          <w:bCs w:val="0"/>
          <w:color w:val="auto"/>
          <w:sz w:val="24"/>
          <w:szCs w:val="24"/>
          <w:u w:val="none"/>
          <w:lang w:val="en-US" w:eastAsia="zh-CN"/>
        </w:rPr>
        <w:t>未足额缴纳</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土地承包费的，</w:t>
      </w:r>
      <w:r>
        <w:rPr>
          <w:rFonts w:hint="eastAsia" w:ascii="宋体" w:hAnsi="宋体" w:eastAsia="宋体" w:cs="宋体"/>
          <w:b w:val="0"/>
          <w:bCs w:val="0"/>
          <w:strike w:val="0"/>
          <w:dstrike w:val="0"/>
          <w:color w:val="000000" w:themeColor="text1"/>
          <w:sz w:val="24"/>
          <w:szCs w:val="24"/>
          <w:u w:val="none"/>
          <w:lang w:val="en-US" w:eastAsia="zh-CN"/>
          <w14:textFill>
            <w14:solidFill>
              <w14:schemeClr w14:val="tx1"/>
            </w14:solidFill>
          </w14:textFill>
        </w:rPr>
        <w:t>逾期每日</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按照当年应缴承包费每日1‰的标准，向甲方支付违约金；</w:t>
      </w:r>
    </w:p>
    <w:p w14:paraId="5D7FA90A">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以下情形，留在租赁地上的青苗及地上附着物视为乙方遗弃物，甲方有权自行处置，收益归甲方：</w:t>
      </w:r>
    </w:p>
    <w:p w14:paraId="093E87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1.合同解除、终止后30日内未处理地上青苗及附着物；</w:t>
      </w:r>
    </w:p>
    <w:p w14:paraId="6EAD36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2.因国家、地方政府或甲方开发建设需要收回承包土地，经甲方通知后，乙方不按时搬迁及处理青苗及地上附着物的。</w:t>
      </w:r>
    </w:p>
    <w:p w14:paraId="7C7D0F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2" w:firstLineChars="200"/>
        <w:jc w:val="both"/>
        <w:textAlignment w:val="auto"/>
        <w:outlineLvl w:val="9"/>
        <w:rPr>
          <w:rFonts w:hint="eastAsia" w:ascii="宋体" w:hAnsi="宋体" w:eastAsia="宋体" w:cs="宋体"/>
          <w:b/>
          <w:bCs/>
          <w:color w:val="000000" w:themeColor="text1"/>
          <w:sz w:val="24"/>
          <w:szCs w:val="24"/>
          <w:u w:val="none"/>
          <w:lang w:val="en-US" w:eastAsia="zh-CN"/>
          <w14:textFill>
            <w14:solidFill>
              <w14:schemeClr w14:val="tx1"/>
            </w14:solidFill>
          </w14:textFill>
        </w:rPr>
      </w:pPr>
      <w:r>
        <w:rPr>
          <w:rFonts w:hint="eastAsia" w:ascii="宋体" w:hAnsi="宋体" w:eastAsia="宋体" w:cs="宋体"/>
          <w:b/>
          <w:bCs/>
          <w:color w:val="000000" w:themeColor="text1"/>
          <w:sz w:val="24"/>
          <w:szCs w:val="24"/>
          <w:u w:val="none"/>
          <w:lang w:val="en-US" w:eastAsia="zh-CN"/>
          <w14:textFill>
            <w14:solidFill>
              <w14:schemeClr w14:val="tx1"/>
            </w14:solidFill>
          </w14:textFill>
        </w:rPr>
        <w:t>第七条  其他约定</w:t>
      </w:r>
    </w:p>
    <w:p w14:paraId="0E5981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（一）因国家有关法律法规或有关政策的调整，造成本合同条款与新规定不相符的，甲乙双方应当根据新规定修改合同条款；</w:t>
      </w:r>
    </w:p>
    <w:p w14:paraId="072D17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（二）若该地块存在未发现所有争议事项和二次青苗、墓地等所有补偿款，由乙方自行负责处理，甲方不承担任何责任；</w:t>
      </w:r>
    </w:p>
    <w:p w14:paraId="6CF273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（三）本合同履行期间发生争议，由双方协商解决。协商不成的，任何一方可向承包土地所在地有管辖权的人民法院提起诉讼；</w:t>
      </w:r>
    </w:p>
    <w:p w14:paraId="132FFB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（四）本合同未尽事宜，由双方共同协商，达成一致意见，形成书面补充协议。补充协议与本合同具有同等法律效力；</w:t>
      </w:r>
    </w:p>
    <w:p w14:paraId="32E73C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（五）本合同一式叁份，甲方持两份，乙方一份，自双方签字盖章之日起生效；</w:t>
      </w:r>
    </w:p>
    <w:p w14:paraId="20C79C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（六）双方约定的其他事项。</w:t>
      </w:r>
    </w:p>
    <w:p w14:paraId="2D7BE1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p>
    <w:p w14:paraId="63EE66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p>
    <w:p w14:paraId="1C69DFD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附件：1.宗地图</w:t>
      </w:r>
    </w:p>
    <w:p w14:paraId="23DB1C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1200" w:firstLineChars="50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2.土地承包费缴交登记表</w:t>
      </w:r>
    </w:p>
    <w:p w14:paraId="32E8EE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left"/>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p>
    <w:p w14:paraId="72DBF4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甲方（盖章）：                 乙方（盖章）：</w:t>
      </w:r>
    </w:p>
    <w:p w14:paraId="07A96E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p>
    <w:p w14:paraId="551D78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法定代表人（签名）：           法定代表人（签名）：</w:t>
      </w:r>
    </w:p>
    <w:p w14:paraId="32B810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p>
    <w:p w14:paraId="3FF688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2400" w:firstLineChars="10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sectPr>
          <w:footerReference r:id="rId8"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签订时间：    年   月   日</w:t>
      </w:r>
    </w:p>
    <w:tbl>
      <w:tblPr>
        <w:tblStyle w:val="17"/>
        <w:tblW w:w="8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5"/>
        <w:gridCol w:w="880"/>
        <w:gridCol w:w="3085"/>
        <w:gridCol w:w="3495"/>
      </w:tblGrid>
      <w:tr w14:paraId="75890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55" w:type="dxa"/>
            <w:tcBorders>
              <w:top w:val="nil"/>
              <w:left w:val="nil"/>
              <w:bottom w:val="nil"/>
              <w:right w:val="nil"/>
            </w:tcBorders>
            <w:shd w:val="clear" w:color="auto" w:fill="auto"/>
            <w:noWrap/>
            <w:vAlign w:val="center"/>
          </w:tcPr>
          <w:p w14:paraId="4680F483">
            <w:pPr>
              <w:keepNext w:val="0"/>
              <w:keepLines w:val="0"/>
              <w:widowControl/>
              <w:suppressLineNumbers w:val="0"/>
              <w:spacing w:before="0" w:beforeAutospacing="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附件2</w:t>
            </w:r>
          </w:p>
        </w:tc>
        <w:tc>
          <w:tcPr>
            <w:tcW w:w="7460" w:type="dxa"/>
            <w:gridSpan w:val="3"/>
            <w:tcBorders>
              <w:top w:val="nil"/>
              <w:left w:val="nil"/>
              <w:bottom w:val="nil"/>
              <w:right w:val="nil"/>
            </w:tcBorders>
            <w:shd w:val="clear" w:color="auto" w:fill="auto"/>
            <w:noWrap/>
            <w:vAlign w:val="center"/>
          </w:tcPr>
          <w:p w14:paraId="2032F273">
            <w:pPr>
              <w:keepNext w:val="0"/>
              <w:keepLines w:val="0"/>
              <w:widowControl/>
              <w:suppressLineNumbers w:val="0"/>
              <w:spacing w:before="0" w:beforeAutospacing="0" w:afterAutospacing="0"/>
              <w:ind w:left="0" w:right="0"/>
              <w:jc w:val="center"/>
              <w:textAlignment w:val="center"/>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36"/>
                <w:szCs w:val="36"/>
                <w:u w:val="none"/>
                <w:lang w:val="en-US" w:eastAsia="zh-CN" w:bidi="ar"/>
              </w:rPr>
              <w:t>土地承包费缴交登记表</w:t>
            </w:r>
          </w:p>
        </w:tc>
      </w:tr>
      <w:tr w14:paraId="7D5DA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55" w:type="dxa"/>
            <w:tcBorders>
              <w:top w:val="nil"/>
              <w:left w:val="nil"/>
              <w:bottom w:val="nil"/>
              <w:right w:val="nil"/>
            </w:tcBorders>
            <w:shd w:val="clear" w:color="auto" w:fill="auto"/>
            <w:noWrap/>
            <w:vAlign w:val="center"/>
          </w:tcPr>
          <w:p w14:paraId="4323ECBA">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7460" w:type="dxa"/>
            <w:gridSpan w:val="3"/>
            <w:tcBorders>
              <w:top w:val="nil"/>
              <w:left w:val="nil"/>
              <w:bottom w:val="nil"/>
              <w:right w:val="nil"/>
            </w:tcBorders>
            <w:shd w:val="clear" w:color="auto" w:fill="auto"/>
            <w:noWrap/>
            <w:vAlign w:val="center"/>
          </w:tcPr>
          <w:p w14:paraId="30C03667">
            <w:pPr>
              <w:keepNext w:val="0"/>
              <w:keepLines w:val="0"/>
              <w:widowControl/>
              <w:suppressLineNumbers w:val="0"/>
              <w:spacing w:before="0" w:beforeAutospacing="0" w:afterAutospacing="0"/>
              <w:ind w:left="0" w:right="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缴费人：                              联系电话：</w:t>
            </w:r>
          </w:p>
        </w:tc>
      </w:tr>
      <w:tr w14:paraId="48CED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855" w:type="dxa"/>
            <w:tcBorders>
              <w:top w:val="nil"/>
              <w:left w:val="nil"/>
              <w:bottom w:val="nil"/>
              <w:right w:val="nil"/>
            </w:tcBorders>
            <w:shd w:val="clear" w:color="auto" w:fill="auto"/>
            <w:noWrap/>
            <w:vAlign w:val="center"/>
          </w:tcPr>
          <w:p w14:paraId="3926333C">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7460" w:type="dxa"/>
            <w:gridSpan w:val="3"/>
            <w:tcBorders>
              <w:top w:val="nil"/>
              <w:left w:val="nil"/>
              <w:bottom w:val="nil"/>
              <w:right w:val="nil"/>
            </w:tcBorders>
            <w:shd w:val="clear" w:color="auto" w:fill="auto"/>
            <w:noWrap/>
            <w:vAlign w:val="center"/>
          </w:tcPr>
          <w:p w14:paraId="32AFC544">
            <w:pPr>
              <w:keepNext w:val="0"/>
              <w:keepLines w:val="0"/>
              <w:widowControl/>
              <w:suppressLineNumbers w:val="0"/>
              <w:spacing w:before="0" w:beforeAutospacing="0" w:afterAutospacing="0"/>
              <w:ind w:left="0" w:right="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地址：</w:t>
            </w:r>
          </w:p>
        </w:tc>
      </w:tr>
      <w:tr w14:paraId="6C1EC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855" w:type="dxa"/>
            <w:tcBorders>
              <w:top w:val="nil"/>
              <w:left w:val="nil"/>
              <w:bottom w:val="nil"/>
              <w:right w:val="nil"/>
            </w:tcBorders>
            <w:shd w:val="clear" w:color="auto" w:fill="auto"/>
            <w:noWrap/>
            <w:vAlign w:val="center"/>
          </w:tcPr>
          <w:p w14:paraId="006D6305">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912B2">
            <w:pPr>
              <w:keepNext w:val="0"/>
              <w:keepLines w:val="0"/>
              <w:widowControl/>
              <w:suppressLineNumbers w:val="0"/>
              <w:spacing w:before="0" w:beforeAutospacing="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年份</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B5D4">
            <w:pPr>
              <w:keepNext w:val="0"/>
              <w:keepLines w:val="0"/>
              <w:widowControl/>
              <w:suppressLineNumbers w:val="0"/>
              <w:spacing w:before="0" w:beforeAutospacing="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土地承包单价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（元/亩）</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11B93">
            <w:pPr>
              <w:keepNext w:val="0"/>
              <w:keepLines w:val="0"/>
              <w:widowControl/>
              <w:suppressLineNumbers w:val="0"/>
              <w:spacing w:before="0" w:beforeAutospacing="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土地承包总金额</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（元）</w:t>
            </w:r>
          </w:p>
        </w:tc>
      </w:tr>
      <w:tr w14:paraId="54D95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5F23733A">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6330A">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B2CB6">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E0BC1">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51F0D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4BAAC724">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CAC0F">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56496">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AC4FE">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5230B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7BA79FBC">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38374">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1247D">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39B1F">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39285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69215C76">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256AB">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9AD7">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DBA02">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EDDB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335C6FA0">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7F671">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90293">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3A702">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1B5E8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07B05B77">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8528E">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798D9">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A1B9">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1055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1BD32DD1">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641AF">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11FB8">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F47BB">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2297B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08693592">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90B2C">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B4CFF">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C07D">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351AD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1E1E51BD">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51542">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B95D">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529D5">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D3C5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31848CDE">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17BDE">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AE35B">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B4199">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7B50F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671EB0F6">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B744D">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156DE">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CA7F3">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32B2F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27C4BECB">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45710">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4815B">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BC33E">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2AE11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1F4E0F48">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98E3E">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BF254">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A96CE">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13ACD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6A85FB40">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8A46E">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C495A">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13A46">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25B55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2930F9C3">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327F4">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B1D07">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7F7D5">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39F3C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28F63383">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BDA5B">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35121">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D6B03">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0B4F9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855" w:type="dxa"/>
            <w:tcBorders>
              <w:top w:val="nil"/>
              <w:left w:val="nil"/>
              <w:bottom w:val="nil"/>
              <w:right w:val="nil"/>
            </w:tcBorders>
            <w:shd w:val="clear" w:color="auto" w:fill="auto"/>
            <w:noWrap/>
            <w:vAlign w:val="center"/>
          </w:tcPr>
          <w:p w14:paraId="47ABF63C">
            <w:pPr>
              <w:keepNext w:val="0"/>
              <w:keepLines w:val="0"/>
              <w:widowControl/>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FCFB">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合计</w:t>
            </w:r>
          </w:p>
        </w:tc>
        <w:tc>
          <w:tcPr>
            <w:tcW w:w="3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896DF">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4737F">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bl>
    <w:p w14:paraId="42F2D991">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firstLine="480" w:firstLineChars="200"/>
        <w:jc w:val="both"/>
        <w:textAlignment w:val="auto"/>
        <w:outlineLvl w:val="9"/>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p>
    <w:p w14:paraId="62DCBF3E">
      <w:pPr>
        <w:keepNext w:val="0"/>
        <w:keepLines w:val="0"/>
        <w:pageBreakBefore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szCs w:val="24"/>
          <w:lang w:val="en-US" w:eastAsia="zh-CN"/>
        </w:rPr>
        <w:sectPr>
          <w:pgSz w:w="11906" w:h="16838"/>
          <w:pgMar w:top="1440" w:right="1797" w:bottom="1440" w:left="1797" w:header="851" w:footer="992" w:gutter="0"/>
          <w:pgNumType w:fmt="decimal"/>
          <w:cols w:space="720" w:num="1"/>
          <w:docGrid w:linePitch="312" w:charSpace="0"/>
        </w:sectPr>
      </w:pPr>
    </w:p>
    <w:p w14:paraId="491FE49A">
      <w:pPr>
        <w:keepNext w:val="0"/>
        <w:keepLines w:val="0"/>
        <w:pageBreakBefore w:val="0"/>
        <w:widowControl/>
        <w:kinsoku/>
        <w:wordWrap/>
        <w:overflowPunct/>
        <w:topLinePunct w:val="0"/>
        <w:autoSpaceDE/>
        <w:autoSpaceDN/>
        <w:bidi w:val="0"/>
        <w:adjustRightInd/>
        <w:snapToGrid/>
        <w:ind w:firstLine="0" w:firstLineChars="0"/>
        <w:jc w:val="center"/>
        <w:textAlignment w:val="auto"/>
        <w:outlineLvl w:val="0"/>
        <w:rPr>
          <w:rFonts w:hint="eastAsia" w:ascii="宋体" w:hAnsi="宋体" w:eastAsia="宋体" w:cs="宋体"/>
          <w:b/>
          <w:bCs/>
          <w:color w:val="auto"/>
          <w:kern w:val="44"/>
          <w:sz w:val="36"/>
          <w:szCs w:val="32"/>
          <w:highlight w:val="none"/>
          <w:lang w:val="en-US" w:eastAsia="zh-CN" w:bidi="ar-SA"/>
        </w:rPr>
      </w:pPr>
      <w:r>
        <w:rPr>
          <w:rFonts w:hint="eastAsia" w:ascii="宋体" w:hAnsi="宋体" w:eastAsia="宋体" w:cs="宋体"/>
          <w:b/>
          <w:bCs/>
          <w:color w:val="auto"/>
          <w:kern w:val="44"/>
          <w:sz w:val="36"/>
          <w:szCs w:val="32"/>
          <w:highlight w:val="none"/>
          <w:lang w:val="en-US" w:eastAsia="zh-CN" w:bidi="ar-SA"/>
        </w:rPr>
        <w:t>第五章</w:t>
      </w:r>
      <w:bookmarkStart w:id="29" w:name="_Ref467988698"/>
      <w:r>
        <w:rPr>
          <w:rFonts w:hint="eastAsia" w:ascii="宋体" w:hAnsi="宋体" w:eastAsia="宋体" w:cs="宋体"/>
          <w:b/>
          <w:bCs/>
          <w:color w:val="auto"/>
          <w:kern w:val="44"/>
          <w:sz w:val="36"/>
          <w:szCs w:val="32"/>
          <w:highlight w:val="none"/>
          <w:lang w:val="en-US" w:eastAsia="zh-CN" w:bidi="ar-SA"/>
        </w:rPr>
        <w:t xml:space="preserve"> </w:t>
      </w:r>
      <w:bookmarkEnd w:id="29"/>
      <w:r>
        <w:rPr>
          <w:rFonts w:hint="eastAsia" w:ascii="宋体" w:hAnsi="宋体" w:eastAsia="宋体" w:cs="宋体"/>
          <w:b/>
          <w:bCs/>
          <w:color w:val="auto"/>
          <w:kern w:val="44"/>
          <w:sz w:val="36"/>
          <w:szCs w:val="32"/>
          <w:highlight w:val="none"/>
          <w:lang w:val="en-US" w:eastAsia="zh-CN" w:bidi="ar-SA"/>
        </w:rPr>
        <w:t xml:space="preserve"> 磋商响应文件格式</w:t>
      </w:r>
      <w:bookmarkEnd w:id="26"/>
      <w:bookmarkEnd w:id="27"/>
      <w:bookmarkEnd w:id="28"/>
    </w:p>
    <w:p w14:paraId="01126F75">
      <w:pPr>
        <w:keepNext/>
        <w:keepLines/>
        <w:spacing w:before="260" w:after="260" w:line="413" w:lineRule="auto"/>
        <w:rPr>
          <w:rFonts w:ascii="宋体" w:hAnsi="宋体" w:eastAsia="宋体" w:cs="宋体"/>
          <w:b/>
          <w:color w:val="auto"/>
          <w:spacing w:val="-17"/>
          <w:sz w:val="24"/>
          <w:highlight w:val="none"/>
        </w:rPr>
      </w:pPr>
      <w:r>
        <w:rPr>
          <w:rFonts w:ascii="宋体" w:hAnsi="宋体" w:eastAsia="宋体" w:cs="宋体"/>
          <w:b/>
          <w:color w:val="auto"/>
          <w:spacing w:val="-17"/>
          <w:sz w:val="24"/>
          <w:highlight w:val="none"/>
        </w:rPr>
        <w:t>封面格式：以下为参考格式，投标供应商可自行排版，但必须包含磋商文件中要求的内容。</w:t>
      </w:r>
    </w:p>
    <w:p w14:paraId="7C86B997">
      <w:pPr>
        <w:spacing w:line="360" w:lineRule="auto"/>
        <w:rPr>
          <w:rFonts w:ascii="宋体" w:hAnsi="宋体" w:eastAsia="宋体" w:cs="宋体"/>
          <w:b/>
          <w:color w:val="auto"/>
          <w:sz w:val="32"/>
          <w:szCs w:val="32"/>
          <w:highlight w:val="none"/>
        </w:rPr>
      </w:pPr>
    </w:p>
    <w:p w14:paraId="5428F66F">
      <w:pPr>
        <w:spacing w:line="360" w:lineRule="auto"/>
        <w:ind w:firstLine="482" w:firstLineChars="150"/>
        <w:rPr>
          <w:rFonts w:ascii="宋体" w:hAnsi="宋体" w:eastAsia="宋体" w:cs="宋体"/>
          <w:b/>
          <w:color w:val="auto"/>
          <w:sz w:val="32"/>
          <w:szCs w:val="32"/>
          <w:highlight w:val="none"/>
          <w:u w:val="single"/>
        </w:rPr>
      </w:pPr>
      <w:r>
        <w:rPr>
          <w:rFonts w:ascii="宋体" w:hAnsi="宋体" w:eastAsia="宋体" w:cs="宋体"/>
          <w:b/>
          <w:color w:val="auto"/>
          <w:sz w:val="32"/>
          <w:szCs w:val="32"/>
          <w:highlight w:val="none"/>
        </w:rPr>
        <w:t>项目名称：</w:t>
      </w:r>
    </w:p>
    <w:p w14:paraId="7BD30A00">
      <w:pPr>
        <w:spacing w:line="360" w:lineRule="auto"/>
        <w:ind w:firstLine="482" w:firstLineChars="150"/>
        <w:rPr>
          <w:rFonts w:hint="eastAsia" w:ascii="宋体" w:hAnsi="宋体" w:eastAsia="宋体" w:cs="宋体"/>
          <w:b/>
          <w:color w:val="auto"/>
          <w:sz w:val="32"/>
          <w:szCs w:val="32"/>
          <w:highlight w:val="none"/>
          <w:lang w:val="en-US" w:eastAsia="zh-CN"/>
        </w:rPr>
      </w:pPr>
      <w:r>
        <w:rPr>
          <w:rFonts w:ascii="宋体" w:hAnsi="宋体" w:eastAsia="宋体" w:cs="宋体"/>
          <w:b/>
          <w:color w:val="auto"/>
          <w:sz w:val="32"/>
          <w:szCs w:val="32"/>
          <w:highlight w:val="none"/>
        </w:rPr>
        <w:t>项目编号</w:t>
      </w:r>
      <w:r>
        <w:rPr>
          <w:rFonts w:hint="eastAsia" w:ascii="宋体" w:hAnsi="宋体" w:eastAsia="宋体" w:cs="宋体"/>
          <w:b/>
          <w:color w:val="auto"/>
          <w:sz w:val="32"/>
          <w:szCs w:val="32"/>
          <w:highlight w:val="none"/>
          <w:lang w:val="en-US" w:eastAsia="zh-CN"/>
        </w:rPr>
        <w:t>：</w:t>
      </w:r>
    </w:p>
    <w:p w14:paraId="6FD98418">
      <w:pPr>
        <w:spacing w:line="360" w:lineRule="auto"/>
        <w:ind w:firstLine="482" w:firstLineChars="150"/>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标段：</w:t>
      </w:r>
    </w:p>
    <w:p w14:paraId="63A6DC63">
      <w:pPr>
        <w:spacing w:line="360" w:lineRule="auto"/>
        <w:ind w:firstLine="482" w:firstLineChars="150"/>
        <w:rPr>
          <w:rFonts w:ascii="宋体" w:hAnsi="宋体" w:eastAsia="宋体" w:cs="宋体"/>
          <w:b/>
          <w:color w:val="auto"/>
          <w:sz w:val="32"/>
          <w:szCs w:val="32"/>
          <w:highlight w:val="none"/>
        </w:rPr>
      </w:pPr>
    </w:p>
    <w:p w14:paraId="2BC5C62D">
      <w:pPr>
        <w:jc w:val="both"/>
        <w:rPr>
          <w:rFonts w:ascii="宋体" w:hAnsi="宋体" w:eastAsia="宋体" w:cs="宋体"/>
          <w:b/>
          <w:bCs/>
          <w:color w:val="auto"/>
          <w:sz w:val="84"/>
          <w:szCs w:val="84"/>
          <w:highlight w:val="none"/>
        </w:rPr>
      </w:pPr>
    </w:p>
    <w:p w14:paraId="743D1A25">
      <w:pPr>
        <w:jc w:val="center"/>
        <w:rPr>
          <w:rFonts w:ascii="宋体" w:hAnsi="宋体" w:eastAsia="宋体" w:cs="宋体"/>
          <w:b/>
          <w:bCs/>
          <w:color w:val="auto"/>
          <w:sz w:val="84"/>
          <w:szCs w:val="84"/>
          <w:highlight w:val="none"/>
        </w:rPr>
      </w:pPr>
      <w:r>
        <w:rPr>
          <w:rFonts w:ascii="宋体" w:hAnsi="宋体" w:eastAsia="宋体" w:cs="宋体"/>
          <w:b/>
          <w:bCs/>
          <w:color w:val="auto"/>
          <w:sz w:val="84"/>
          <w:szCs w:val="84"/>
          <w:highlight w:val="none"/>
        </w:rPr>
        <w:t>磋商响应文件</w:t>
      </w:r>
    </w:p>
    <w:p w14:paraId="6DF33C1D">
      <w:pPr>
        <w:jc w:val="center"/>
        <w:rPr>
          <w:rFonts w:ascii="宋体" w:hAnsi="宋体" w:eastAsia="宋体" w:cs="宋体"/>
          <w:b/>
          <w:bCs/>
          <w:color w:val="auto"/>
          <w:sz w:val="40"/>
          <w:szCs w:val="84"/>
          <w:highlight w:val="none"/>
        </w:rPr>
      </w:pPr>
      <w:r>
        <w:rPr>
          <w:rFonts w:ascii="宋体" w:hAnsi="宋体" w:eastAsia="宋体" w:cs="宋体"/>
          <w:b/>
          <w:bCs/>
          <w:color w:val="auto"/>
          <w:sz w:val="40"/>
          <w:szCs w:val="84"/>
          <w:highlight w:val="none"/>
        </w:rPr>
        <w:t>【正本/副本】</w:t>
      </w:r>
    </w:p>
    <w:p w14:paraId="72A3B298">
      <w:pPr>
        <w:rPr>
          <w:rFonts w:ascii="宋体" w:hAnsi="宋体" w:eastAsia="宋体" w:cs="宋体"/>
          <w:b/>
          <w:color w:val="auto"/>
          <w:sz w:val="36"/>
          <w:szCs w:val="36"/>
          <w:highlight w:val="none"/>
        </w:rPr>
      </w:pPr>
    </w:p>
    <w:p w14:paraId="7EC41D72">
      <w:pPr>
        <w:tabs>
          <w:tab w:val="left" w:pos="630"/>
        </w:tabs>
        <w:autoSpaceDE w:val="0"/>
        <w:autoSpaceDN w:val="0"/>
        <w:spacing w:line="360" w:lineRule="auto"/>
        <w:ind w:firstLine="643" w:firstLineChars="200"/>
        <w:textAlignment w:val="bottom"/>
        <w:rPr>
          <w:rFonts w:ascii="宋体" w:hAnsi="宋体" w:eastAsia="宋体" w:cs="宋体"/>
          <w:b/>
          <w:color w:val="auto"/>
          <w:sz w:val="32"/>
          <w:szCs w:val="32"/>
          <w:highlight w:val="none"/>
          <w:u w:val="single"/>
        </w:rPr>
      </w:pPr>
      <w:r>
        <w:rPr>
          <w:rFonts w:ascii="宋体" w:hAnsi="宋体" w:eastAsia="宋体" w:cs="宋体"/>
          <w:b/>
          <w:color w:val="auto"/>
          <w:sz w:val="32"/>
          <w:szCs w:val="32"/>
          <w:highlight w:val="none"/>
        </w:rPr>
        <w:t xml:space="preserve">供应商名称（公章）： </w:t>
      </w:r>
    </w:p>
    <w:p w14:paraId="140E1B97">
      <w:pPr>
        <w:spacing w:line="360" w:lineRule="auto"/>
        <w:ind w:firstLine="643" w:firstLineChars="200"/>
        <w:rPr>
          <w:rFonts w:ascii="宋体" w:hAnsi="宋体" w:eastAsia="宋体" w:cs="宋体"/>
          <w:b/>
          <w:color w:val="auto"/>
          <w:sz w:val="32"/>
          <w:szCs w:val="32"/>
          <w:highlight w:val="none"/>
        </w:rPr>
      </w:pPr>
      <w:r>
        <w:rPr>
          <w:rFonts w:ascii="宋体" w:hAnsi="宋体" w:eastAsia="宋体" w:cs="宋体"/>
          <w:b/>
          <w:color w:val="auto"/>
          <w:sz w:val="32"/>
          <w:szCs w:val="32"/>
          <w:highlight w:val="none"/>
        </w:rPr>
        <w:t>法定代表人或授权代表</w:t>
      </w:r>
      <w:r>
        <w:rPr>
          <w:rFonts w:hint="eastAsia" w:ascii="宋体" w:hAnsi="宋体" w:eastAsia="宋体" w:cs="宋体"/>
          <w:b/>
          <w:color w:val="auto"/>
          <w:sz w:val="32"/>
          <w:szCs w:val="32"/>
          <w:highlight w:val="none"/>
          <w:lang w:eastAsia="zh-CN"/>
        </w:rPr>
        <w:t>（签字或盖章）</w:t>
      </w:r>
      <w:r>
        <w:rPr>
          <w:rFonts w:ascii="宋体" w:hAnsi="宋体" w:eastAsia="宋体" w:cs="宋体"/>
          <w:b/>
          <w:color w:val="auto"/>
          <w:sz w:val="32"/>
          <w:szCs w:val="32"/>
          <w:highlight w:val="none"/>
        </w:rPr>
        <w:t>：</w:t>
      </w:r>
    </w:p>
    <w:p w14:paraId="31DC61C6">
      <w:pPr>
        <w:spacing w:line="360" w:lineRule="auto"/>
        <w:ind w:firstLine="643" w:firstLineChars="200"/>
        <w:rPr>
          <w:rFonts w:ascii="宋体" w:hAnsi="宋体" w:eastAsia="宋体" w:cs="宋体"/>
          <w:b/>
          <w:color w:val="auto"/>
          <w:sz w:val="32"/>
          <w:szCs w:val="32"/>
          <w:highlight w:val="none"/>
          <w:u w:val="single"/>
        </w:rPr>
      </w:pPr>
      <w:r>
        <w:rPr>
          <w:rFonts w:ascii="宋体" w:hAnsi="宋体" w:eastAsia="宋体" w:cs="宋体"/>
          <w:b/>
          <w:color w:val="auto"/>
          <w:sz w:val="32"/>
          <w:szCs w:val="32"/>
          <w:highlight w:val="none"/>
        </w:rPr>
        <w:t>联系电话：</w:t>
      </w:r>
    </w:p>
    <w:p w14:paraId="3BAB3DA9">
      <w:pPr>
        <w:spacing w:after="0" w:line="360" w:lineRule="auto"/>
        <w:ind w:firstLine="643" w:firstLineChars="200"/>
        <w:rPr>
          <w:rFonts w:ascii="宋体" w:hAnsi="宋体" w:eastAsia="宋体" w:cs="宋体"/>
          <w:b/>
          <w:color w:val="auto"/>
          <w:sz w:val="32"/>
          <w:szCs w:val="32"/>
          <w:highlight w:val="none"/>
        </w:rPr>
      </w:pPr>
      <w:r>
        <w:rPr>
          <w:rFonts w:ascii="宋体" w:hAnsi="宋体" w:eastAsia="宋体" w:cs="宋体"/>
          <w:b/>
          <w:color w:val="auto"/>
          <w:sz w:val="32"/>
          <w:szCs w:val="32"/>
          <w:highlight w:val="none"/>
        </w:rPr>
        <w:t>日期：    年   月   日</w:t>
      </w:r>
    </w:p>
    <w:p w14:paraId="68F98CD0">
      <w:pPr>
        <w:pStyle w:val="8"/>
        <w:rPr>
          <w:color w:val="auto"/>
          <w:highlight w:val="none"/>
        </w:rPr>
      </w:pPr>
    </w:p>
    <w:p w14:paraId="1D8217A0">
      <w:pPr>
        <w:spacing w:before="240" w:beforeLines="100" w:after="240" w:afterLines="100" w:line="360" w:lineRule="auto"/>
        <w:jc w:val="center"/>
        <w:rPr>
          <w:rFonts w:ascii="宋体" w:hAnsi="宋体" w:eastAsia="宋体" w:cs="宋体"/>
          <w:b/>
          <w:color w:val="auto"/>
          <w:sz w:val="32"/>
          <w:szCs w:val="32"/>
          <w:highlight w:val="none"/>
        </w:rPr>
      </w:pPr>
      <w:r>
        <w:rPr>
          <w:rFonts w:ascii="宋体" w:hAnsi="宋体" w:eastAsia="宋体" w:cs="宋体"/>
          <w:b/>
          <w:color w:val="auto"/>
          <w:sz w:val="24"/>
          <w:szCs w:val="24"/>
          <w:highlight w:val="none"/>
        </w:rPr>
        <w:br w:type="page"/>
      </w:r>
      <w:r>
        <w:rPr>
          <w:rFonts w:ascii="宋体" w:hAnsi="宋体" w:eastAsia="宋体" w:cs="宋体"/>
          <w:b/>
          <w:color w:val="auto"/>
          <w:sz w:val="32"/>
          <w:szCs w:val="32"/>
          <w:highlight w:val="none"/>
        </w:rPr>
        <w:t>综合评分表（详见附表3）各项页码索引表</w:t>
      </w:r>
    </w:p>
    <w:tbl>
      <w:tblPr>
        <w:tblStyle w:val="17"/>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3906"/>
        <w:gridCol w:w="3447"/>
      </w:tblGrid>
      <w:tr w14:paraId="3AD50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5" w:type="dxa"/>
            <w:noWrap w:val="0"/>
            <w:vAlign w:val="center"/>
          </w:tcPr>
          <w:p w14:paraId="4ECCDDDA">
            <w:pPr>
              <w:keepNext w:val="0"/>
              <w:keepLines w:val="0"/>
              <w:widowControl/>
              <w:suppressLineNumbers w:val="0"/>
              <w:spacing w:before="0" w:beforeAutospacing="0" w:after="0" w:afterAutospacing="0"/>
              <w:ind w:left="0" w:right="0"/>
              <w:jc w:val="center"/>
              <w:rPr>
                <w:rFonts w:ascii="宋体" w:hAnsi="宋体" w:eastAsia="宋体" w:cs="宋体"/>
                <w:b/>
                <w:bCs/>
                <w:color w:val="auto"/>
                <w:sz w:val="24"/>
                <w:szCs w:val="24"/>
                <w:highlight w:val="none"/>
              </w:rPr>
            </w:pPr>
            <w:bookmarkStart w:id="30" w:name="_Toc3081"/>
            <w:bookmarkStart w:id="31" w:name="_Toc3995"/>
            <w:r>
              <w:rPr>
                <w:rFonts w:ascii="宋体" w:hAnsi="宋体" w:eastAsia="宋体" w:cs="宋体"/>
                <w:b/>
                <w:bCs/>
                <w:color w:val="auto"/>
                <w:sz w:val="24"/>
                <w:szCs w:val="24"/>
                <w:highlight w:val="none"/>
              </w:rPr>
              <w:t>序号</w:t>
            </w:r>
            <w:bookmarkEnd w:id="30"/>
            <w:bookmarkEnd w:id="31"/>
          </w:p>
        </w:tc>
        <w:tc>
          <w:tcPr>
            <w:tcW w:w="3906" w:type="dxa"/>
            <w:noWrap w:val="0"/>
            <w:vAlign w:val="center"/>
          </w:tcPr>
          <w:p w14:paraId="32E5C2B4">
            <w:pPr>
              <w:keepNext w:val="0"/>
              <w:keepLines w:val="0"/>
              <w:widowControl/>
              <w:suppressLineNumbers w:val="0"/>
              <w:spacing w:before="0" w:beforeAutospacing="0" w:after="0" w:afterAutospacing="0"/>
              <w:ind w:left="0" w:right="0"/>
              <w:jc w:val="center"/>
              <w:rPr>
                <w:rFonts w:ascii="宋体" w:hAnsi="宋体" w:eastAsia="宋体" w:cs="宋体"/>
                <w:b/>
                <w:bCs/>
                <w:color w:val="auto"/>
                <w:sz w:val="24"/>
                <w:szCs w:val="24"/>
                <w:highlight w:val="none"/>
              </w:rPr>
            </w:pPr>
            <w:bookmarkStart w:id="32" w:name="_Toc15410"/>
            <w:bookmarkStart w:id="33" w:name="_Toc26018"/>
            <w:r>
              <w:rPr>
                <w:rFonts w:ascii="宋体" w:hAnsi="宋体" w:eastAsia="宋体" w:cs="宋体"/>
                <w:b/>
                <w:bCs/>
                <w:color w:val="auto"/>
                <w:sz w:val="24"/>
                <w:szCs w:val="24"/>
                <w:highlight w:val="none"/>
              </w:rPr>
              <w:t>评审项</w:t>
            </w:r>
            <w:bookmarkEnd w:id="32"/>
            <w:bookmarkEnd w:id="33"/>
          </w:p>
        </w:tc>
        <w:tc>
          <w:tcPr>
            <w:tcW w:w="3447" w:type="dxa"/>
            <w:noWrap w:val="0"/>
            <w:vAlign w:val="center"/>
          </w:tcPr>
          <w:p w14:paraId="450A3EB0">
            <w:pPr>
              <w:keepNext w:val="0"/>
              <w:keepLines w:val="0"/>
              <w:widowControl/>
              <w:suppressLineNumbers w:val="0"/>
              <w:spacing w:before="0" w:beforeAutospacing="0" w:after="0" w:afterAutospacing="0"/>
              <w:ind w:left="0" w:right="0"/>
              <w:jc w:val="center"/>
              <w:rPr>
                <w:rFonts w:ascii="宋体" w:hAnsi="宋体" w:eastAsia="宋体" w:cs="宋体"/>
                <w:b/>
                <w:bCs/>
                <w:color w:val="auto"/>
                <w:sz w:val="24"/>
                <w:szCs w:val="24"/>
                <w:highlight w:val="none"/>
              </w:rPr>
            </w:pPr>
            <w:bookmarkStart w:id="34" w:name="_Toc8957"/>
            <w:bookmarkStart w:id="35" w:name="_Toc100"/>
            <w:r>
              <w:rPr>
                <w:rFonts w:ascii="宋体" w:hAnsi="宋体" w:eastAsia="宋体" w:cs="宋体"/>
                <w:b/>
                <w:bCs/>
                <w:color w:val="auto"/>
                <w:sz w:val="24"/>
                <w:szCs w:val="24"/>
                <w:highlight w:val="none"/>
              </w:rPr>
              <w:t>响应</w:t>
            </w:r>
            <w:r>
              <w:rPr>
                <w:rFonts w:hint="eastAsia" w:ascii="宋体" w:hAnsi="宋体" w:eastAsia="宋体" w:cs="宋体"/>
                <w:b/>
                <w:bCs/>
                <w:color w:val="auto"/>
                <w:sz w:val="24"/>
                <w:szCs w:val="24"/>
                <w:highlight w:val="none"/>
                <w:lang w:val="en-US" w:eastAsia="zh-CN"/>
              </w:rPr>
              <w:t>文件中相应</w:t>
            </w:r>
            <w:r>
              <w:rPr>
                <w:rFonts w:ascii="宋体" w:hAnsi="宋体" w:eastAsia="宋体" w:cs="宋体"/>
                <w:b/>
                <w:bCs/>
                <w:color w:val="auto"/>
                <w:sz w:val="24"/>
                <w:szCs w:val="24"/>
                <w:highlight w:val="none"/>
              </w:rPr>
              <w:t>材料所在页码（第  页）</w:t>
            </w:r>
            <w:bookmarkEnd w:id="34"/>
            <w:bookmarkEnd w:id="35"/>
          </w:p>
        </w:tc>
      </w:tr>
      <w:tr w14:paraId="7012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75" w:type="dxa"/>
            <w:noWrap w:val="0"/>
            <w:vAlign w:val="center"/>
          </w:tcPr>
          <w:p w14:paraId="2B97E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bookmarkStart w:id="36" w:name="_Toc19768"/>
            <w:bookmarkStart w:id="37" w:name="_Toc1353"/>
            <w:r>
              <w:rPr>
                <w:rFonts w:ascii="宋体" w:hAnsi="宋体" w:eastAsia="宋体" w:cs="宋体"/>
                <w:color w:val="auto"/>
                <w:sz w:val="24"/>
                <w:szCs w:val="24"/>
                <w:highlight w:val="none"/>
              </w:rPr>
              <w:t>1</w:t>
            </w:r>
            <w:bookmarkEnd w:id="36"/>
            <w:bookmarkEnd w:id="37"/>
          </w:p>
        </w:tc>
        <w:tc>
          <w:tcPr>
            <w:tcW w:w="3906" w:type="dxa"/>
            <w:noWrap w:val="0"/>
            <w:vAlign w:val="center"/>
          </w:tcPr>
          <w:p w14:paraId="4A8929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c>
          <w:tcPr>
            <w:tcW w:w="3447" w:type="dxa"/>
            <w:noWrap w:val="0"/>
            <w:vAlign w:val="center"/>
          </w:tcPr>
          <w:p w14:paraId="22833E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r>
      <w:tr w14:paraId="7336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75" w:type="dxa"/>
            <w:noWrap w:val="0"/>
            <w:vAlign w:val="center"/>
          </w:tcPr>
          <w:p w14:paraId="01B068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bookmarkStart w:id="38" w:name="_Toc9568"/>
            <w:bookmarkStart w:id="39" w:name="_Toc13323"/>
            <w:r>
              <w:rPr>
                <w:rFonts w:ascii="宋体" w:hAnsi="宋体" w:eastAsia="宋体" w:cs="宋体"/>
                <w:color w:val="auto"/>
                <w:sz w:val="24"/>
                <w:szCs w:val="24"/>
                <w:highlight w:val="none"/>
              </w:rPr>
              <w:t>2</w:t>
            </w:r>
            <w:bookmarkEnd w:id="38"/>
            <w:bookmarkEnd w:id="39"/>
          </w:p>
        </w:tc>
        <w:tc>
          <w:tcPr>
            <w:tcW w:w="3906" w:type="dxa"/>
            <w:noWrap w:val="0"/>
            <w:vAlign w:val="center"/>
          </w:tcPr>
          <w:p w14:paraId="21828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c>
          <w:tcPr>
            <w:tcW w:w="3447" w:type="dxa"/>
            <w:noWrap w:val="0"/>
            <w:vAlign w:val="center"/>
          </w:tcPr>
          <w:p w14:paraId="2702AA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r>
      <w:tr w14:paraId="4FEE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75" w:type="dxa"/>
            <w:noWrap w:val="0"/>
            <w:vAlign w:val="center"/>
          </w:tcPr>
          <w:p w14:paraId="2CACF7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bookmarkStart w:id="40" w:name="_Toc76"/>
            <w:bookmarkStart w:id="41" w:name="_Toc30882"/>
            <w:r>
              <w:rPr>
                <w:rFonts w:ascii="宋体" w:hAnsi="宋体" w:eastAsia="宋体" w:cs="宋体"/>
                <w:color w:val="auto"/>
                <w:sz w:val="24"/>
                <w:szCs w:val="24"/>
                <w:highlight w:val="none"/>
              </w:rPr>
              <w:t>3</w:t>
            </w:r>
            <w:bookmarkEnd w:id="40"/>
            <w:bookmarkEnd w:id="41"/>
          </w:p>
        </w:tc>
        <w:tc>
          <w:tcPr>
            <w:tcW w:w="3906" w:type="dxa"/>
            <w:noWrap w:val="0"/>
            <w:vAlign w:val="center"/>
          </w:tcPr>
          <w:p w14:paraId="29E28A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c>
          <w:tcPr>
            <w:tcW w:w="3447" w:type="dxa"/>
            <w:noWrap w:val="0"/>
            <w:vAlign w:val="center"/>
          </w:tcPr>
          <w:p w14:paraId="1539E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r>
      <w:tr w14:paraId="25EC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75" w:type="dxa"/>
            <w:noWrap w:val="0"/>
            <w:vAlign w:val="center"/>
          </w:tcPr>
          <w:p w14:paraId="093819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bookmarkStart w:id="42" w:name="_Toc19851"/>
            <w:bookmarkStart w:id="43" w:name="_Toc23731"/>
            <w:r>
              <w:rPr>
                <w:rFonts w:ascii="宋体" w:hAnsi="宋体" w:eastAsia="宋体" w:cs="宋体"/>
                <w:color w:val="auto"/>
                <w:sz w:val="24"/>
                <w:szCs w:val="24"/>
                <w:highlight w:val="none"/>
              </w:rPr>
              <w:t>4</w:t>
            </w:r>
            <w:bookmarkEnd w:id="42"/>
            <w:bookmarkEnd w:id="43"/>
          </w:p>
        </w:tc>
        <w:tc>
          <w:tcPr>
            <w:tcW w:w="3906" w:type="dxa"/>
            <w:noWrap w:val="0"/>
            <w:vAlign w:val="center"/>
          </w:tcPr>
          <w:p w14:paraId="7EBB53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c>
          <w:tcPr>
            <w:tcW w:w="3447" w:type="dxa"/>
            <w:noWrap w:val="0"/>
            <w:vAlign w:val="center"/>
          </w:tcPr>
          <w:p w14:paraId="2514AF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r>
      <w:tr w14:paraId="62CD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75" w:type="dxa"/>
            <w:noWrap w:val="0"/>
            <w:vAlign w:val="center"/>
          </w:tcPr>
          <w:p w14:paraId="05C80A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bookmarkStart w:id="44" w:name="_Toc28082"/>
            <w:bookmarkStart w:id="45" w:name="_Toc29493"/>
            <w:r>
              <w:rPr>
                <w:rFonts w:ascii="宋体" w:hAnsi="宋体" w:eastAsia="宋体" w:cs="宋体"/>
                <w:color w:val="auto"/>
                <w:sz w:val="24"/>
                <w:szCs w:val="24"/>
                <w:highlight w:val="none"/>
              </w:rPr>
              <w:t>...</w:t>
            </w:r>
            <w:bookmarkEnd w:id="44"/>
            <w:bookmarkEnd w:id="45"/>
          </w:p>
        </w:tc>
        <w:tc>
          <w:tcPr>
            <w:tcW w:w="3906" w:type="dxa"/>
            <w:noWrap w:val="0"/>
            <w:vAlign w:val="center"/>
          </w:tcPr>
          <w:p w14:paraId="757936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c>
          <w:tcPr>
            <w:tcW w:w="3447" w:type="dxa"/>
            <w:noWrap w:val="0"/>
            <w:vAlign w:val="center"/>
          </w:tcPr>
          <w:p w14:paraId="31B435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ascii="宋体" w:hAnsi="宋体" w:eastAsia="宋体" w:cs="宋体"/>
                <w:color w:val="auto"/>
                <w:sz w:val="24"/>
                <w:szCs w:val="24"/>
                <w:highlight w:val="none"/>
              </w:rPr>
            </w:pPr>
          </w:p>
        </w:tc>
      </w:tr>
    </w:tbl>
    <w:p w14:paraId="2BD5537D">
      <w:pPr>
        <w:spacing w:after="0" w:line="360" w:lineRule="auto"/>
        <w:rPr>
          <w:rFonts w:ascii="宋体" w:hAnsi="宋体" w:eastAsia="宋体" w:cs="宋体"/>
          <w:color w:val="auto"/>
          <w:sz w:val="24"/>
          <w:szCs w:val="24"/>
          <w:highlight w:val="none"/>
        </w:rPr>
      </w:pPr>
    </w:p>
    <w:p w14:paraId="3A173936">
      <w:pPr>
        <w:keepNext w:val="0"/>
        <w:keepLines w:val="0"/>
        <w:pageBreakBefore w:val="0"/>
        <w:widowControl/>
        <w:kinsoku/>
        <w:wordWrap/>
        <w:overflowPunct/>
        <w:topLinePunct w:val="0"/>
        <w:autoSpaceDE/>
        <w:autoSpaceDN/>
        <w:bidi w:val="0"/>
        <w:adjustRightInd/>
        <w:snapToGrid/>
        <w:spacing w:before="313" w:beforeLines="100" w:after="313" w:afterLines="100" w:line="420" w:lineRule="exact"/>
        <w:jc w:val="center"/>
        <w:textAlignment w:val="auto"/>
        <w:rPr>
          <w:rFonts w:ascii="宋体" w:hAnsi="宋体" w:eastAsia="宋体" w:cs="宋体"/>
          <w:color w:val="auto"/>
          <w:sz w:val="24"/>
          <w:szCs w:val="24"/>
          <w:highlight w:val="none"/>
          <w:lang w:val="zh-TW"/>
        </w:rPr>
      </w:pPr>
      <w:r>
        <w:rPr>
          <w:rFonts w:ascii="宋体" w:hAnsi="宋体" w:eastAsia="宋体" w:cs="宋体"/>
          <w:color w:val="auto"/>
          <w:sz w:val="24"/>
          <w:szCs w:val="24"/>
          <w:highlight w:val="none"/>
          <w:lang w:val="zh-TW" w:eastAsia="zh-TW"/>
        </w:rPr>
        <w:br w:type="page"/>
      </w:r>
      <w:r>
        <w:rPr>
          <w:rFonts w:ascii="宋体" w:hAnsi="宋体" w:eastAsia="宋体" w:cs="宋体"/>
          <w:b/>
          <w:bCs/>
          <w:color w:val="auto"/>
          <w:sz w:val="32"/>
          <w:szCs w:val="32"/>
          <w:highlight w:val="none"/>
          <w:lang w:val="zh-TW"/>
        </w:rPr>
        <w:t>目</w:t>
      </w:r>
      <w:r>
        <w:rPr>
          <w:rFonts w:ascii="宋体" w:hAnsi="宋体" w:eastAsia="宋体" w:cs="宋体"/>
          <w:b/>
          <w:bCs/>
          <w:color w:val="auto"/>
          <w:sz w:val="32"/>
          <w:szCs w:val="32"/>
          <w:highlight w:val="none"/>
        </w:rPr>
        <w:t xml:space="preserve"> </w:t>
      </w:r>
      <w:r>
        <w:rPr>
          <w:rFonts w:hint="eastAsia" w:ascii="宋体" w:hAnsi="宋体" w:eastAsia="宋体" w:cs="宋体"/>
          <w:b/>
          <w:bCs/>
          <w:color w:val="auto"/>
          <w:sz w:val="32"/>
          <w:szCs w:val="32"/>
          <w:highlight w:val="none"/>
          <w:lang w:val="en-US" w:eastAsia="zh-CN"/>
        </w:rPr>
        <w:t xml:space="preserve"> </w:t>
      </w:r>
      <w:r>
        <w:rPr>
          <w:rFonts w:ascii="宋体" w:hAnsi="宋体" w:eastAsia="宋体" w:cs="宋体"/>
          <w:b/>
          <w:bCs/>
          <w:color w:val="auto"/>
          <w:sz w:val="32"/>
          <w:szCs w:val="32"/>
          <w:highlight w:val="none"/>
          <w:lang w:val="zh-TW"/>
        </w:rPr>
        <w:t>录</w:t>
      </w:r>
    </w:p>
    <w:p w14:paraId="46D1DB5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eastAsia="zh-TW"/>
        </w:rPr>
        <w:t>1.投标函</w:t>
      </w:r>
    </w:p>
    <w:p w14:paraId="79E5467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eastAsia="zh-TW"/>
        </w:rPr>
        <w:t>2.报价一览表</w:t>
      </w:r>
    </w:p>
    <w:p w14:paraId="2FD4B8C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eastAsia="zh-TW"/>
        </w:rPr>
        <w:t>3.法定代表人身份证明</w:t>
      </w:r>
    </w:p>
    <w:p w14:paraId="26C78C4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rPr>
        <w:t>4</w:t>
      </w:r>
      <w:r>
        <w:rPr>
          <w:rFonts w:ascii="宋体" w:hAnsi="宋体" w:eastAsia="宋体" w:cs="宋体"/>
          <w:color w:val="auto"/>
          <w:sz w:val="24"/>
          <w:szCs w:val="24"/>
          <w:highlight w:val="none"/>
          <w:lang w:val="zh-TW" w:eastAsia="zh-TW"/>
        </w:rPr>
        <w:t>.授权委托书</w:t>
      </w:r>
    </w:p>
    <w:p w14:paraId="3634E0C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rPr>
        <w:t>5</w:t>
      </w:r>
      <w:r>
        <w:rPr>
          <w:rFonts w:ascii="宋体" w:hAnsi="宋体" w:eastAsia="宋体" w:cs="宋体"/>
          <w:color w:val="auto"/>
          <w:sz w:val="24"/>
          <w:szCs w:val="24"/>
          <w:highlight w:val="none"/>
          <w:lang w:val="zh-TW" w:eastAsia="zh-TW"/>
        </w:rPr>
        <w:t>.供应商基本情况表</w:t>
      </w:r>
    </w:p>
    <w:p w14:paraId="040354DF">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rPr>
        <w:t>6</w:t>
      </w:r>
      <w:r>
        <w:rPr>
          <w:rFonts w:ascii="宋体" w:hAnsi="宋体" w:eastAsia="宋体" w:cs="宋体"/>
          <w:color w:val="auto"/>
          <w:sz w:val="24"/>
          <w:szCs w:val="24"/>
          <w:highlight w:val="none"/>
          <w:lang w:val="zh-TW" w:eastAsia="zh-TW"/>
        </w:rPr>
        <w:t>.资格证明材料</w:t>
      </w:r>
    </w:p>
    <w:p w14:paraId="3A74EC99">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rPr>
        <w:t>6</w:t>
      </w:r>
      <w:r>
        <w:rPr>
          <w:rFonts w:ascii="宋体" w:hAnsi="宋体" w:eastAsia="宋体" w:cs="宋体"/>
          <w:color w:val="auto"/>
          <w:sz w:val="24"/>
          <w:szCs w:val="24"/>
          <w:highlight w:val="none"/>
          <w:lang w:val="zh-TW" w:eastAsia="zh-TW"/>
        </w:rPr>
        <w:t>.1 营业执照副本复印件加盖公章</w:t>
      </w:r>
    </w:p>
    <w:p w14:paraId="5A22556B">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rPr>
        <w:t xml:space="preserve">6.2 </w:t>
      </w:r>
      <w:r>
        <w:rPr>
          <w:rFonts w:hint="eastAsia" w:ascii="宋体" w:hAnsi="宋体" w:eastAsia="宋体" w:cs="宋体"/>
          <w:color w:val="auto"/>
          <w:sz w:val="24"/>
          <w:szCs w:val="24"/>
          <w:highlight w:val="none"/>
          <w:lang w:val="zh-CN"/>
        </w:rPr>
        <w:t>资格承诺函</w:t>
      </w:r>
    </w:p>
    <w:p w14:paraId="0330210B">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6.3采购活动前三年内，在经营活动中无环保类行政处罚记录声明函</w:t>
      </w:r>
    </w:p>
    <w:p w14:paraId="11678658">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val="zh-TW" w:eastAsia="zh-CN"/>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zh-TW" w:eastAsia="zh-CN"/>
        </w:rPr>
        <w:t>技术、商务偏离表</w:t>
      </w:r>
    </w:p>
    <w:p w14:paraId="722B7901">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lang w:val="zh-TW"/>
        </w:rPr>
      </w:pPr>
      <w:r>
        <w:rPr>
          <w:rFonts w:hint="eastAsia" w:ascii="宋体" w:hAnsi="宋体" w:eastAsia="宋体" w:cs="宋体"/>
          <w:color w:val="auto"/>
          <w:sz w:val="24"/>
          <w:szCs w:val="24"/>
          <w:highlight w:val="none"/>
          <w:lang w:val="en-US" w:eastAsia="zh-CN"/>
        </w:rPr>
        <w:t>8</w:t>
      </w:r>
      <w:r>
        <w:rPr>
          <w:rFonts w:ascii="宋体" w:hAnsi="宋体" w:eastAsia="宋体" w:cs="宋体"/>
          <w:color w:val="auto"/>
          <w:sz w:val="24"/>
          <w:szCs w:val="24"/>
          <w:highlight w:val="none"/>
          <w:lang w:val="zh-TW" w:eastAsia="zh-TW"/>
        </w:rPr>
        <w:t>.类似项目简况</w:t>
      </w:r>
      <w:r>
        <w:rPr>
          <w:rFonts w:ascii="宋体" w:hAnsi="宋体" w:eastAsia="宋体" w:cs="宋体"/>
          <w:color w:val="auto"/>
          <w:sz w:val="24"/>
          <w:szCs w:val="24"/>
          <w:highlight w:val="none"/>
          <w:lang w:val="zh-TW"/>
        </w:rPr>
        <w:t>（如有）</w:t>
      </w:r>
    </w:p>
    <w:p w14:paraId="6F84E052">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lang w:val="zh-TW"/>
        </w:rPr>
      </w:pPr>
      <w:r>
        <w:rPr>
          <w:rFonts w:hint="eastAsia" w:ascii="宋体" w:hAnsi="宋体" w:eastAsia="宋体" w:cs="宋体"/>
          <w:color w:val="auto"/>
          <w:sz w:val="24"/>
          <w:szCs w:val="24"/>
          <w:highlight w:val="none"/>
          <w:lang w:val="en-US" w:eastAsia="zh-CN"/>
        </w:rPr>
        <w:t>9</w:t>
      </w:r>
      <w:r>
        <w:rPr>
          <w:rFonts w:ascii="宋体" w:hAnsi="宋体" w:eastAsia="宋体" w:cs="宋体"/>
          <w:color w:val="auto"/>
          <w:sz w:val="24"/>
          <w:szCs w:val="24"/>
          <w:highlight w:val="none"/>
          <w:lang w:val="zh-TW" w:eastAsia="zh-TW"/>
        </w:rPr>
        <w:t>.拟投入本项目人员情况一览表</w:t>
      </w:r>
      <w:r>
        <w:rPr>
          <w:rFonts w:ascii="宋体" w:hAnsi="宋体" w:eastAsia="宋体" w:cs="宋体"/>
          <w:color w:val="auto"/>
          <w:sz w:val="24"/>
          <w:szCs w:val="24"/>
          <w:highlight w:val="none"/>
          <w:lang w:val="zh-TW"/>
        </w:rPr>
        <w:t>（如有）</w:t>
      </w:r>
    </w:p>
    <w:p w14:paraId="0BE52098">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0</w:t>
      </w:r>
      <w:r>
        <w:rPr>
          <w:rFonts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实施方案（格式自拟）</w:t>
      </w:r>
    </w:p>
    <w:p w14:paraId="263DEAD6">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TW" w:eastAsia="zh-TW"/>
        </w:rPr>
        <w:t>.</w:t>
      </w:r>
      <w:r>
        <w:rPr>
          <w:rFonts w:ascii="宋体" w:hAnsi="宋体" w:eastAsia="宋体" w:cs="宋体"/>
          <w:color w:val="auto"/>
          <w:sz w:val="24"/>
          <w:szCs w:val="24"/>
          <w:highlight w:val="none"/>
          <w:lang w:val="zh-TW" w:eastAsia="zh-TW"/>
        </w:rPr>
        <w:t>供应商认为需要提供的用于参与评审其他材料</w:t>
      </w:r>
    </w:p>
    <w:p w14:paraId="48D5BC34">
      <w:pPr>
        <w:keepNext w:val="0"/>
        <w:keepLines w:val="0"/>
        <w:pageBreakBefore w:val="0"/>
        <w:widowControl/>
        <w:kinsoku/>
        <w:wordWrap/>
        <w:overflowPunct/>
        <w:topLinePunct w:val="0"/>
        <w:autoSpaceDE/>
        <w:autoSpaceDN/>
        <w:bidi w:val="0"/>
        <w:adjustRightInd/>
        <w:snapToGrid/>
        <w:spacing w:after="0" w:line="360" w:lineRule="auto"/>
        <w:textAlignment w:val="auto"/>
        <w:rPr>
          <w:rFonts w:ascii="宋体" w:hAnsi="宋体" w:eastAsia="宋体" w:cs="宋体"/>
          <w:b/>
          <w:bCs/>
          <w:color w:val="auto"/>
          <w:sz w:val="24"/>
          <w:szCs w:val="24"/>
          <w:highlight w:val="none"/>
          <w:lang w:val="zh-TW" w:eastAsia="zh-TW"/>
        </w:rPr>
      </w:pPr>
      <w:r>
        <w:rPr>
          <w:rFonts w:ascii="宋体" w:hAnsi="宋体" w:eastAsia="宋体" w:cs="宋体"/>
          <w:b/>
          <w:bCs/>
          <w:color w:val="auto"/>
          <w:sz w:val="24"/>
          <w:szCs w:val="24"/>
          <w:highlight w:val="none"/>
          <w:lang w:val="zh-TW" w:eastAsia="zh-TW"/>
        </w:rPr>
        <w:t>注：供应商编制上述</w:t>
      </w:r>
      <w:r>
        <w:rPr>
          <w:rFonts w:ascii="宋体" w:hAnsi="宋体" w:eastAsia="宋体" w:cs="宋体"/>
          <w:b/>
          <w:bCs/>
          <w:color w:val="auto"/>
          <w:sz w:val="24"/>
          <w:szCs w:val="24"/>
          <w:highlight w:val="none"/>
          <w:lang w:val="zh-TW"/>
        </w:rPr>
        <w:t>材料</w:t>
      </w:r>
      <w:r>
        <w:rPr>
          <w:rFonts w:ascii="宋体" w:hAnsi="宋体" w:eastAsia="宋体" w:cs="宋体"/>
          <w:b/>
          <w:bCs/>
          <w:color w:val="auto"/>
          <w:sz w:val="24"/>
          <w:szCs w:val="24"/>
          <w:highlight w:val="none"/>
          <w:lang w:val="zh-TW" w:eastAsia="zh-TW"/>
        </w:rPr>
        <w:t>时，本</w:t>
      </w:r>
      <w:r>
        <w:rPr>
          <w:rFonts w:ascii="宋体" w:hAnsi="宋体" w:eastAsia="宋体" w:cs="宋体"/>
          <w:b/>
          <w:bCs/>
          <w:color w:val="auto"/>
          <w:sz w:val="24"/>
          <w:szCs w:val="24"/>
          <w:highlight w:val="none"/>
          <w:lang w:val="zh-TW"/>
        </w:rPr>
        <w:t>磋商</w:t>
      </w:r>
      <w:r>
        <w:rPr>
          <w:rFonts w:ascii="宋体" w:hAnsi="宋体" w:eastAsia="宋体" w:cs="宋体"/>
          <w:b/>
          <w:bCs/>
          <w:color w:val="auto"/>
          <w:sz w:val="24"/>
          <w:szCs w:val="24"/>
          <w:highlight w:val="none"/>
          <w:lang w:val="zh-TW" w:eastAsia="zh-TW"/>
        </w:rPr>
        <w:t>文件第</w:t>
      </w:r>
      <w:r>
        <w:rPr>
          <w:rFonts w:ascii="宋体" w:hAnsi="宋体" w:eastAsia="宋体" w:cs="宋体"/>
          <w:b/>
          <w:bCs/>
          <w:color w:val="auto"/>
          <w:sz w:val="24"/>
          <w:szCs w:val="24"/>
          <w:highlight w:val="none"/>
          <w:lang w:val="zh-TW"/>
        </w:rPr>
        <w:t>五</w:t>
      </w:r>
      <w:r>
        <w:rPr>
          <w:rFonts w:ascii="宋体" w:hAnsi="宋体" w:eastAsia="宋体" w:cs="宋体"/>
          <w:b/>
          <w:bCs/>
          <w:color w:val="auto"/>
          <w:sz w:val="24"/>
          <w:szCs w:val="24"/>
          <w:highlight w:val="none"/>
          <w:lang w:val="zh-TW" w:eastAsia="zh-TW"/>
        </w:rPr>
        <w:t>章已提供格式的须按格式要求填写。</w:t>
      </w:r>
    </w:p>
    <w:p w14:paraId="1488574E">
      <w:pPr>
        <w:spacing w:line="430" w:lineRule="exact"/>
        <w:jc w:val="center"/>
        <w:rPr>
          <w:rFonts w:ascii="宋体" w:hAnsi="宋体" w:eastAsia="宋体" w:cs="宋体"/>
          <w:color w:val="auto"/>
          <w:sz w:val="32"/>
          <w:szCs w:val="32"/>
          <w:highlight w:val="none"/>
        </w:rPr>
      </w:pPr>
      <w:r>
        <w:rPr>
          <w:rFonts w:ascii="宋体" w:hAnsi="宋体" w:eastAsia="宋体" w:cs="宋体"/>
          <w:b/>
          <w:color w:val="auto"/>
          <w:sz w:val="24"/>
          <w:szCs w:val="24"/>
          <w:highlight w:val="none"/>
        </w:rPr>
        <w:br w:type="page"/>
      </w:r>
      <w:r>
        <w:rPr>
          <w:rFonts w:ascii="宋体" w:hAnsi="宋体" w:eastAsia="宋体" w:cs="宋体"/>
          <w:b/>
          <w:bCs/>
          <w:color w:val="auto"/>
          <w:sz w:val="32"/>
          <w:szCs w:val="32"/>
          <w:highlight w:val="none"/>
        </w:rPr>
        <w:t>1.</w:t>
      </w:r>
      <w:r>
        <w:rPr>
          <w:rFonts w:ascii="宋体" w:hAnsi="宋体" w:eastAsia="宋体" w:cs="宋体"/>
          <w:b/>
          <w:bCs/>
          <w:color w:val="auto"/>
          <w:sz w:val="32"/>
          <w:szCs w:val="32"/>
          <w:highlight w:val="none"/>
          <w:lang w:val="zh-TW" w:eastAsia="zh-TW"/>
        </w:rPr>
        <w:t>投标函</w:t>
      </w:r>
    </w:p>
    <w:p w14:paraId="4AB50F82">
      <w:pPr>
        <w:keepNext w:val="0"/>
        <w:keepLines w:val="0"/>
        <w:pageBreakBefore w:val="0"/>
        <w:kinsoku/>
        <w:wordWrap/>
        <w:overflowPunct/>
        <w:topLinePunct w:val="0"/>
        <w:autoSpaceDE/>
        <w:autoSpaceDN/>
        <w:bidi w:val="0"/>
        <w:adjustRightInd/>
        <w:snapToGrid/>
        <w:spacing w:after="0" w:line="360" w:lineRule="auto"/>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致：</w:t>
      </w:r>
      <w:r>
        <w:rPr>
          <w:rFonts w:hint="eastAsia" w:ascii="宋体" w:hAnsi="宋体" w:eastAsia="宋体" w:cs="宋体"/>
          <w:color w:val="auto"/>
          <w:kern w:val="0"/>
          <w:sz w:val="24"/>
          <w:szCs w:val="24"/>
          <w:highlight w:val="none"/>
          <w:u w:val="single"/>
          <w:lang w:val="en-US" w:eastAsia="zh-CN" w:bidi="ar"/>
        </w:rPr>
        <w:t xml:space="preserve">   （采购人、采购代理机构）</w:t>
      </w:r>
    </w:p>
    <w:p w14:paraId="5C73C871">
      <w:pPr>
        <w:keepNext w:val="0"/>
        <w:keepLines w:val="0"/>
        <w:pageBreakBefore w:val="0"/>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我公司已对贵公司</w:t>
      </w:r>
      <w:r>
        <w:rPr>
          <w:rFonts w:hint="eastAsia" w:ascii="宋体" w:hAnsi="宋体" w:eastAsia="宋体" w:cs="宋体"/>
          <w:color w:val="auto"/>
          <w:sz w:val="24"/>
          <w:szCs w:val="24"/>
          <w:highlight w:val="none"/>
          <w:lang w:val="en-US" w:eastAsia="zh-CN"/>
        </w:rPr>
        <w:t>发布</w:t>
      </w:r>
      <w:r>
        <w:rPr>
          <w:rFonts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lang w:val="en-US" w:eastAsia="zh-CN"/>
        </w:rPr>
        <w:t xml:space="preserve"> （填项目名称） </w:t>
      </w:r>
      <w:r>
        <w:rPr>
          <w:rFonts w:ascii="宋体" w:hAnsi="宋体" w:eastAsia="宋体" w:cs="宋体"/>
          <w:color w:val="auto"/>
          <w:sz w:val="24"/>
          <w:szCs w:val="24"/>
          <w:highlight w:val="none"/>
          <w:u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，标段：</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的</w:t>
      </w:r>
      <w:r>
        <w:rPr>
          <w:rFonts w:ascii="宋体" w:hAnsi="宋体" w:eastAsia="宋体" w:cs="宋体"/>
          <w:color w:val="auto"/>
          <w:sz w:val="24"/>
          <w:szCs w:val="24"/>
          <w:highlight w:val="none"/>
        </w:rPr>
        <w:t>竞争性磋商文件（包括更正公告，如果有的话）收悉，我们经详细审阅和研究，现决定参加投标。</w:t>
      </w:r>
    </w:p>
    <w:p w14:paraId="3FDEA102">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（1）我们郑重承诺：我们是符合《政府采购法</w:t>
      </w:r>
      <w:r>
        <w:rPr>
          <w:rFonts w:hint="eastAsia"/>
          <w:color w:val="auto"/>
          <w:sz w:val="24"/>
          <w:szCs w:val="24"/>
          <w:highlight w:val="none"/>
          <w:lang w:val="zh-TW" w:eastAsia="zh-CN"/>
        </w:rPr>
        <w:t>》第二十二条</w:t>
      </w:r>
      <w:r>
        <w:rPr>
          <w:rFonts w:hint="eastAsia"/>
          <w:color w:val="auto"/>
          <w:sz w:val="24"/>
          <w:szCs w:val="24"/>
          <w:highlight w:val="none"/>
          <w:lang w:val="zh-TW" w:eastAsia="zh-TW"/>
        </w:rPr>
        <w:t>规定的供应商，并严格遵守《政府采购法</w:t>
      </w:r>
      <w:r>
        <w:rPr>
          <w:rFonts w:hint="eastAsia"/>
          <w:color w:val="auto"/>
          <w:sz w:val="24"/>
          <w:szCs w:val="24"/>
          <w:highlight w:val="none"/>
          <w:lang w:val="zh-TW" w:eastAsia="zh-CN"/>
        </w:rPr>
        <w:t>》第七十七条</w:t>
      </w:r>
      <w:r>
        <w:rPr>
          <w:rFonts w:hint="eastAsia"/>
          <w:color w:val="auto"/>
          <w:sz w:val="24"/>
          <w:szCs w:val="24"/>
          <w:highlight w:val="none"/>
          <w:lang w:val="zh-TW" w:eastAsia="zh-TW"/>
        </w:rPr>
        <w:t>的规定。</w:t>
      </w:r>
    </w:p>
    <w:p w14:paraId="4339D90B">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（2）我们接受磋商文件的所有的条款和规定。</w:t>
      </w:r>
    </w:p>
    <w:p w14:paraId="6248863C">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（3）附报价一览表中规定的应提供相应</w:t>
      </w:r>
      <w:r>
        <w:rPr>
          <w:rFonts w:hint="eastAsia"/>
          <w:color w:val="auto"/>
          <w:sz w:val="24"/>
          <w:szCs w:val="24"/>
          <w:highlight w:val="none"/>
          <w:lang w:val="en-US" w:eastAsia="zh-CN"/>
        </w:rPr>
        <w:t>服务</w:t>
      </w:r>
      <w:r>
        <w:rPr>
          <w:rFonts w:hint="eastAsia"/>
          <w:color w:val="auto"/>
          <w:sz w:val="24"/>
          <w:szCs w:val="24"/>
          <w:highlight w:val="none"/>
          <w:lang w:val="zh-TW" w:eastAsia="zh-TW"/>
        </w:rPr>
        <w:t>投标报价。</w:t>
      </w:r>
    </w:p>
    <w:p w14:paraId="05291DF2">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（4）我们同意按照磋商文件第二章“供应商须知前附表”第11款的规定，本磋商响应文件的</w:t>
      </w:r>
      <w:r>
        <w:rPr>
          <w:rFonts w:hint="eastAsia"/>
          <w:color w:val="auto"/>
          <w:sz w:val="24"/>
          <w:szCs w:val="24"/>
          <w:highlight w:val="none"/>
          <w:lang w:val="en-US" w:eastAsia="zh-CN"/>
        </w:rPr>
        <w:t>投标</w:t>
      </w:r>
      <w:r>
        <w:rPr>
          <w:rFonts w:hint="eastAsia"/>
          <w:color w:val="auto"/>
          <w:sz w:val="24"/>
          <w:szCs w:val="24"/>
          <w:highlight w:val="none"/>
          <w:lang w:val="zh-TW" w:eastAsia="zh-TW"/>
        </w:rPr>
        <w:t>有效期为开标之日起计算的</w:t>
      </w:r>
      <w:r>
        <w:rPr>
          <w:rFonts w:hint="eastAsia"/>
          <w:color w:val="auto"/>
          <w:sz w:val="24"/>
          <w:szCs w:val="24"/>
          <w:highlight w:val="none"/>
          <w:u w:val="single"/>
          <w:lang w:val="zh-TW" w:eastAsia="zh-TW"/>
        </w:rPr>
        <w:t xml:space="preserve"> 60 </w:t>
      </w:r>
      <w:r>
        <w:rPr>
          <w:rFonts w:hint="eastAsia"/>
          <w:color w:val="auto"/>
          <w:sz w:val="24"/>
          <w:szCs w:val="24"/>
          <w:highlight w:val="none"/>
          <w:lang w:val="zh-TW" w:eastAsia="zh-TW"/>
        </w:rPr>
        <w:t>天，在此期间，本磋商响应文件将始终对我们具有约束力，并可随时被接受。如果我们中标，本磋商响应文件在此期间之后将继续保持有效。</w:t>
      </w:r>
    </w:p>
    <w:p w14:paraId="251D3232">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（5）我们同意提供采购人要求的有关本次采购的所有资料。</w:t>
      </w:r>
    </w:p>
    <w:p w14:paraId="6076154E">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（6）我们理解，你们无义务必须接受投标价最低的投标，并有权拒绝所有的投标。同时也理解你们不承担我们本次投标的费用。</w:t>
      </w:r>
    </w:p>
    <w:p w14:paraId="1BFF694C">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（7）如果我们中标，为执行合同，我们将按采购文件有关要求提供必要的履约保证金。</w:t>
      </w:r>
    </w:p>
    <w:p w14:paraId="236985EB">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与本投标有关的一切正式往来信函请寄：</w:t>
      </w:r>
    </w:p>
    <w:p w14:paraId="63C87303">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 xml:space="preserve">地址：        传真： </w:t>
      </w:r>
    </w:p>
    <w:p w14:paraId="3135396F">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电话：        邮箱：</w:t>
      </w:r>
      <w:r>
        <w:rPr>
          <w:rFonts w:hint="eastAsia"/>
          <w:color w:val="auto"/>
          <w:sz w:val="24"/>
          <w:szCs w:val="24"/>
          <w:highlight w:val="none"/>
          <w:lang w:val="zh-TW" w:eastAsia="zh-TW"/>
        </w:rPr>
        <w:fldChar w:fldCharType="begin"/>
      </w:r>
      <w:r>
        <w:rPr>
          <w:rFonts w:hint="eastAsia"/>
          <w:color w:val="auto"/>
          <w:sz w:val="24"/>
          <w:szCs w:val="24"/>
          <w:highlight w:val="none"/>
          <w:lang w:val="zh-TW" w:eastAsia="zh-TW"/>
        </w:rPr>
        <w:instrText xml:space="preserve"> HYPERLINK "mailto:califorfood@163.com" </w:instrText>
      </w:r>
      <w:r>
        <w:rPr>
          <w:rFonts w:hint="eastAsia"/>
          <w:color w:val="auto"/>
          <w:sz w:val="24"/>
          <w:szCs w:val="24"/>
          <w:highlight w:val="none"/>
          <w:lang w:val="zh-TW" w:eastAsia="zh-TW"/>
        </w:rPr>
        <w:fldChar w:fldCharType="separate"/>
      </w:r>
      <w:r>
        <w:rPr>
          <w:rFonts w:hint="eastAsia"/>
          <w:color w:val="auto"/>
          <w:sz w:val="24"/>
          <w:szCs w:val="24"/>
          <w:highlight w:val="none"/>
          <w:lang w:val="zh-TW" w:eastAsia="zh-TW"/>
        </w:rPr>
        <w:fldChar w:fldCharType="end"/>
      </w:r>
      <w:r>
        <w:rPr>
          <w:rFonts w:hint="eastAsia"/>
          <w:color w:val="auto"/>
          <w:sz w:val="24"/>
          <w:szCs w:val="24"/>
          <w:highlight w:val="none"/>
          <w:lang w:val="zh-TW" w:eastAsia="zh-TW"/>
        </w:rPr>
        <w:t xml:space="preserve"> </w:t>
      </w:r>
    </w:p>
    <w:p w14:paraId="33C8AC7E">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 xml:space="preserve">供应商开户银行： </w:t>
      </w:r>
    </w:p>
    <w:p w14:paraId="4F3F3B04">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480" w:firstLineChars="200"/>
        <w:textAlignment w:val="auto"/>
        <w:rPr>
          <w:rFonts w:hint="eastAsia"/>
          <w:color w:val="auto"/>
          <w:sz w:val="24"/>
          <w:szCs w:val="24"/>
          <w:highlight w:val="none"/>
          <w:lang w:val="zh-TW" w:eastAsia="zh-TW"/>
        </w:rPr>
      </w:pPr>
      <w:r>
        <w:rPr>
          <w:rFonts w:hint="eastAsia"/>
          <w:color w:val="auto"/>
          <w:sz w:val="24"/>
          <w:szCs w:val="24"/>
          <w:highlight w:val="none"/>
          <w:lang w:val="zh-TW" w:eastAsia="zh-TW"/>
        </w:rPr>
        <w:t xml:space="preserve">供应商银行账户：                        </w:t>
      </w:r>
    </w:p>
    <w:p w14:paraId="373FC2FD">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ind w:left="0" w:firstLine="0" w:firstLineChars="0"/>
        <w:textAlignment w:val="auto"/>
        <w:rPr>
          <w:rFonts w:hint="eastAsia"/>
          <w:color w:val="auto"/>
          <w:sz w:val="24"/>
          <w:szCs w:val="24"/>
          <w:highlight w:val="none"/>
          <w:lang w:val="zh-TW" w:eastAsia="zh-TW"/>
        </w:rPr>
      </w:pPr>
    </w:p>
    <w:p w14:paraId="1BF18D9F">
      <w:pPr>
        <w:pStyle w:val="10"/>
        <w:keepNext w:val="0"/>
        <w:keepLines w:val="0"/>
        <w:pageBreakBefore w:val="0"/>
        <w:tabs>
          <w:tab w:val="left" w:pos="5580"/>
        </w:tabs>
        <w:kinsoku/>
        <w:wordWrap/>
        <w:overflowPunct/>
        <w:topLinePunct w:val="0"/>
        <w:autoSpaceDE/>
        <w:autoSpaceDN/>
        <w:bidi w:val="0"/>
        <w:adjustRightInd/>
        <w:snapToGrid/>
        <w:spacing w:line="360" w:lineRule="auto"/>
        <w:ind w:left="420" w:firstLine="480" w:firstLineChars="200"/>
        <w:jc w:val="right"/>
        <w:textAlignment w:val="auto"/>
        <w:rPr>
          <w:rFonts w:hint="eastAsia"/>
          <w:color w:val="auto"/>
          <w:sz w:val="24"/>
          <w:szCs w:val="24"/>
          <w:highlight w:val="none"/>
          <w:lang w:val="zh-TW" w:eastAsia="zh-TW"/>
        </w:rPr>
      </w:pPr>
      <w:r>
        <w:rPr>
          <w:rFonts w:hint="eastAsia"/>
          <w:color w:val="auto"/>
          <w:sz w:val="24"/>
          <w:szCs w:val="24"/>
          <w:highlight w:val="none"/>
          <w:lang w:val="zh-TW" w:eastAsia="zh-TW"/>
        </w:rPr>
        <w:t>供应商名称（盖</w:t>
      </w:r>
      <w:r>
        <w:rPr>
          <w:rFonts w:hint="eastAsia"/>
          <w:color w:val="auto"/>
          <w:sz w:val="24"/>
          <w:szCs w:val="24"/>
          <w:highlight w:val="none"/>
          <w:lang w:val="en-US" w:eastAsia="zh-CN"/>
        </w:rPr>
        <w:t>公</w:t>
      </w:r>
      <w:r>
        <w:rPr>
          <w:rFonts w:hint="eastAsia"/>
          <w:color w:val="auto"/>
          <w:sz w:val="24"/>
          <w:szCs w:val="24"/>
          <w:highlight w:val="none"/>
          <w:lang w:val="zh-TW" w:eastAsia="zh-TW"/>
        </w:rPr>
        <w:t>章）</w:t>
      </w:r>
      <w:r>
        <w:rPr>
          <w:rFonts w:hint="eastAsia"/>
          <w:color w:val="auto"/>
          <w:sz w:val="24"/>
          <w:szCs w:val="24"/>
          <w:highlight w:val="none"/>
          <w:lang w:val="zh-TW" w:eastAsia="zh-CN"/>
        </w:rPr>
        <w:t>：</w:t>
      </w:r>
      <w:r>
        <w:rPr>
          <w:rFonts w:hint="eastAsia"/>
          <w:color w:val="auto"/>
          <w:sz w:val="24"/>
          <w:szCs w:val="24"/>
          <w:highlight w:val="none"/>
          <w:lang w:val="zh-TW" w:eastAsia="zh-TW"/>
        </w:rPr>
        <w:t xml:space="preserve"> </w:t>
      </w:r>
    </w:p>
    <w:p w14:paraId="49E96F4F">
      <w:pPr>
        <w:pStyle w:val="10"/>
        <w:keepNext w:val="0"/>
        <w:keepLines w:val="0"/>
        <w:pageBreakBefore w:val="0"/>
        <w:tabs>
          <w:tab w:val="left" w:pos="5580"/>
        </w:tabs>
        <w:kinsoku/>
        <w:wordWrap/>
        <w:overflowPunct/>
        <w:topLinePunct w:val="0"/>
        <w:autoSpaceDE/>
        <w:autoSpaceDN/>
        <w:bidi w:val="0"/>
        <w:adjustRightInd/>
        <w:snapToGrid/>
        <w:spacing w:line="360" w:lineRule="auto"/>
        <w:ind w:left="420" w:firstLine="480" w:firstLineChars="200"/>
        <w:jc w:val="right"/>
        <w:textAlignment w:val="auto"/>
        <w:rPr>
          <w:color w:val="auto"/>
          <w:sz w:val="24"/>
          <w:szCs w:val="24"/>
          <w:highlight w:val="none"/>
          <w:lang w:val="zh-TW" w:eastAsia="zh-TW"/>
        </w:rPr>
      </w:pPr>
      <w:r>
        <w:rPr>
          <w:rFonts w:hint="eastAsia"/>
          <w:color w:val="auto"/>
          <w:sz w:val="24"/>
          <w:szCs w:val="24"/>
          <w:highlight w:val="none"/>
          <w:lang w:val="zh-TW" w:eastAsia="zh-TW"/>
        </w:rPr>
        <w:t>法定代表人或授权代表</w:t>
      </w:r>
      <w:r>
        <w:rPr>
          <w:rFonts w:hint="eastAsia"/>
          <w:color w:val="auto"/>
          <w:sz w:val="24"/>
          <w:szCs w:val="24"/>
          <w:highlight w:val="none"/>
          <w:lang w:val="zh-TW" w:eastAsia="zh-CN"/>
        </w:rPr>
        <w:t>（</w:t>
      </w:r>
      <w:r>
        <w:rPr>
          <w:rFonts w:hint="eastAsia"/>
          <w:color w:val="auto"/>
          <w:sz w:val="24"/>
          <w:szCs w:val="24"/>
          <w:highlight w:val="none"/>
          <w:lang w:val="en-US" w:eastAsia="zh-CN"/>
        </w:rPr>
        <w:t>签字或盖章）</w:t>
      </w:r>
      <w:r>
        <w:rPr>
          <w:rFonts w:hint="eastAsia"/>
          <w:color w:val="auto"/>
          <w:sz w:val="24"/>
          <w:szCs w:val="24"/>
          <w:highlight w:val="none"/>
          <w:lang w:val="zh-TW" w:eastAsia="zh-TW"/>
        </w:rPr>
        <w:t>：</w:t>
      </w:r>
    </w:p>
    <w:p w14:paraId="7A3BE667">
      <w:pPr>
        <w:pStyle w:val="10"/>
        <w:keepNext w:val="0"/>
        <w:keepLines w:val="0"/>
        <w:pageBreakBefore w:val="0"/>
        <w:tabs>
          <w:tab w:val="left" w:pos="5580"/>
        </w:tabs>
        <w:kinsoku/>
        <w:wordWrap/>
        <w:overflowPunct/>
        <w:topLinePunct w:val="0"/>
        <w:autoSpaceDE/>
        <w:autoSpaceDN/>
        <w:bidi w:val="0"/>
        <w:adjustRightInd/>
        <w:snapToGrid/>
        <w:spacing w:line="360" w:lineRule="auto"/>
        <w:ind w:left="420" w:firstLine="480" w:firstLineChars="200"/>
        <w:jc w:val="right"/>
        <w:textAlignment w:val="auto"/>
        <w:rPr>
          <w:color w:val="auto"/>
          <w:sz w:val="24"/>
          <w:szCs w:val="24"/>
          <w:highlight w:val="none"/>
        </w:rPr>
      </w:pPr>
      <w:r>
        <w:rPr>
          <w:color w:val="auto"/>
          <w:sz w:val="24"/>
          <w:szCs w:val="24"/>
          <w:highlight w:val="none"/>
          <w:lang w:val="zh-TW" w:eastAsia="zh-TW"/>
        </w:rPr>
        <w:t>日 期：</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日</w:t>
      </w:r>
    </w:p>
    <w:p w14:paraId="2D32E5D8">
      <w:pPr>
        <w:pStyle w:val="3"/>
        <w:numPr>
          <w:ilvl w:val="-1"/>
          <w:numId w:val="0"/>
        </w:numPr>
        <w:bidi w:val="0"/>
        <w:jc w:val="center"/>
        <w:rPr>
          <w:rFonts w:hint="eastAsia" w:ascii="宋体" w:hAnsi="宋体" w:eastAsia="宋体" w:cs="宋体"/>
          <w:b/>
          <w:bCs/>
          <w:color w:val="auto"/>
          <w:kern w:val="0"/>
          <w:sz w:val="32"/>
          <w:szCs w:val="32"/>
          <w:highlight w:val="none"/>
          <w:lang w:val="en-US" w:eastAsia="zh-CN" w:bidi="ar-SA"/>
        </w:rPr>
      </w:pPr>
      <w:r>
        <w:rPr>
          <w:rFonts w:ascii="宋体" w:hAnsi="宋体" w:eastAsia="宋体" w:cs="宋体"/>
          <w:b/>
          <w:color w:val="auto"/>
          <w:sz w:val="24"/>
          <w:szCs w:val="24"/>
          <w:highlight w:val="none"/>
        </w:rPr>
        <w:br w:type="page"/>
      </w:r>
      <w:r>
        <w:rPr>
          <w:rFonts w:hint="eastAsia" w:ascii="宋体" w:hAnsi="宋体" w:cs="宋体"/>
          <w:b/>
          <w:bCs/>
          <w:color w:val="auto"/>
          <w:kern w:val="0"/>
          <w:sz w:val="32"/>
          <w:szCs w:val="32"/>
          <w:highlight w:val="none"/>
          <w:lang w:val="en-US" w:eastAsia="zh-CN"/>
        </w:rPr>
        <w:t>2.</w:t>
      </w:r>
      <w:r>
        <w:rPr>
          <w:rFonts w:hint="eastAsia" w:ascii="宋体" w:hAnsi="宋体" w:eastAsia="宋体" w:cs="宋体"/>
          <w:b/>
          <w:bCs/>
          <w:color w:val="auto"/>
          <w:kern w:val="0"/>
          <w:sz w:val="32"/>
          <w:szCs w:val="32"/>
          <w:highlight w:val="none"/>
          <w:lang w:val="en-US" w:eastAsia="zh-CN" w:bidi="ar-SA"/>
        </w:rPr>
        <w:t>报价一览表</w:t>
      </w:r>
    </w:p>
    <w:p w14:paraId="54B82610">
      <w:pPr>
        <w:rPr>
          <w:rFonts w:ascii="宋体" w:hAnsi="宋体" w:eastAsia="宋体" w:cs="宋体"/>
          <w:color w:val="auto"/>
          <w:sz w:val="24"/>
          <w:szCs w:val="24"/>
          <w:highlight w:val="none"/>
        </w:rPr>
      </w:pPr>
      <w:r>
        <w:rPr>
          <w:rFonts w:ascii="宋体" w:hAnsi="宋体" w:eastAsia="宋体" w:cs="宋体"/>
          <w:color w:val="auto"/>
          <w:sz w:val="24"/>
          <w:szCs w:val="24"/>
          <w:highlight w:val="none"/>
        </w:rPr>
        <w:t>项目名称：</w:t>
      </w:r>
    </w:p>
    <w:p w14:paraId="621163B5">
      <w:pPr>
        <w:bidi w:val="0"/>
        <w:jc w:val="both"/>
        <w:rPr>
          <w:rFonts w:hint="eastAsia"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lang w:val="en-US" w:eastAsia="zh-CN"/>
        </w:rPr>
        <w:t>：</w:t>
      </w:r>
    </w:p>
    <w:p w14:paraId="3CE2EEAE">
      <w:pPr>
        <w:bidi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标段：</w:t>
      </w:r>
    </w:p>
    <w:tbl>
      <w:tblPr>
        <w:tblStyle w:val="17"/>
        <w:tblW w:w="8293" w:type="dxa"/>
        <w:jc w:val="center"/>
        <w:tblLayout w:type="fixed"/>
        <w:tblCellMar>
          <w:top w:w="0" w:type="dxa"/>
          <w:left w:w="0" w:type="dxa"/>
          <w:bottom w:w="0" w:type="dxa"/>
          <w:right w:w="0" w:type="dxa"/>
        </w:tblCellMar>
      </w:tblPr>
      <w:tblGrid>
        <w:gridCol w:w="1788"/>
        <w:gridCol w:w="6505"/>
      </w:tblGrid>
      <w:tr w14:paraId="0030B789">
        <w:tblPrEx>
          <w:tblCellMar>
            <w:top w:w="0" w:type="dxa"/>
            <w:left w:w="0" w:type="dxa"/>
            <w:bottom w:w="0" w:type="dxa"/>
            <w:right w:w="0" w:type="dxa"/>
          </w:tblCellMar>
        </w:tblPrEx>
        <w:trPr>
          <w:trHeight w:val="1132" w:hRule="atLeast"/>
          <w:jc w:val="center"/>
        </w:trPr>
        <w:tc>
          <w:tcPr>
            <w:tcW w:w="1788" w:type="dxa"/>
            <w:tcBorders>
              <w:top w:val="single" w:color="auto" w:sz="8" w:space="0"/>
              <w:left w:val="single" w:color="auto" w:sz="8" w:space="0"/>
              <w:right w:val="single" w:color="auto" w:sz="8" w:space="0"/>
            </w:tcBorders>
            <w:noWrap w:val="0"/>
            <w:vAlign w:val="center"/>
          </w:tcPr>
          <w:p w14:paraId="4DFD0F18">
            <w:pPr>
              <w:keepNext w:val="0"/>
              <w:keepLines w:val="0"/>
              <w:widowControl/>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投标报价</w:t>
            </w:r>
          </w:p>
        </w:tc>
        <w:tc>
          <w:tcPr>
            <w:tcW w:w="6505" w:type="dxa"/>
            <w:tcBorders>
              <w:top w:val="single" w:color="auto" w:sz="8" w:space="0"/>
              <w:left w:val="nil"/>
              <w:right w:val="single" w:color="auto" w:sz="8" w:space="0"/>
            </w:tcBorders>
            <w:noWrap w:val="0"/>
            <w:vAlign w:val="center"/>
          </w:tcPr>
          <w:p w14:paraId="24497296">
            <w:pPr>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人民币</w:t>
            </w:r>
            <w:r>
              <w:rPr>
                <w:rFonts w:hint="eastAsia" w:ascii="宋体" w:hAnsi="宋体" w:eastAsia="宋体" w:cs="宋体"/>
                <w:color w:val="auto"/>
                <w:sz w:val="24"/>
                <w:szCs w:val="24"/>
                <w:u w:val="single"/>
              </w:rPr>
              <w:t xml:space="preserve">            （大写）            </w:t>
            </w:r>
            <w:r>
              <w:rPr>
                <w:rFonts w:hint="eastAsia" w:ascii="宋体" w:hAnsi="宋体" w:eastAsia="宋体" w:cs="宋体"/>
                <w:bCs/>
                <w:color w:val="auto"/>
                <w:sz w:val="24"/>
                <w:szCs w:val="24"/>
                <w:highlight w:val="none"/>
                <w:lang w:val="en-US" w:eastAsia="zh-CN"/>
              </w:rPr>
              <w:t>/亩每年</w:t>
            </w:r>
          </w:p>
          <w:p w14:paraId="4573F54C">
            <w:pPr>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rPr>
            </w:pPr>
            <w:r>
              <w:rPr>
                <w:rFonts w:hint="default" w:ascii="Arial" w:hAnsi="Arial" w:eastAsia="宋体" w:cs="Arial"/>
                <w:color w:val="auto"/>
                <w:sz w:val="24"/>
                <w:szCs w:val="24"/>
                <w:u w:val="none"/>
              </w:rPr>
              <w:t>¥</w:t>
            </w:r>
            <w:r>
              <w:rPr>
                <w:rFonts w:hint="eastAsia" w:ascii="宋体" w:hAnsi="宋体" w:eastAsia="宋体" w:cs="宋体"/>
                <w:color w:val="auto"/>
                <w:sz w:val="24"/>
                <w:szCs w:val="24"/>
                <w:u w:val="single"/>
              </w:rPr>
              <w:t xml:space="preserve">            （小写）            </w:t>
            </w:r>
            <w:r>
              <w:rPr>
                <w:rFonts w:hint="eastAsia" w:ascii="宋体" w:hAnsi="宋体" w:eastAsia="宋体" w:cs="宋体"/>
                <w:color w:val="auto"/>
                <w:sz w:val="24"/>
                <w:szCs w:val="24"/>
              </w:rPr>
              <w:t>元</w:t>
            </w:r>
            <w:r>
              <w:rPr>
                <w:rFonts w:hint="eastAsia" w:ascii="宋体" w:hAnsi="宋体" w:eastAsia="宋体" w:cs="宋体"/>
                <w:bCs/>
                <w:color w:val="auto"/>
                <w:sz w:val="24"/>
                <w:szCs w:val="24"/>
                <w:highlight w:val="none"/>
                <w:lang w:val="en-US" w:eastAsia="zh-CN"/>
              </w:rPr>
              <w:t>/亩每年，租赁单价每五年上调5%</w:t>
            </w:r>
          </w:p>
        </w:tc>
      </w:tr>
      <w:tr w14:paraId="4207496B">
        <w:tblPrEx>
          <w:tblCellMar>
            <w:top w:w="0" w:type="dxa"/>
            <w:left w:w="0" w:type="dxa"/>
            <w:bottom w:w="0" w:type="dxa"/>
            <w:right w:w="0" w:type="dxa"/>
          </w:tblCellMar>
        </w:tblPrEx>
        <w:trPr>
          <w:cantSplit/>
          <w:trHeight w:val="842" w:hRule="atLeast"/>
          <w:jc w:val="center"/>
        </w:trPr>
        <w:tc>
          <w:tcPr>
            <w:tcW w:w="1788" w:type="dxa"/>
            <w:tcBorders>
              <w:top w:val="single" w:color="auto" w:sz="8" w:space="0"/>
              <w:left w:val="single" w:color="auto" w:sz="8" w:space="0"/>
              <w:bottom w:val="single" w:color="auto" w:sz="4" w:space="0"/>
              <w:right w:val="single" w:color="auto" w:sz="8" w:space="0"/>
            </w:tcBorders>
            <w:shd w:val="clear" w:color="auto" w:fill="auto"/>
            <w:noWrap w:val="0"/>
            <w:vAlign w:val="center"/>
          </w:tcPr>
          <w:p w14:paraId="4116B2E4">
            <w:pPr>
              <w:keepNext w:val="0"/>
              <w:keepLines w:val="0"/>
              <w:widowControl/>
              <w:suppressLineNumbers w:val="0"/>
              <w:adjustRightInd w:val="0"/>
              <w:snapToGrid w:val="0"/>
              <w:spacing w:before="0" w:beforeAutospacing="0" w:after="0" w:afterAutospacing="0"/>
              <w:ind w:left="0" w:leftChars="0" w:right="0" w:rightChars="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租赁期限</w:t>
            </w:r>
          </w:p>
        </w:tc>
        <w:tc>
          <w:tcPr>
            <w:tcW w:w="6505" w:type="dxa"/>
            <w:tcBorders>
              <w:top w:val="single" w:color="auto" w:sz="8" w:space="0"/>
              <w:left w:val="nil"/>
              <w:bottom w:val="single" w:color="auto" w:sz="4" w:space="0"/>
              <w:right w:val="single" w:color="auto" w:sz="8" w:space="0"/>
            </w:tcBorders>
            <w:shd w:val="clear" w:color="auto" w:fill="auto"/>
            <w:noWrap w:val="0"/>
            <w:vAlign w:val="center"/>
          </w:tcPr>
          <w:p w14:paraId="7BCF2C63">
            <w:pPr>
              <w:keepNext w:val="0"/>
              <w:keepLines w:val="0"/>
              <w:widowControl/>
              <w:suppressLineNumbers w:val="0"/>
              <w:adjustRightInd w:val="0"/>
              <w:snapToGrid w:val="0"/>
              <w:spacing w:before="0" w:beforeAutospacing="0" w:after="0" w:afterAutospacing="0"/>
              <w:ind w:left="0" w:leftChars="0" w:right="0" w:rightChars="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租赁年限为20年起租，后续视经营情况，经双方充分协商后决定是否续租</w:t>
            </w:r>
          </w:p>
        </w:tc>
      </w:tr>
      <w:tr w14:paraId="14A5ED02">
        <w:tblPrEx>
          <w:tblCellMar>
            <w:top w:w="0" w:type="dxa"/>
            <w:left w:w="0" w:type="dxa"/>
            <w:bottom w:w="0" w:type="dxa"/>
            <w:right w:w="0" w:type="dxa"/>
          </w:tblCellMar>
        </w:tblPrEx>
        <w:trPr>
          <w:cantSplit/>
          <w:trHeight w:val="842" w:hRule="atLeast"/>
          <w:jc w:val="center"/>
        </w:trPr>
        <w:tc>
          <w:tcPr>
            <w:tcW w:w="1788" w:type="dxa"/>
            <w:tcBorders>
              <w:top w:val="single" w:color="auto" w:sz="8" w:space="0"/>
              <w:left w:val="single" w:color="auto" w:sz="8" w:space="0"/>
              <w:bottom w:val="single" w:color="auto" w:sz="4" w:space="0"/>
              <w:right w:val="single" w:color="auto" w:sz="8" w:space="0"/>
            </w:tcBorders>
            <w:shd w:val="clear" w:color="auto" w:fill="auto"/>
            <w:noWrap w:val="0"/>
            <w:vAlign w:val="center"/>
          </w:tcPr>
          <w:p w14:paraId="263F864F">
            <w:pPr>
              <w:keepNext w:val="0"/>
              <w:keepLines w:val="0"/>
              <w:widowControl/>
              <w:suppressLineNumbers w:val="0"/>
              <w:spacing w:before="0" w:beforeAutospacing="0" w:after="0" w:afterAutospacing="0"/>
              <w:ind w:left="0" w:right="0"/>
              <w:jc w:val="center"/>
              <w:rPr>
                <w:rFonts w:hint="eastAsia" w:ascii="宋体" w:hAnsi="宋体" w:eastAsia="宋体" w:cs="宋体"/>
                <w:b/>
                <w:color w:val="auto"/>
                <w:sz w:val="24"/>
                <w:highlight w:val="none"/>
              </w:rPr>
            </w:pPr>
            <w:r>
              <w:rPr>
                <w:rFonts w:hint="eastAsia" w:ascii="宋体" w:hAnsi="宋体" w:eastAsia="宋体" w:cs="宋体"/>
                <w:b/>
                <w:bCs/>
                <w:color w:val="auto"/>
                <w:sz w:val="24"/>
                <w:szCs w:val="24"/>
                <w:highlight w:val="none"/>
                <w:lang w:val="en-US" w:eastAsia="zh-CN"/>
              </w:rPr>
              <w:t>租赁地点</w:t>
            </w:r>
          </w:p>
        </w:tc>
        <w:tc>
          <w:tcPr>
            <w:tcW w:w="6505" w:type="dxa"/>
            <w:tcBorders>
              <w:top w:val="single" w:color="auto" w:sz="8" w:space="0"/>
              <w:left w:val="nil"/>
              <w:bottom w:val="single" w:color="auto" w:sz="4" w:space="0"/>
              <w:right w:val="single" w:color="auto" w:sz="8" w:space="0"/>
            </w:tcBorders>
            <w:shd w:val="clear" w:color="auto" w:fill="auto"/>
            <w:noWrap w:val="0"/>
            <w:vAlign w:val="center"/>
          </w:tcPr>
          <w:p w14:paraId="478053FE">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Cs/>
                <w:color w:val="auto"/>
                <w:sz w:val="24"/>
                <w:szCs w:val="24"/>
                <w:highlight w:val="none"/>
                <w:lang w:val="en-US" w:eastAsia="zh-CN"/>
              </w:rPr>
            </w:pPr>
          </w:p>
        </w:tc>
      </w:tr>
      <w:tr w14:paraId="68927EFB">
        <w:tblPrEx>
          <w:tblCellMar>
            <w:top w:w="0" w:type="dxa"/>
            <w:left w:w="0" w:type="dxa"/>
            <w:bottom w:w="0" w:type="dxa"/>
            <w:right w:w="0" w:type="dxa"/>
          </w:tblCellMar>
        </w:tblPrEx>
        <w:trPr>
          <w:cantSplit/>
          <w:trHeight w:val="842" w:hRule="atLeast"/>
          <w:jc w:val="center"/>
        </w:trPr>
        <w:tc>
          <w:tcPr>
            <w:tcW w:w="1788" w:type="dxa"/>
            <w:tcBorders>
              <w:top w:val="single" w:color="auto" w:sz="8" w:space="0"/>
              <w:left w:val="single" w:color="auto" w:sz="8" w:space="0"/>
              <w:bottom w:val="single" w:color="auto" w:sz="4" w:space="0"/>
              <w:right w:val="single" w:color="auto" w:sz="8" w:space="0"/>
            </w:tcBorders>
            <w:shd w:val="clear" w:color="auto" w:fill="auto"/>
            <w:noWrap w:val="0"/>
            <w:vAlign w:val="center"/>
          </w:tcPr>
          <w:p w14:paraId="2D62E2ED">
            <w:pPr>
              <w:keepNext w:val="0"/>
              <w:keepLines w:val="0"/>
              <w:widowControl/>
              <w:suppressLineNumbers w:val="0"/>
              <w:spacing w:before="0" w:beforeAutospacing="0" w:after="0" w:afterAutospacing="0"/>
              <w:ind w:left="0" w:right="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赔付标准</w:t>
            </w:r>
          </w:p>
        </w:tc>
        <w:tc>
          <w:tcPr>
            <w:tcW w:w="6505" w:type="dxa"/>
            <w:tcBorders>
              <w:top w:val="single" w:color="auto" w:sz="8" w:space="0"/>
              <w:left w:val="nil"/>
              <w:bottom w:val="single" w:color="auto" w:sz="4" w:space="0"/>
              <w:right w:val="single" w:color="auto" w:sz="8" w:space="0"/>
            </w:tcBorders>
            <w:shd w:val="clear" w:color="auto" w:fill="auto"/>
            <w:noWrap w:val="0"/>
            <w:vAlign w:val="center"/>
          </w:tcPr>
          <w:p w14:paraId="032D5273">
            <w:pPr>
              <w:keepNext w:val="0"/>
              <w:keepLines w:val="0"/>
              <w:widowControl/>
              <w:suppressLineNumbers w:val="0"/>
              <w:adjustRightInd w:val="0"/>
              <w:snapToGrid w:val="0"/>
              <w:spacing w:before="0" w:beforeAutospacing="0" w:after="0" w:afterAutospacing="0"/>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eastAsia="zh-CN"/>
              </w:rPr>
              <w:t>目前项目地上有海胶金江分公司部分橡胶林，</w:t>
            </w:r>
            <w:r>
              <w:rPr>
                <w:rFonts w:hint="eastAsia" w:ascii="宋体" w:hAnsi="宋体" w:eastAsia="宋体" w:cs="宋体"/>
                <w:bCs/>
                <w:color w:val="auto"/>
                <w:sz w:val="24"/>
                <w:szCs w:val="24"/>
                <w:highlight w:val="none"/>
                <w:lang w:val="en-US" w:eastAsia="zh-CN"/>
              </w:rPr>
              <w:t>成交供应商</w:t>
            </w:r>
            <w:r>
              <w:rPr>
                <w:rFonts w:hint="eastAsia" w:ascii="宋体" w:hAnsi="宋体" w:eastAsia="宋体" w:cs="宋体"/>
                <w:bCs/>
                <w:color w:val="auto"/>
                <w:sz w:val="24"/>
                <w:szCs w:val="24"/>
                <w:highlight w:val="none"/>
                <w:lang w:eastAsia="zh-CN"/>
              </w:rPr>
              <w:t>进场，</w:t>
            </w:r>
            <w:r>
              <w:rPr>
                <w:rFonts w:hint="eastAsia" w:ascii="宋体" w:hAnsi="宋体" w:eastAsia="宋体" w:cs="宋体"/>
                <w:bCs/>
                <w:color w:val="auto"/>
                <w:sz w:val="24"/>
                <w:szCs w:val="24"/>
                <w:highlight w:val="none"/>
                <w:lang w:val="en-US" w:eastAsia="zh-CN"/>
              </w:rPr>
              <w:t>须</w:t>
            </w:r>
            <w:r>
              <w:rPr>
                <w:rFonts w:hint="eastAsia" w:ascii="宋体" w:hAnsi="宋体" w:eastAsia="宋体" w:cs="宋体"/>
                <w:bCs/>
                <w:color w:val="auto"/>
                <w:sz w:val="24"/>
                <w:szCs w:val="24"/>
                <w:highlight w:val="none"/>
                <w:lang w:eastAsia="zh-CN"/>
              </w:rPr>
              <w:t>按15000元/亩的标准支付（包含橡胶补偿款、橡胶材积款、安置费等）</w:t>
            </w:r>
            <w:r>
              <w:rPr>
                <w:rFonts w:hint="eastAsia" w:ascii="宋体" w:hAnsi="宋体" w:eastAsia="宋体" w:cs="宋体"/>
                <w:bCs/>
                <w:color w:val="auto"/>
                <w:sz w:val="24"/>
                <w:szCs w:val="24"/>
                <w:highlight w:val="none"/>
                <w:lang w:val="en-US" w:eastAsia="zh-CN"/>
              </w:rPr>
              <w:t>赔偿费用</w:t>
            </w:r>
            <w:r>
              <w:rPr>
                <w:rFonts w:hint="eastAsia" w:ascii="宋体" w:hAnsi="宋体" w:eastAsia="宋体" w:cs="宋体"/>
                <w:bCs/>
                <w:color w:val="auto"/>
                <w:sz w:val="24"/>
                <w:szCs w:val="24"/>
                <w:highlight w:val="none"/>
                <w:lang w:eastAsia="zh-CN"/>
              </w:rPr>
              <w:t>；除上述橡胶林外，地块内其他附着物（含槟榔树、水果树等各类经济作物）的迁移、砍伐、清理及对应赔偿款，均由供应商自行承担并负责完成；地块内</w:t>
            </w:r>
            <w:r>
              <w:rPr>
                <w:rFonts w:hint="eastAsia" w:ascii="宋体" w:hAnsi="宋体" w:eastAsia="宋体" w:cs="宋体"/>
                <w:bCs/>
                <w:color w:val="auto"/>
                <w:sz w:val="24"/>
                <w:szCs w:val="24"/>
                <w:highlight w:val="none"/>
                <w:lang w:val="en-US" w:eastAsia="zh-CN"/>
              </w:rPr>
              <w:t>如</w:t>
            </w:r>
            <w:r>
              <w:rPr>
                <w:rFonts w:hint="eastAsia" w:ascii="宋体" w:hAnsi="宋体" w:eastAsia="宋体" w:cs="宋体"/>
                <w:bCs/>
                <w:color w:val="auto"/>
                <w:sz w:val="24"/>
                <w:szCs w:val="24"/>
                <w:highlight w:val="none"/>
                <w:lang w:eastAsia="zh-CN"/>
              </w:rPr>
              <w:t>涉及迁坟工作</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lang w:eastAsia="zh-CN"/>
              </w:rPr>
              <w:t>，由供应商按海南省现行迁坟补偿政策标准支付赔偿款，并负责完成迁坟相关工作</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lang w:eastAsia="zh-CN"/>
              </w:rPr>
              <w:t>赔付完成后方可与</w:t>
            </w:r>
            <w:r>
              <w:rPr>
                <w:rFonts w:hint="eastAsia" w:ascii="宋体" w:hAnsi="宋体" w:eastAsia="宋体" w:cs="宋体"/>
                <w:bCs/>
                <w:color w:val="auto"/>
                <w:sz w:val="24"/>
                <w:szCs w:val="24"/>
                <w:highlight w:val="none"/>
                <w:lang w:val="en-US" w:eastAsia="zh-CN"/>
              </w:rPr>
              <w:t>采购人</w:t>
            </w:r>
            <w:r>
              <w:rPr>
                <w:rFonts w:hint="eastAsia" w:ascii="宋体" w:hAnsi="宋体" w:eastAsia="宋体" w:cs="宋体"/>
                <w:bCs/>
                <w:color w:val="auto"/>
                <w:sz w:val="24"/>
                <w:szCs w:val="24"/>
                <w:highlight w:val="none"/>
                <w:lang w:eastAsia="zh-CN"/>
              </w:rPr>
              <w:t>签订承包合同</w:t>
            </w:r>
          </w:p>
        </w:tc>
      </w:tr>
      <w:tr w14:paraId="7D860A7B">
        <w:tblPrEx>
          <w:tblCellMar>
            <w:top w:w="0" w:type="dxa"/>
            <w:left w:w="0" w:type="dxa"/>
            <w:bottom w:w="0" w:type="dxa"/>
            <w:right w:w="0" w:type="dxa"/>
          </w:tblCellMar>
        </w:tblPrEx>
        <w:trPr>
          <w:trHeight w:val="792" w:hRule="atLeast"/>
          <w:jc w:val="center"/>
        </w:trPr>
        <w:tc>
          <w:tcPr>
            <w:tcW w:w="1788" w:type="dxa"/>
            <w:tcBorders>
              <w:top w:val="single" w:color="auto" w:sz="8" w:space="0"/>
              <w:left w:val="single" w:color="auto" w:sz="8" w:space="0"/>
              <w:bottom w:val="single" w:color="auto" w:sz="8" w:space="0"/>
              <w:right w:val="single" w:color="auto" w:sz="8" w:space="0"/>
            </w:tcBorders>
            <w:noWrap w:val="0"/>
            <w:vAlign w:val="center"/>
          </w:tcPr>
          <w:p w14:paraId="2A683580">
            <w:pPr>
              <w:keepNext w:val="0"/>
              <w:keepLines w:val="0"/>
              <w:widowControl/>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tc>
        <w:tc>
          <w:tcPr>
            <w:tcW w:w="6505" w:type="dxa"/>
            <w:tcBorders>
              <w:top w:val="single" w:color="auto" w:sz="8" w:space="0"/>
              <w:left w:val="nil"/>
              <w:bottom w:val="single" w:color="auto" w:sz="8" w:space="0"/>
              <w:right w:val="single" w:color="auto" w:sz="8" w:space="0"/>
            </w:tcBorders>
            <w:noWrap w:val="0"/>
            <w:vAlign w:val="center"/>
          </w:tcPr>
          <w:p w14:paraId="517ED2B5">
            <w:pPr>
              <w:keepNext w:val="0"/>
              <w:keepLines w:val="0"/>
              <w:widowControl/>
              <w:suppressLineNumbers w:val="0"/>
              <w:spacing w:before="0" w:beforeAutospacing="0" w:after="0" w:afterAutospacing="0"/>
              <w:ind w:left="110" w:leftChars="50" w:right="0"/>
              <w:rPr>
                <w:rFonts w:hint="eastAsia" w:ascii="宋体" w:hAnsi="宋体" w:eastAsia="宋体" w:cs="宋体"/>
                <w:color w:val="auto"/>
                <w:sz w:val="24"/>
                <w:szCs w:val="24"/>
              </w:rPr>
            </w:pPr>
          </w:p>
        </w:tc>
      </w:tr>
    </w:tbl>
    <w:p w14:paraId="60B1B2BE">
      <w:pPr>
        <w:bidi w:val="0"/>
        <w:jc w:val="both"/>
        <w:rPr>
          <w:rFonts w:hint="default" w:ascii="宋体" w:hAnsi="宋体" w:eastAsia="宋体" w:cs="宋体"/>
          <w:color w:val="0000FF"/>
          <w:sz w:val="24"/>
          <w:szCs w:val="24"/>
          <w:highlight w:val="none"/>
          <w:lang w:val="en-US" w:eastAsia="zh-CN"/>
        </w:rPr>
      </w:pPr>
    </w:p>
    <w:p w14:paraId="1D7DBAEC">
      <w:pPr>
        <w:bidi w:val="0"/>
        <w:rPr>
          <w:rFonts w:hint="eastAsia"/>
          <w:color w:val="auto"/>
          <w:highlight w:val="none"/>
        </w:rPr>
      </w:pPr>
    </w:p>
    <w:p w14:paraId="1CEEC630">
      <w:pPr>
        <w:pStyle w:val="10"/>
        <w:tabs>
          <w:tab w:val="left" w:pos="55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TW"/>
        </w:rPr>
        <w:t>供应商名称</w:t>
      </w:r>
      <w:r>
        <w:rPr>
          <w:rFonts w:hint="eastAsia" w:ascii="宋体" w:hAnsi="宋体" w:eastAsia="宋体" w:cs="宋体"/>
          <w:color w:val="auto"/>
          <w:sz w:val="24"/>
          <w:szCs w:val="24"/>
          <w:highlight w:val="none"/>
          <w:lang w:val="zh-TW" w:eastAsia="zh-TW"/>
        </w:rPr>
        <w:t>（盖</w:t>
      </w:r>
      <w:r>
        <w:rPr>
          <w:rFonts w:hint="eastAsia" w:cs="宋体"/>
          <w:color w:val="auto"/>
          <w:sz w:val="24"/>
          <w:szCs w:val="24"/>
          <w:highlight w:val="none"/>
          <w:lang w:val="en-US" w:eastAsia="zh-CN"/>
        </w:rPr>
        <w:t>公</w:t>
      </w:r>
      <w:r>
        <w:rPr>
          <w:rFonts w:hint="eastAsia" w:ascii="宋体" w:hAnsi="宋体" w:eastAsia="宋体" w:cs="宋体"/>
          <w:color w:val="auto"/>
          <w:sz w:val="24"/>
          <w:szCs w:val="24"/>
          <w:highlight w:val="none"/>
          <w:lang w:val="zh-TW" w:eastAsia="zh-TW"/>
        </w:rPr>
        <w:t>章）：</w:t>
      </w:r>
      <w:r>
        <w:rPr>
          <w:rFonts w:hint="eastAsia" w:ascii="宋体" w:hAnsi="宋体" w:eastAsia="宋体" w:cs="宋体"/>
          <w:color w:val="auto"/>
          <w:sz w:val="24"/>
          <w:szCs w:val="24"/>
          <w:highlight w:val="none"/>
          <w:u w:val="single"/>
        </w:rPr>
        <w:tab/>
      </w:r>
    </w:p>
    <w:p w14:paraId="7491EBA7">
      <w:pPr>
        <w:pStyle w:val="10"/>
        <w:tabs>
          <w:tab w:val="left" w:pos="5580"/>
        </w:tabs>
        <w:spacing w:line="360" w:lineRule="auto"/>
        <w:ind w:firstLine="480" w:firstLineChars="200"/>
        <w:rPr>
          <w:rFonts w:hint="eastAsia" w:ascii="宋体" w:hAnsi="宋体" w:eastAsia="宋体" w:cs="宋体"/>
          <w:color w:val="auto"/>
          <w:sz w:val="24"/>
          <w:szCs w:val="24"/>
          <w:highlight w:val="none"/>
          <w:u w:val="single"/>
        </w:rPr>
      </w:pPr>
      <w:r>
        <w:rPr>
          <w:rFonts w:ascii="宋体" w:hAnsi="宋体" w:eastAsia="宋体" w:cs="宋体"/>
          <w:color w:val="auto"/>
          <w:sz w:val="24"/>
          <w:szCs w:val="24"/>
          <w:highlight w:val="none"/>
        </w:rPr>
        <w:t>法定代表人或授权代表</w:t>
      </w:r>
      <w:r>
        <w:rPr>
          <w:rFonts w:hint="eastAsia" w:cs="宋体"/>
          <w:color w:val="auto"/>
          <w:sz w:val="24"/>
          <w:szCs w:val="24"/>
          <w:highlight w:val="none"/>
          <w:lang w:val="zh-TW" w:eastAsia="zh-CN"/>
        </w:rPr>
        <w:t>（</w:t>
      </w:r>
      <w:r>
        <w:rPr>
          <w:rFonts w:hint="eastAsia" w:cs="宋体"/>
          <w:color w:val="auto"/>
          <w:sz w:val="24"/>
          <w:szCs w:val="24"/>
          <w:highlight w:val="none"/>
          <w:lang w:val="en-US" w:eastAsia="zh-CN"/>
        </w:rPr>
        <w:t>签字或盖章）</w:t>
      </w:r>
      <w:r>
        <w:rPr>
          <w:color w:val="auto"/>
          <w:sz w:val="24"/>
          <w:szCs w:val="24"/>
          <w:highlight w:val="none"/>
          <w:lang w:val="zh-TW"/>
        </w:rPr>
        <w:t>：</w:t>
      </w:r>
      <w:r>
        <w:rPr>
          <w:rFonts w:hint="eastAsia" w:ascii="宋体" w:hAnsi="宋体" w:eastAsia="宋体" w:cs="宋体"/>
          <w:color w:val="auto"/>
          <w:sz w:val="24"/>
          <w:szCs w:val="24"/>
          <w:highlight w:val="none"/>
          <w:u w:val="single"/>
        </w:rPr>
        <w:tab/>
      </w:r>
    </w:p>
    <w:p w14:paraId="1A085306">
      <w:pPr>
        <w:pStyle w:val="10"/>
        <w:tabs>
          <w:tab w:val="left" w:pos="5580"/>
        </w:tabs>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TW"/>
        </w:rPr>
        <w:t>日期：</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日</w:t>
      </w:r>
    </w:p>
    <w:p w14:paraId="096ABBF1">
      <w:pPr>
        <w:spacing w:after="0" w:line="360" w:lineRule="auto"/>
        <w:jc w:val="both"/>
        <w:rPr>
          <w:rFonts w:ascii="宋体" w:hAnsi="宋体" w:eastAsia="宋体" w:cs="宋体"/>
          <w:b/>
          <w:color w:val="auto"/>
          <w:sz w:val="24"/>
          <w:szCs w:val="24"/>
          <w:highlight w:val="none"/>
        </w:rPr>
      </w:pPr>
    </w:p>
    <w:p w14:paraId="0F929CAF">
      <w:pPr>
        <w:spacing w:after="0" w:line="360" w:lineRule="auto"/>
        <w:jc w:val="both"/>
        <w:rPr>
          <w:rFonts w:ascii="宋体" w:hAnsi="宋体" w:eastAsia="宋体" w:cs="宋体"/>
          <w:b/>
          <w:color w:val="auto"/>
          <w:sz w:val="24"/>
          <w:szCs w:val="24"/>
          <w:highlight w:val="none"/>
        </w:rPr>
      </w:pPr>
    </w:p>
    <w:p w14:paraId="0FEC6290">
      <w:pPr>
        <w:spacing w:after="0" w:line="360" w:lineRule="auto"/>
        <w:jc w:val="both"/>
        <w:rPr>
          <w:rFonts w:hint="default" w:ascii="宋体" w:hAnsi="宋体" w:eastAsia="宋体" w:cs="宋体"/>
          <w:b/>
          <w:color w:val="auto"/>
          <w:sz w:val="24"/>
          <w:szCs w:val="24"/>
          <w:highlight w:val="none"/>
          <w:lang w:val="en-US" w:eastAsia="zh-CN"/>
        </w:rPr>
        <w:sectPr>
          <w:pgSz w:w="11906" w:h="16838"/>
          <w:pgMar w:top="1440" w:right="1797" w:bottom="1440" w:left="1797" w:header="851" w:footer="992" w:gutter="0"/>
          <w:pgNumType w:fmt="decimal"/>
          <w:cols w:space="720" w:num="1"/>
          <w:docGrid w:linePitch="312" w:charSpace="0"/>
        </w:sectPr>
      </w:pPr>
    </w:p>
    <w:p w14:paraId="47AA6F6D">
      <w:pPr>
        <w:spacing w:after="0" w:line="360" w:lineRule="auto"/>
        <w:ind w:left="0" w:leftChars="0" w:firstLine="643" w:firstLineChars="200"/>
        <w:jc w:val="center"/>
        <w:rPr>
          <w:rFonts w:hint="eastAsia" w:ascii="宋体" w:hAnsi="宋体" w:eastAsia="宋体" w:cs="宋体"/>
          <w:b/>
          <w:bCs/>
          <w:color w:val="auto"/>
          <w:kern w:val="0"/>
          <w:sz w:val="32"/>
          <w:szCs w:val="32"/>
          <w:highlight w:val="none"/>
          <w:lang w:val="en-US" w:eastAsia="zh-CN" w:bidi="ar-SA"/>
        </w:rPr>
      </w:pPr>
      <w:r>
        <w:rPr>
          <w:rFonts w:hint="eastAsia" w:ascii="宋体" w:hAnsi="宋体" w:eastAsia="宋体" w:cs="宋体"/>
          <w:b/>
          <w:bCs/>
          <w:color w:val="auto"/>
          <w:kern w:val="0"/>
          <w:sz w:val="32"/>
          <w:szCs w:val="32"/>
          <w:highlight w:val="none"/>
          <w:lang w:val="en-US" w:eastAsia="zh-CN" w:bidi="ar-SA"/>
        </w:rPr>
        <w:t>3.法定代表人身份证明</w:t>
      </w:r>
    </w:p>
    <w:p w14:paraId="5B7F97BA">
      <w:pPr>
        <w:widowControl w:val="0"/>
        <w:ind w:firstLine="1099" w:firstLineChars="458"/>
        <w:jc w:val="both"/>
        <w:rPr>
          <w:rFonts w:ascii="宋体" w:hAnsi="宋体" w:eastAsia="宋体" w:cs="宋体"/>
          <w:color w:val="auto"/>
          <w:sz w:val="24"/>
          <w:szCs w:val="24"/>
          <w:highlight w:val="none"/>
        </w:rPr>
      </w:pPr>
    </w:p>
    <w:p w14:paraId="0FCF4FA1">
      <w:pPr>
        <w:widowControl w:val="0"/>
        <w:ind w:firstLine="1099" w:firstLineChars="458"/>
        <w:jc w:val="both"/>
        <w:rPr>
          <w:rFonts w:ascii="宋体" w:hAnsi="宋体" w:eastAsia="宋体" w:cs="宋体"/>
          <w:color w:val="auto"/>
          <w:sz w:val="24"/>
          <w:szCs w:val="24"/>
          <w:highlight w:val="none"/>
          <w:u w:val="single"/>
        </w:rPr>
      </w:pPr>
      <w:r>
        <w:rPr>
          <w:rFonts w:ascii="宋体" w:hAnsi="宋体" w:eastAsia="宋体" w:cs="宋体"/>
          <w:color w:val="auto"/>
          <w:sz w:val="24"/>
          <w:szCs w:val="24"/>
          <w:highlight w:val="none"/>
        </w:rPr>
        <w:t>单位名称：</w:t>
      </w:r>
    </w:p>
    <w:p w14:paraId="10D6B611">
      <w:pPr>
        <w:widowControl w:val="0"/>
        <w:ind w:firstLine="1099" w:firstLineChars="458"/>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单位性质：</w:t>
      </w:r>
    </w:p>
    <w:p w14:paraId="6E3EA6D5">
      <w:pPr>
        <w:widowControl w:val="0"/>
        <w:ind w:firstLine="1099" w:firstLineChars="458"/>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单位地址：</w:t>
      </w:r>
    </w:p>
    <w:p w14:paraId="10A16FA6">
      <w:pPr>
        <w:widowControl w:val="0"/>
        <w:ind w:firstLine="1099" w:firstLineChars="458"/>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单位成立时间：</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日</w:t>
      </w:r>
    </w:p>
    <w:p w14:paraId="4894AF3C">
      <w:pPr>
        <w:widowControl w:val="0"/>
        <w:ind w:firstLine="1099" w:firstLineChars="458"/>
        <w:jc w:val="both"/>
        <w:rPr>
          <w:rFonts w:ascii="宋体" w:hAnsi="宋体" w:eastAsia="宋体" w:cs="宋体"/>
          <w:color w:val="auto"/>
          <w:sz w:val="24"/>
          <w:szCs w:val="24"/>
          <w:highlight w:val="none"/>
          <w:u w:val="single"/>
        </w:rPr>
      </w:pPr>
      <w:r>
        <w:rPr>
          <w:rFonts w:ascii="宋体" w:hAnsi="宋体" w:eastAsia="宋体" w:cs="宋体"/>
          <w:color w:val="auto"/>
          <w:sz w:val="24"/>
          <w:szCs w:val="24"/>
          <w:highlight w:val="none"/>
        </w:rPr>
        <w:t>单位经营期限：</w:t>
      </w:r>
    </w:p>
    <w:p w14:paraId="2BA04746">
      <w:pPr>
        <w:widowControl w:val="0"/>
        <w:ind w:firstLine="1099" w:firstLineChars="458"/>
        <w:jc w:val="both"/>
        <w:rPr>
          <w:rFonts w:ascii="宋体" w:hAnsi="宋体" w:eastAsia="宋体" w:cs="宋体"/>
          <w:color w:val="auto"/>
          <w:sz w:val="24"/>
          <w:szCs w:val="24"/>
          <w:highlight w:val="none"/>
          <w:u w:val="single"/>
        </w:rPr>
      </w:pPr>
      <w:r>
        <w:rPr>
          <w:rFonts w:ascii="宋体" w:hAnsi="宋体" w:eastAsia="宋体" w:cs="宋体"/>
          <w:color w:val="auto"/>
          <w:sz w:val="24"/>
          <w:szCs w:val="24"/>
          <w:highlight w:val="none"/>
        </w:rPr>
        <w:t>姓    名：         性 别：</w:t>
      </w:r>
    </w:p>
    <w:p w14:paraId="3F75B680">
      <w:pPr>
        <w:widowControl w:val="0"/>
        <w:ind w:firstLine="1099" w:firstLineChars="458"/>
        <w:jc w:val="both"/>
        <w:rPr>
          <w:rFonts w:ascii="宋体" w:hAnsi="宋体" w:eastAsia="宋体" w:cs="宋体"/>
          <w:color w:val="auto"/>
          <w:sz w:val="24"/>
          <w:szCs w:val="24"/>
          <w:highlight w:val="none"/>
          <w:u w:val="single"/>
        </w:rPr>
      </w:pPr>
      <w:r>
        <w:rPr>
          <w:rFonts w:ascii="宋体" w:hAnsi="宋体" w:eastAsia="宋体" w:cs="宋体"/>
          <w:color w:val="auto"/>
          <w:sz w:val="24"/>
          <w:szCs w:val="24"/>
          <w:highlight w:val="none"/>
        </w:rPr>
        <w:t>年    龄：         职 务：</w:t>
      </w:r>
    </w:p>
    <w:p w14:paraId="4FA56D4B">
      <w:pPr>
        <w:widowControl w:val="0"/>
        <w:ind w:firstLine="1099" w:firstLineChars="458"/>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系</w:t>
      </w:r>
      <w:r>
        <w:rPr>
          <w:rFonts w:ascii="宋体" w:hAnsi="宋体" w:eastAsia="宋体" w:cs="宋体"/>
          <w:color w:val="auto"/>
          <w:sz w:val="24"/>
          <w:szCs w:val="24"/>
          <w:highlight w:val="none"/>
          <w:u w:val="single"/>
        </w:rPr>
        <w:t xml:space="preserve">             （供应商名称）        </w:t>
      </w:r>
      <w:r>
        <w:rPr>
          <w:rFonts w:ascii="宋体" w:hAnsi="宋体" w:eastAsia="宋体" w:cs="宋体"/>
          <w:color w:val="auto"/>
          <w:sz w:val="24"/>
          <w:szCs w:val="24"/>
          <w:highlight w:val="none"/>
        </w:rPr>
        <w:t>的法定代表人。</w:t>
      </w:r>
    </w:p>
    <w:p w14:paraId="1E5CC56D">
      <w:pPr>
        <w:widowControl w:val="0"/>
        <w:ind w:firstLine="1099" w:firstLineChars="458"/>
        <w:jc w:val="both"/>
        <w:rPr>
          <w:rFonts w:ascii="宋体" w:hAnsi="宋体" w:eastAsia="宋体" w:cs="宋体"/>
          <w:color w:val="auto"/>
          <w:sz w:val="24"/>
          <w:szCs w:val="24"/>
          <w:highlight w:val="none"/>
        </w:rPr>
      </w:pPr>
    </w:p>
    <w:p w14:paraId="56839531">
      <w:pPr>
        <w:widowControl w:val="0"/>
        <w:ind w:firstLine="1099" w:firstLineChars="458"/>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特此证明。</w:t>
      </w:r>
    </w:p>
    <w:p w14:paraId="1569E997">
      <w:pPr>
        <w:widowControl w:val="0"/>
        <w:ind w:firstLine="1099" w:firstLineChars="458"/>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附：法定代表人身份证复印件</w:t>
      </w:r>
    </w:p>
    <w:p w14:paraId="1E4217C6">
      <w:pPr>
        <w:widowControl w:val="0"/>
        <w:ind w:firstLine="1099" w:firstLineChars="458"/>
        <w:jc w:val="both"/>
        <w:rPr>
          <w:rFonts w:ascii="宋体" w:hAnsi="宋体" w:eastAsia="宋体" w:cs="宋体"/>
          <w:color w:val="auto"/>
          <w:sz w:val="24"/>
          <w:szCs w:val="24"/>
          <w:highlight w:val="none"/>
        </w:rPr>
      </w:pPr>
    </w:p>
    <w:p w14:paraId="14B4E662">
      <w:pPr>
        <w:widowControl w:val="0"/>
        <w:ind w:firstLine="1099" w:firstLineChars="458"/>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zh-TW"/>
        </w:rPr>
        <w:t>供应商名称</w:t>
      </w:r>
      <w:r>
        <w:rPr>
          <w:rFonts w:hint="eastAsia" w:ascii="宋体" w:hAnsi="宋体" w:eastAsia="宋体" w:cs="宋体"/>
          <w:color w:val="auto"/>
          <w:sz w:val="24"/>
          <w:szCs w:val="24"/>
          <w:highlight w:val="none"/>
          <w:lang w:val="zh-TW" w:eastAsia="zh-TW"/>
        </w:rPr>
        <w:t>（盖</w:t>
      </w:r>
      <w:r>
        <w:rPr>
          <w:rFonts w:hint="eastAsia" w:cs="宋体"/>
          <w:color w:val="auto"/>
          <w:sz w:val="24"/>
          <w:szCs w:val="24"/>
          <w:highlight w:val="none"/>
          <w:lang w:val="en-US" w:eastAsia="zh-CN"/>
        </w:rPr>
        <w:t>公</w:t>
      </w:r>
      <w:r>
        <w:rPr>
          <w:rFonts w:hint="eastAsia" w:ascii="宋体" w:hAnsi="宋体" w:eastAsia="宋体" w:cs="宋体"/>
          <w:color w:val="auto"/>
          <w:sz w:val="24"/>
          <w:szCs w:val="24"/>
          <w:highlight w:val="none"/>
          <w:lang w:val="zh-TW" w:eastAsia="zh-TW"/>
        </w:rPr>
        <w:t>章）</w:t>
      </w:r>
      <w:r>
        <w:rPr>
          <w:rFonts w:hint="eastAsia" w:ascii="宋体" w:hAnsi="宋体" w:eastAsia="宋体" w:cs="宋体"/>
          <w:color w:val="auto"/>
          <w:sz w:val="24"/>
          <w:szCs w:val="24"/>
          <w:highlight w:val="none"/>
          <w:lang w:val="zh-TW" w:eastAsia="zh-CN"/>
        </w:rPr>
        <w:t>：</w:t>
      </w:r>
    </w:p>
    <w:p w14:paraId="266DD533">
      <w:pPr>
        <w:widowControl w:val="0"/>
        <w:ind w:firstLine="1099" w:firstLineChars="458"/>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日</w:t>
      </w:r>
    </w:p>
    <w:p w14:paraId="1B2507D0">
      <w:pPr>
        <w:widowControl w:val="0"/>
        <w:spacing w:line="420" w:lineRule="exact"/>
        <w:ind w:right="74" w:firstLine="1410" w:firstLineChars="641"/>
        <w:rPr>
          <w:rFonts w:ascii="宋体" w:hAnsi="宋体" w:eastAsia="宋体" w:cs="宋体"/>
          <w:bCs/>
          <w:color w:val="auto"/>
          <w:highlight w:val="none"/>
        </w:rPr>
      </w:pPr>
    </w:p>
    <w:p w14:paraId="4B3AEEC4">
      <w:pPr>
        <w:widowControl w:val="0"/>
        <w:tabs>
          <w:tab w:val="left" w:pos="5580"/>
        </w:tabs>
        <w:spacing w:line="360" w:lineRule="auto"/>
        <w:ind w:firstLine="1410" w:firstLineChars="641"/>
        <w:jc w:val="both"/>
        <w:rPr>
          <w:rFonts w:ascii="宋体" w:hAnsi="宋体" w:eastAsia="宋体" w:cs="宋体"/>
          <w:color w:val="auto"/>
          <w:sz w:val="24"/>
          <w:szCs w:val="24"/>
          <w:highlight w:val="none"/>
          <w:u w:val="single"/>
        </w:rPr>
      </w:pPr>
      <w:r>
        <w:rPr>
          <w:rFonts w:ascii="宋体" w:hAnsi="宋体" w:eastAsia="宋体" w:cs="宋体"/>
          <w:bCs/>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812165</wp:posOffset>
                </wp:positionH>
                <wp:positionV relativeFrom="paragraph">
                  <wp:posOffset>304165</wp:posOffset>
                </wp:positionV>
                <wp:extent cx="4390390" cy="2179320"/>
                <wp:effectExtent l="5080" t="4445" r="5080" b="6985"/>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4390390" cy="2179320"/>
                        </a:xfrm>
                        <a:prstGeom prst="rect">
                          <a:avLst/>
                        </a:prstGeom>
                        <a:solidFill>
                          <a:srgbClr val="FFFFFF"/>
                        </a:solidFill>
                        <a:ln w="9525">
                          <a:solidFill>
                            <a:srgbClr val="000000"/>
                          </a:solidFill>
                          <a:miter lim="200000"/>
                        </a:ln>
                        <a:effectLst/>
                      </wps:spPr>
                      <wps:txbx>
                        <w:txbxContent>
                          <w:p w14:paraId="38824943">
                            <w:pPr>
                              <w:widowControl w:val="0"/>
                              <w:jc w:val="center"/>
                              <w:rPr>
                                <w:rFonts w:hint="default" w:ascii="宋体"/>
                                <w:sz w:val="34"/>
                                <w:szCs w:val="20"/>
                              </w:rPr>
                            </w:pPr>
                          </w:p>
                          <w:p w14:paraId="1758A26F">
                            <w:pPr>
                              <w:widowControl w:val="0"/>
                              <w:jc w:val="center"/>
                              <w:rPr>
                                <w:rFonts w:hint="default" w:ascii="宋体"/>
                                <w:sz w:val="34"/>
                                <w:szCs w:val="20"/>
                              </w:rPr>
                            </w:pPr>
                          </w:p>
                          <w:p w14:paraId="64F05869">
                            <w:pPr>
                              <w:widowControl w:val="0"/>
                              <w:jc w:val="center"/>
                              <w:rPr>
                                <w:rFonts w:hint="default" w:ascii="宋体"/>
                                <w:sz w:val="28"/>
                                <w:szCs w:val="28"/>
                              </w:rPr>
                            </w:pPr>
                          </w:p>
                          <w:p w14:paraId="5E2876C9">
                            <w:pPr>
                              <w:widowControl w:val="0"/>
                              <w:jc w:val="center"/>
                              <w:rPr>
                                <w:rFonts w:hint="default" w:ascii="宋体"/>
                                <w:sz w:val="24"/>
                                <w:szCs w:val="24"/>
                              </w:rPr>
                            </w:pPr>
                            <w:r>
                              <w:rPr>
                                <w:rFonts w:ascii="宋体" w:hAnsi="宋体" w:eastAsia="宋体" w:cs="宋体"/>
                                <w:sz w:val="24"/>
                                <w:szCs w:val="24"/>
                              </w:rPr>
                              <w:t>法人代表人身份证正</w:t>
                            </w:r>
                            <w:r>
                              <w:rPr>
                                <w:rFonts w:hint="eastAsia" w:ascii="宋体" w:hAnsi="宋体" w:eastAsia="宋体" w:cs="宋体"/>
                                <w:sz w:val="24"/>
                                <w:szCs w:val="24"/>
                                <w:lang w:eastAsia="zh-CN"/>
                              </w:rPr>
                              <w:t>、</w:t>
                            </w:r>
                            <w:r>
                              <w:rPr>
                                <w:rFonts w:ascii="宋体" w:hAnsi="宋体" w:eastAsia="宋体" w:cs="宋体"/>
                                <w:sz w:val="24"/>
                                <w:szCs w:val="24"/>
                              </w:rPr>
                              <w:t>反面复印件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63.95pt;margin-top:23.95pt;height:171.6pt;width:345.7pt;z-index:251660288;mso-width-relative:page;mso-height-relative:page;" fillcolor="#FFFFFF" filled="t" stroked="t" coordsize="21600,21600" o:gfxdata="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&#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5o+6U2QAAAAoBAAAPAAAAAAAAAAEAIAAAACIAAABk&#10;cnMvZG93bnJldi54bWxQSwECFAAUAAAACACHTuJAClazBD4CAACJBAAADgAAAAAAAAABACAAAAAo&#10;AQAAZHJzL2Uyb0RvYy54bWxQSwUGAAAAAAYABgBZAQAA2AUAAAAA&#10;">
                <v:fill on="t" focussize="0,0"/>
                <v:stroke color="#000000" miterlimit="2" joinstyle="miter"/>
                <v:imagedata o:title=""/>
                <o:lock v:ext="edit" aspectratio="f"/>
                <v:textbox>
                  <w:txbxContent>
                    <w:p w14:paraId="38824943">
                      <w:pPr>
                        <w:widowControl w:val="0"/>
                        <w:jc w:val="center"/>
                        <w:rPr>
                          <w:rFonts w:hint="default" w:ascii="宋体"/>
                          <w:sz w:val="34"/>
                          <w:szCs w:val="20"/>
                        </w:rPr>
                      </w:pPr>
                    </w:p>
                    <w:p w14:paraId="1758A26F">
                      <w:pPr>
                        <w:widowControl w:val="0"/>
                        <w:jc w:val="center"/>
                        <w:rPr>
                          <w:rFonts w:hint="default" w:ascii="宋体"/>
                          <w:sz w:val="34"/>
                          <w:szCs w:val="20"/>
                        </w:rPr>
                      </w:pPr>
                    </w:p>
                    <w:p w14:paraId="64F05869">
                      <w:pPr>
                        <w:widowControl w:val="0"/>
                        <w:jc w:val="center"/>
                        <w:rPr>
                          <w:rFonts w:hint="default" w:ascii="宋体"/>
                          <w:sz w:val="28"/>
                          <w:szCs w:val="28"/>
                        </w:rPr>
                      </w:pPr>
                    </w:p>
                    <w:p w14:paraId="5E2876C9">
                      <w:pPr>
                        <w:widowControl w:val="0"/>
                        <w:jc w:val="center"/>
                        <w:rPr>
                          <w:rFonts w:hint="default" w:ascii="宋体"/>
                          <w:sz w:val="24"/>
                          <w:szCs w:val="24"/>
                        </w:rPr>
                      </w:pPr>
                      <w:r>
                        <w:rPr>
                          <w:rFonts w:ascii="宋体" w:hAnsi="宋体" w:eastAsia="宋体" w:cs="宋体"/>
                          <w:sz w:val="24"/>
                          <w:szCs w:val="24"/>
                        </w:rPr>
                        <w:t>法人代表人身份证正</w:t>
                      </w:r>
                      <w:r>
                        <w:rPr>
                          <w:rFonts w:hint="eastAsia" w:ascii="宋体" w:hAnsi="宋体" w:eastAsia="宋体" w:cs="宋体"/>
                          <w:sz w:val="24"/>
                          <w:szCs w:val="24"/>
                          <w:lang w:eastAsia="zh-CN"/>
                        </w:rPr>
                        <w:t>、</w:t>
                      </w:r>
                      <w:r>
                        <w:rPr>
                          <w:rFonts w:ascii="宋体" w:hAnsi="宋体" w:eastAsia="宋体" w:cs="宋体"/>
                          <w:sz w:val="24"/>
                          <w:szCs w:val="24"/>
                        </w:rPr>
                        <w:t>反面复印件</w:t>
                      </w:r>
                    </w:p>
                  </w:txbxContent>
                </v:textbox>
              </v:rect>
            </w:pict>
          </mc:Fallback>
        </mc:AlternateContent>
      </w:r>
    </w:p>
    <w:p w14:paraId="32C2BD47">
      <w:pPr>
        <w:spacing w:line="360" w:lineRule="auto"/>
        <w:jc w:val="center"/>
        <w:rPr>
          <w:rFonts w:hint="default" w:ascii="宋体" w:hAnsi="宋体" w:eastAsia="宋体" w:cs="宋体"/>
          <w:b/>
          <w:bCs/>
          <w:color w:val="auto"/>
          <w:sz w:val="32"/>
          <w:szCs w:val="32"/>
          <w:highlight w:val="none"/>
        </w:rPr>
      </w:pPr>
      <w:r>
        <w:rPr>
          <w:rFonts w:ascii="宋体" w:hAnsi="宋体" w:eastAsia="宋体" w:cs="宋体"/>
          <w:color w:val="auto"/>
          <w:sz w:val="24"/>
          <w:szCs w:val="24"/>
          <w:highlight w:val="none"/>
        </w:rPr>
        <w:t>4.</w:t>
      </w:r>
    </w:p>
    <w:p w14:paraId="25A91258">
      <w:pPr>
        <w:pStyle w:val="5"/>
        <w:ind w:firstLine="0"/>
        <w:rPr>
          <w:rFonts w:hint="default" w:ascii="宋体" w:hAnsi="宋体" w:eastAsia="宋体" w:cs="宋体"/>
          <w:color w:val="auto"/>
          <w:sz w:val="24"/>
          <w:szCs w:val="24"/>
          <w:highlight w:val="none"/>
        </w:rPr>
      </w:pPr>
      <w:r>
        <w:rPr>
          <w:rFonts w:hint="default"/>
          <w:color w:val="auto"/>
          <w:highlight w:val="none"/>
        </w:rPr>
        <w:br w:type="page"/>
      </w:r>
    </w:p>
    <w:p w14:paraId="1735AD41">
      <w:pPr>
        <w:spacing w:line="360" w:lineRule="auto"/>
        <w:jc w:val="center"/>
        <w:rPr>
          <w:rStyle w:val="24"/>
          <w:rFonts w:ascii="宋体" w:hAnsi="宋体" w:eastAsia="宋体" w:cs="宋体"/>
          <w:b/>
          <w:bCs/>
          <w:color w:val="auto"/>
          <w:highlight w:val="none"/>
          <w:lang w:val="zh-TW" w:eastAsia="zh-TW"/>
        </w:rPr>
      </w:pPr>
      <w:r>
        <w:rPr>
          <w:rFonts w:ascii="宋体" w:hAnsi="宋体" w:eastAsia="宋体" w:cs="宋体"/>
          <w:b/>
          <w:bCs/>
          <w:color w:val="auto"/>
          <w:sz w:val="32"/>
          <w:szCs w:val="32"/>
          <w:highlight w:val="none"/>
        </w:rPr>
        <w:t>4.</w:t>
      </w:r>
      <w:r>
        <w:rPr>
          <w:rFonts w:ascii="宋体" w:hAnsi="宋体" w:eastAsia="宋体" w:cs="宋体"/>
          <w:b/>
          <w:bCs/>
          <w:color w:val="auto"/>
          <w:sz w:val="32"/>
          <w:szCs w:val="32"/>
          <w:highlight w:val="none"/>
          <w:lang w:val="zh-TW" w:eastAsia="zh-TW"/>
        </w:rPr>
        <w:t>授权</w:t>
      </w:r>
      <w:r>
        <w:rPr>
          <w:rFonts w:ascii="宋体" w:hAnsi="宋体" w:eastAsia="宋体" w:cs="宋体"/>
          <w:b/>
          <w:bCs/>
          <w:color w:val="auto"/>
          <w:sz w:val="32"/>
          <w:szCs w:val="32"/>
          <w:highlight w:val="none"/>
          <w:lang w:val="zh-TW"/>
        </w:rPr>
        <w:t>委托</w:t>
      </w:r>
      <w:r>
        <w:rPr>
          <w:rFonts w:ascii="宋体" w:hAnsi="宋体" w:eastAsia="宋体" w:cs="宋体"/>
          <w:b/>
          <w:bCs/>
          <w:color w:val="auto"/>
          <w:sz w:val="32"/>
          <w:szCs w:val="32"/>
          <w:highlight w:val="none"/>
          <w:lang w:val="zh-TW" w:eastAsia="zh-TW"/>
        </w:rPr>
        <w:t>书</w:t>
      </w:r>
    </w:p>
    <w:p w14:paraId="351B0308">
      <w:pPr>
        <w:pStyle w:val="10"/>
        <w:spacing w:line="360" w:lineRule="auto"/>
        <w:ind w:firstLine="480" w:firstLineChars="200"/>
        <w:rPr>
          <w:color w:val="auto"/>
          <w:sz w:val="24"/>
          <w:szCs w:val="24"/>
          <w:highlight w:val="none"/>
        </w:rPr>
      </w:pPr>
      <w:r>
        <w:rPr>
          <w:rFonts w:hint="eastAsia" w:ascii="宋体" w:hAnsi="宋体" w:eastAsia="宋体" w:cs="宋体"/>
          <w:color w:val="auto"/>
          <w:sz w:val="24"/>
          <w:szCs w:val="24"/>
          <w:highlight w:val="none"/>
        </w:rPr>
        <w:t>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的法定代表人，现授权委托</w:t>
      </w:r>
      <w:r>
        <w:rPr>
          <w:rFonts w:hint="eastAsia" w:cs="宋体"/>
          <w:color w:val="auto"/>
          <w:sz w:val="24"/>
          <w:szCs w:val="24"/>
          <w:highlight w:val="none"/>
          <w:lang w:eastAsia="zh-CN"/>
        </w:rPr>
        <w:t>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姓名、职务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为我公司代理人。代理人根据授权，以我方名义</w:t>
      </w:r>
      <w:r>
        <w:rPr>
          <w:rFonts w:hint="eastAsia" w:ascii="宋体" w:hAnsi="宋体" w:eastAsia="宋体" w:cs="宋体"/>
          <w:color w:val="auto"/>
          <w:sz w:val="24"/>
          <w:szCs w:val="24"/>
          <w:highlight w:val="none"/>
          <w:lang w:eastAsia="zh-CN"/>
        </w:rPr>
        <w:t>处理提交、</w:t>
      </w:r>
      <w:r>
        <w:rPr>
          <w:rFonts w:hint="eastAsia" w:ascii="宋体" w:hAnsi="宋体" w:eastAsia="宋体" w:cs="宋体"/>
          <w:color w:val="auto"/>
          <w:sz w:val="24"/>
          <w:szCs w:val="24"/>
          <w:highlight w:val="none"/>
        </w:rPr>
        <w:t>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color="auto"/>
          <w:lang w:eastAsia="zh-CN"/>
        </w:rPr>
        <w:t>（</w:t>
      </w:r>
      <w:r>
        <w:rPr>
          <w:rFonts w:hint="eastAsia" w:ascii="宋体" w:hAnsi="宋体" w:eastAsia="宋体" w:cs="宋体"/>
          <w:color w:val="auto"/>
          <w:sz w:val="24"/>
          <w:szCs w:val="24"/>
          <w:highlight w:val="none"/>
          <w:u w:val="single" w:color="auto"/>
        </w:rPr>
        <w:t>项目名称</w:t>
      </w:r>
      <w:r>
        <w:rPr>
          <w:rFonts w:hint="eastAsia" w:ascii="宋体" w:hAnsi="宋体" w:eastAsia="宋体" w:cs="宋体"/>
          <w:color w:val="auto"/>
          <w:sz w:val="24"/>
          <w:szCs w:val="24"/>
          <w:highlight w:val="none"/>
          <w:u w:val="single" w:color="auto"/>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color="auto"/>
          <w:lang w:val="en-US" w:eastAsia="zh-CN"/>
        </w:rPr>
        <w:t xml:space="preserve">          </w:t>
      </w:r>
      <w:r>
        <w:rPr>
          <w:rFonts w:hint="eastAsia" w:cs="宋体"/>
          <w:color w:val="auto"/>
          <w:sz w:val="24"/>
          <w:szCs w:val="24"/>
          <w:highlight w:val="none"/>
          <w:u w:val="none" w:color="auto"/>
          <w:lang w:val="en-US" w:eastAsia="zh-CN"/>
        </w:rPr>
        <w:t>，</w:t>
      </w:r>
      <w:r>
        <w:rPr>
          <w:rFonts w:hint="eastAsia" w:ascii="宋体" w:hAnsi="宋体" w:eastAsia="宋体" w:cs="宋体"/>
          <w:color w:val="auto"/>
          <w:sz w:val="24"/>
          <w:szCs w:val="24"/>
          <w:highlight w:val="none"/>
          <w:u w:val="none"/>
          <w:lang w:val="en-US" w:eastAsia="zh-CN"/>
        </w:rPr>
        <w:t>标段：</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）磋商响应文件、签订合同和处理有关事宜，其法律后果由我方承担</w:t>
      </w:r>
      <w:r>
        <w:rPr>
          <w:color w:val="auto"/>
          <w:sz w:val="24"/>
          <w:szCs w:val="24"/>
          <w:highlight w:val="none"/>
        </w:rPr>
        <w:t>。</w:t>
      </w:r>
      <w:r>
        <w:rPr>
          <w:color w:val="auto"/>
          <w:sz w:val="24"/>
          <w:szCs w:val="24"/>
          <w:highlight w:val="none"/>
          <w:lang w:val="zh-TW" w:eastAsia="zh-TW"/>
        </w:rPr>
        <w:t>　　</w:t>
      </w:r>
    </w:p>
    <w:p w14:paraId="28FD86A3">
      <w:pPr>
        <w:pStyle w:val="10"/>
        <w:tabs>
          <w:tab w:val="left" w:pos="5580"/>
        </w:tabs>
        <w:spacing w:line="360" w:lineRule="auto"/>
        <w:ind w:firstLine="480" w:firstLineChars="200"/>
        <w:rPr>
          <w:color w:val="auto"/>
          <w:sz w:val="24"/>
          <w:szCs w:val="24"/>
          <w:highlight w:val="none"/>
        </w:rPr>
      </w:pPr>
      <w:r>
        <w:rPr>
          <w:color w:val="auto"/>
          <w:sz w:val="24"/>
          <w:szCs w:val="24"/>
          <w:highlight w:val="none"/>
          <w:lang w:val="zh-TW" w:eastAsia="zh-TW"/>
        </w:rPr>
        <w:t>授权书有效期：</w:t>
      </w:r>
      <w:r>
        <w:rPr>
          <w:color w:val="auto"/>
          <w:sz w:val="24"/>
          <w:szCs w:val="24"/>
          <w:highlight w:val="none"/>
          <w:u w:val="single"/>
          <w:lang w:val="zh-TW" w:eastAsia="zh-TW"/>
        </w:rPr>
        <w:t xml:space="preserve"> 自开标之日起</w:t>
      </w:r>
      <w:r>
        <w:rPr>
          <w:rFonts w:hint="eastAsia"/>
          <w:color w:val="auto"/>
          <w:sz w:val="24"/>
          <w:szCs w:val="24"/>
          <w:highlight w:val="none"/>
          <w:u w:val="single"/>
          <w:lang w:val="en-US" w:eastAsia="zh-CN"/>
        </w:rPr>
        <w:t>60</w:t>
      </w:r>
      <w:r>
        <w:rPr>
          <w:color w:val="auto"/>
          <w:sz w:val="24"/>
          <w:szCs w:val="24"/>
          <w:highlight w:val="none"/>
          <w:u w:val="single"/>
          <w:lang w:val="zh-TW" w:eastAsia="zh-TW"/>
        </w:rPr>
        <w:t>天有效</w:t>
      </w:r>
      <w:r>
        <w:rPr>
          <w:b/>
          <w:bCs/>
          <w:i/>
          <w:iCs/>
          <w:color w:val="auto"/>
          <w:sz w:val="24"/>
          <w:szCs w:val="24"/>
          <w:highlight w:val="none"/>
          <w:u w:val="single"/>
          <w:lang w:val="zh-TW" w:eastAsia="zh-TW"/>
        </w:rPr>
        <w:t>（应与投标有效期一致）</w:t>
      </w:r>
    </w:p>
    <w:p w14:paraId="3523F117">
      <w:pPr>
        <w:pStyle w:val="10"/>
        <w:tabs>
          <w:tab w:val="left" w:pos="5580"/>
        </w:tabs>
        <w:spacing w:line="360" w:lineRule="auto"/>
        <w:ind w:firstLine="480" w:firstLineChars="200"/>
        <w:rPr>
          <w:color w:val="auto"/>
          <w:sz w:val="24"/>
          <w:szCs w:val="24"/>
          <w:highlight w:val="none"/>
        </w:rPr>
      </w:pPr>
    </w:p>
    <w:p w14:paraId="0EDC6923">
      <w:pPr>
        <w:pStyle w:val="10"/>
        <w:tabs>
          <w:tab w:val="left" w:pos="5580"/>
        </w:tabs>
        <w:spacing w:line="360" w:lineRule="auto"/>
        <w:ind w:firstLine="480" w:firstLineChars="200"/>
        <w:rPr>
          <w:color w:val="auto"/>
          <w:sz w:val="24"/>
          <w:szCs w:val="24"/>
          <w:highlight w:val="none"/>
        </w:rPr>
      </w:pPr>
    </w:p>
    <w:p w14:paraId="4EA4AA0B">
      <w:pPr>
        <w:pStyle w:val="10"/>
        <w:tabs>
          <w:tab w:val="left" w:pos="5580"/>
        </w:tabs>
        <w:spacing w:line="360" w:lineRule="auto"/>
        <w:ind w:firstLine="480" w:firstLineChars="20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rPr>
        <w:t>供应商名称</w:t>
      </w:r>
      <w:r>
        <w:rPr>
          <w:rFonts w:hint="eastAsia" w:ascii="宋体" w:hAnsi="宋体" w:eastAsia="宋体" w:cs="宋体"/>
          <w:color w:val="auto"/>
          <w:sz w:val="24"/>
          <w:szCs w:val="24"/>
          <w:highlight w:val="none"/>
          <w:lang w:val="zh-TW" w:eastAsia="zh-TW"/>
        </w:rPr>
        <w:t>（盖</w:t>
      </w:r>
      <w:r>
        <w:rPr>
          <w:rFonts w:hint="eastAsia" w:cs="宋体"/>
          <w:color w:val="auto"/>
          <w:sz w:val="24"/>
          <w:szCs w:val="24"/>
          <w:highlight w:val="none"/>
          <w:lang w:val="en-US" w:eastAsia="zh-CN"/>
        </w:rPr>
        <w:t>公</w:t>
      </w:r>
      <w:r>
        <w:rPr>
          <w:rFonts w:hint="eastAsia" w:ascii="宋体" w:hAnsi="宋体" w:eastAsia="宋体" w:cs="宋体"/>
          <w:color w:val="auto"/>
          <w:sz w:val="24"/>
          <w:szCs w:val="24"/>
          <w:highlight w:val="none"/>
          <w:lang w:val="zh-TW" w:eastAsia="zh-TW"/>
        </w:rPr>
        <w:t>章）</w:t>
      </w:r>
      <w:r>
        <w:rPr>
          <w:color w:val="auto"/>
          <w:sz w:val="24"/>
          <w:szCs w:val="24"/>
          <w:highlight w:val="none"/>
          <w:lang w:val="zh-TW" w:eastAsia="zh-TW"/>
        </w:rPr>
        <w:t>：</w:t>
      </w:r>
      <w:r>
        <w:rPr>
          <w:color w:val="auto"/>
          <w:sz w:val="24"/>
          <w:szCs w:val="24"/>
          <w:highlight w:val="none"/>
          <w:u w:val="single"/>
        </w:rPr>
        <w:tab/>
      </w:r>
    </w:p>
    <w:p w14:paraId="76D86DC7">
      <w:pPr>
        <w:pStyle w:val="10"/>
        <w:tabs>
          <w:tab w:val="left" w:pos="5580"/>
        </w:tabs>
        <w:spacing w:line="360" w:lineRule="auto"/>
        <w:ind w:firstLine="480" w:firstLineChars="200"/>
        <w:rPr>
          <w:color w:val="auto"/>
          <w:sz w:val="24"/>
          <w:szCs w:val="24"/>
          <w:highlight w:val="none"/>
        </w:rPr>
      </w:pPr>
      <w:r>
        <w:rPr>
          <w:rFonts w:hint="eastAsia" w:ascii="宋体" w:hAnsi="宋体" w:eastAsia="宋体" w:cs="宋体"/>
          <w:color w:val="auto"/>
          <w:sz w:val="24"/>
          <w:szCs w:val="24"/>
          <w:highlight w:val="none"/>
          <w:lang w:val="zh-TW" w:eastAsia="zh-TW"/>
        </w:rPr>
        <w:t>法定代表人</w:t>
      </w:r>
      <w:r>
        <w:rPr>
          <w:rFonts w:hint="eastAsia" w:cs="宋体"/>
          <w:color w:val="auto"/>
          <w:sz w:val="24"/>
          <w:szCs w:val="24"/>
          <w:highlight w:val="none"/>
          <w:lang w:val="zh-TW" w:eastAsia="zh-CN"/>
        </w:rPr>
        <w:t>（</w:t>
      </w:r>
      <w:r>
        <w:rPr>
          <w:rFonts w:hint="eastAsia" w:cs="宋体"/>
          <w:color w:val="auto"/>
          <w:sz w:val="24"/>
          <w:szCs w:val="24"/>
          <w:highlight w:val="none"/>
          <w:lang w:val="en-US" w:eastAsia="zh-CN"/>
        </w:rPr>
        <w:t>签字或私章）</w:t>
      </w:r>
      <w:r>
        <w:rPr>
          <w:color w:val="auto"/>
          <w:sz w:val="24"/>
          <w:szCs w:val="24"/>
          <w:highlight w:val="none"/>
          <w:lang w:val="zh-TW"/>
        </w:rPr>
        <w:t>：</w:t>
      </w:r>
      <w:r>
        <w:rPr>
          <w:color w:val="auto"/>
          <w:sz w:val="24"/>
          <w:szCs w:val="24"/>
          <w:highlight w:val="none"/>
          <w:u w:val="single"/>
        </w:rPr>
        <w:tab/>
      </w:r>
    </w:p>
    <w:p w14:paraId="1161FF32">
      <w:pPr>
        <w:pStyle w:val="10"/>
        <w:tabs>
          <w:tab w:val="left" w:pos="5580"/>
        </w:tabs>
        <w:spacing w:line="360" w:lineRule="auto"/>
        <w:ind w:firstLine="480" w:firstLineChars="200"/>
        <w:rPr>
          <w:color w:val="auto"/>
          <w:sz w:val="24"/>
          <w:szCs w:val="24"/>
          <w:highlight w:val="none"/>
        </w:rPr>
      </w:pPr>
      <w:r>
        <w:rPr>
          <w:color w:val="auto"/>
          <w:sz w:val="24"/>
          <w:szCs w:val="24"/>
          <w:highlight w:val="none"/>
          <w:lang w:val="zh-TW" w:eastAsia="zh-TW"/>
        </w:rPr>
        <w:t>被授权人</w:t>
      </w:r>
      <w:r>
        <w:rPr>
          <w:rFonts w:hint="eastAsia" w:cs="宋体"/>
          <w:color w:val="auto"/>
          <w:sz w:val="24"/>
          <w:szCs w:val="24"/>
          <w:highlight w:val="none"/>
          <w:lang w:val="zh-TW" w:eastAsia="zh-CN"/>
        </w:rPr>
        <w:t>（</w:t>
      </w:r>
      <w:r>
        <w:rPr>
          <w:rFonts w:hint="eastAsia" w:cs="宋体"/>
          <w:color w:val="auto"/>
          <w:sz w:val="24"/>
          <w:szCs w:val="24"/>
          <w:highlight w:val="none"/>
          <w:lang w:val="en-US" w:eastAsia="zh-CN"/>
        </w:rPr>
        <w:t>签字或私章）</w:t>
      </w:r>
      <w:r>
        <w:rPr>
          <w:color w:val="auto"/>
          <w:sz w:val="24"/>
          <w:szCs w:val="24"/>
          <w:highlight w:val="none"/>
          <w:lang w:val="zh-TW"/>
        </w:rPr>
        <w:t>：</w:t>
      </w:r>
      <w:r>
        <w:rPr>
          <w:color w:val="auto"/>
          <w:sz w:val="24"/>
          <w:szCs w:val="24"/>
          <w:highlight w:val="none"/>
          <w:u w:val="single"/>
        </w:rPr>
        <w:tab/>
      </w:r>
    </w:p>
    <w:p w14:paraId="2B07146E">
      <w:pPr>
        <w:pStyle w:val="10"/>
        <w:tabs>
          <w:tab w:val="left" w:pos="5580"/>
        </w:tabs>
        <w:spacing w:line="360" w:lineRule="auto"/>
        <w:ind w:firstLine="480" w:firstLineChars="200"/>
        <w:rPr>
          <w:color w:val="auto"/>
          <w:sz w:val="24"/>
          <w:szCs w:val="24"/>
          <w:highlight w:val="none"/>
          <w:u w:val="single"/>
        </w:rPr>
      </w:pPr>
    </w:p>
    <w:p w14:paraId="22C26A96">
      <w:pPr>
        <w:pStyle w:val="10"/>
        <w:tabs>
          <w:tab w:val="left" w:pos="5580"/>
        </w:tabs>
        <w:spacing w:line="360" w:lineRule="auto"/>
        <w:ind w:firstLine="480" w:firstLineChars="200"/>
        <w:rPr>
          <w:color w:val="auto"/>
          <w:sz w:val="24"/>
          <w:szCs w:val="24"/>
          <w:highlight w:val="none"/>
          <w:u w:val="single"/>
        </w:rPr>
      </w:pPr>
    </w:p>
    <w:p w14:paraId="6034F41E">
      <w:pPr>
        <w:pStyle w:val="10"/>
        <w:tabs>
          <w:tab w:val="left" w:pos="5580"/>
        </w:tabs>
        <w:spacing w:line="360" w:lineRule="auto"/>
        <w:ind w:firstLine="480" w:firstLineChars="200"/>
        <w:rPr>
          <w:rFonts w:hint="eastAsia"/>
          <w:b w:val="0"/>
          <w:bCs w:val="0"/>
          <w:color w:val="auto"/>
          <w:sz w:val="24"/>
          <w:szCs w:val="24"/>
          <w:highlight w:val="none"/>
          <w:lang w:val="zh-TW" w:eastAsia="zh-TW"/>
        </w:rPr>
      </w:pPr>
      <w:r>
        <w:rPr>
          <w:b w:val="0"/>
          <w:bCs w:val="0"/>
          <w:color w:val="auto"/>
          <w:sz w:val="24"/>
          <w:szCs w:val="24"/>
          <w:highlight w:val="none"/>
          <w:lang w:val="zh-TW"/>
        </w:rPr>
        <w:t>附</w:t>
      </w:r>
      <w:r>
        <w:rPr>
          <w:rFonts w:hint="eastAsia"/>
          <w:b w:val="0"/>
          <w:bCs w:val="0"/>
          <w:color w:val="auto"/>
          <w:sz w:val="24"/>
          <w:szCs w:val="24"/>
          <w:highlight w:val="none"/>
          <w:lang w:val="zh-TW" w:eastAsia="zh-CN"/>
        </w:rPr>
        <w:t>：</w:t>
      </w:r>
      <w:r>
        <w:rPr>
          <w:b w:val="0"/>
          <w:bCs w:val="0"/>
          <w:color w:val="auto"/>
          <w:sz w:val="24"/>
          <w:szCs w:val="24"/>
          <w:highlight w:val="none"/>
          <w:lang w:val="zh-TW" w:eastAsia="zh-TW"/>
        </w:rPr>
        <w:t>被授权人身份证复印件</w:t>
      </w:r>
      <w:r>
        <w:rPr>
          <w:rFonts w:hint="eastAsia"/>
          <w:b w:val="0"/>
          <w:bCs w:val="0"/>
          <w:color w:val="auto"/>
          <w:sz w:val="24"/>
          <w:szCs w:val="24"/>
          <w:highlight w:val="none"/>
          <w:lang w:val="zh-TW" w:eastAsia="zh-TW"/>
        </w:rPr>
        <w:t>正</w:t>
      </w:r>
      <w:r>
        <w:rPr>
          <w:rFonts w:hint="eastAsia"/>
          <w:b w:val="0"/>
          <w:bCs w:val="0"/>
          <w:color w:val="auto"/>
          <w:sz w:val="24"/>
          <w:szCs w:val="24"/>
          <w:highlight w:val="none"/>
          <w:lang w:val="zh-TW" w:eastAsia="zh-CN"/>
        </w:rPr>
        <w:t>、</w:t>
      </w:r>
      <w:r>
        <w:rPr>
          <w:rFonts w:hint="eastAsia"/>
          <w:b w:val="0"/>
          <w:bCs w:val="0"/>
          <w:color w:val="auto"/>
          <w:sz w:val="24"/>
          <w:szCs w:val="24"/>
          <w:highlight w:val="none"/>
          <w:lang w:val="zh-TW" w:eastAsia="zh-TW"/>
        </w:rPr>
        <w:t>反面复印件</w:t>
      </w:r>
    </w:p>
    <w:p w14:paraId="2CB185CA">
      <w:pPr>
        <w:pStyle w:val="10"/>
        <w:tabs>
          <w:tab w:val="left" w:pos="5580"/>
        </w:tabs>
        <w:spacing w:line="360" w:lineRule="auto"/>
        <w:ind w:firstLine="440" w:firstLineChars="200"/>
        <w:rPr>
          <w:rFonts w:hint="eastAsia" w:eastAsia="宋体"/>
          <w:b w:val="0"/>
          <w:bCs w:val="0"/>
          <w:color w:val="auto"/>
          <w:sz w:val="24"/>
          <w:szCs w:val="24"/>
          <w:highlight w:val="none"/>
          <w:lang w:val="en-US" w:eastAsia="zh-CN"/>
        </w:rPr>
      </w:pPr>
      <w:r>
        <w:rPr>
          <w:rFonts w:ascii="宋体" w:hAnsi="宋体" w:eastAsia="宋体" w:cs="宋体"/>
          <w:bCs/>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357505</wp:posOffset>
                </wp:positionH>
                <wp:positionV relativeFrom="paragraph">
                  <wp:posOffset>41275</wp:posOffset>
                </wp:positionV>
                <wp:extent cx="4390390" cy="2179320"/>
                <wp:effectExtent l="5080" t="4445" r="5080" b="698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4390390" cy="2179320"/>
                        </a:xfrm>
                        <a:prstGeom prst="rect">
                          <a:avLst/>
                        </a:prstGeom>
                        <a:solidFill>
                          <a:srgbClr val="FFFFFF"/>
                        </a:solidFill>
                        <a:ln w="9525">
                          <a:solidFill>
                            <a:srgbClr val="000000"/>
                          </a:solidFill>
                          <a:miter lim="200000"/>
                        </a:ln>
                        <a:effectLst/>
                      </wps:spPr>
                      <wps:txbx>
                        <w:txbxContent>
                          <w:p w14:paraId="3A3642D3">
                            <w:pPr>
                              <w:widowControl w:val="0"/>
                              <w:jc w:val="center"/>
                              <w:rPr>
                                <w:rFonts w:hint="default" w:ascii="宋体"/>
                                <w:sz w:val="34"/>
                                <w:szCs w:val="20"/>
                              </w:rPr>
                            </w:pPr>
                          </w:p>
                          <w:p w14:paraId="795C0450">
                            <w:pPr>
                              <w:widowControl w:val="0"/>
                              <w:jc w:val="center"/>
                              <w:rPr>
                                <w:rFonts w:hint="default" w:ascii="宋体"/>
                                <w:sz w:val="34"/>
                                <w:szCs w:val="20"/>
                              </w:rPr>
                            </w:pPr>
                          </w:p>
                          <w:p w14:paraId="2AFD10B2">
                            <w:pPr>
                              <w:widowControl w:val="0"/>
                              <w:jc w:val="center"/>
                              <w:rPr>
                                <w:rFonts w:hint="default" w:ascii="宋体"/>
                                <w:sz w:val="28"/>
                                <w:szCs w:val="28"/>
                              </w:rPr>
                            </w:pPr>
                          </w:p>
                          <w:p w14:paraId="7925F8FB">
                            <w:pPr>
                              <w:widowControl w:val="0"/>
                              <w:jc w:val="center"/>
                              <w:rPr>
                                <w:rFonts w:hint="default" w:ascii="宋体"/>
                                <w:sz w:val="24"/>
                                <w:szCs w:val="24"/>
                              </w:rPr>
                            </w:pPr>
                            <w:r>
                              <w:rPr>
                                <w:b w:val="0"/>
                                <w:bCs w:val="0"/>
                                <w:color w:val="auto"/>
                                <w:sz w:val="24"/>
                                <w:szCs w:val="24"/>
                                <w:lang w:val="zh-TW" w:eastAsia="zh-TW"/>
                              </w:rPr>
                              <w:t>被授权人</w:t>
                            </w:r>
                            <w:r>
                              <w:rPr>
                                <w:rFonts w:ascii="宋体" w:hAnsi="宋体" w:eastAsia="宋体" w:cs="宋体"/>
                                <w:sz w:val="24"/>
                                <w:szCs w:val="24"/>
                              </w:rPr>
                              <w:t>身份证正</w:t>
                            </w:r>
                            <w:r>
                              <w:rPr>
                                <w:rFonts w:hint="eastAsia" w:ascii="宋体" w:hAnsi="宋体" w:eastAsia="宋体" w:cs="宋体"/>
                                <w:sz w:val="24"/>
                                <w:szCs w:val="24"/>
                                <w:lang w:eastAsia="zh-CN"/>
                              </w:rPr>
                              <w:t>、</w:t>
                            </w:r>
                            <w:r>
                              <w:rPr>
                                <w:rFonts w:ascii="宋体" w:hAnsi="宋体" w:eastAsia="宋体" w:cs="宋体"/>
                                <w:sz w:val="24"/>
                                <w:szCs w:val="24"/>
                              </w:rPr>
                              <w:t>反面复印件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15pt;margin-top:3.25pt;height:171.6pt;width:345.7pt;z-index:251661312;mso-width-relative:page;mso-height-relative:page;" fillcolor="#FFFFFF" filled="t" stroked="t" coordsize="21600,21600" o:gfxdata="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5o8fzYAAAACAEAAA8AAAAAAAAAAQAgAAAAIgAAAGRy&#10;cy9kb3ducmV2LnhtbFBLAQIUABQAAAAIAIdO4kCLgsNyPgIAAIkEAAAOAAAAAAAAAAEAIAAAACcB&#10;AABkcnMvZTJvRG9jLnhtbFBLBQYAAAAABgAGAFkBAADXBQAAAAA=&#10;">
                <v:fill on="t" focussize="0,0"/>
                <v:stroke color="#000000" miterlimit="2" joinstyle="miter"/>
                <v:imagedata o:title=""/>
                <o:lock v:ext="edit" aspectratio="f"/>
                <v:textbox>
                  <w:txbxContent>
                    <w:p w14:paraId="3A3642D3">
                      <w:pPr>
                        <w:widowControl w:val="0"/>
                        <w:jc w:val="center"/>
                        <w:rPr>
                          <w:rFonts w:hint="default" w:ascii="宋体"/>
                          <w:sz w:val="34"/>
                          <w:szCs w:val="20"/>
                        </w:rPr>
                      </w:pPr>
                    </w:p>
                    <w:p w14:paraId="795C0450">
                      <w:pPr>
                        <w:widowControl w:val="0"/>
                        <w:jc w:val="center"/>
                        <w:rPr>
                          <w:rFonts w:hint="default" w:ascii="宋体"/>
                          <w:sz w:val="34"/>
                          <w:szCs w:val="20"/>
                        </w:rPr>
                      </w:pPr>
                    </w:p>
                    <w:p w14:paraId="2AFD10B2">
                      <w:pPr>
                        <w:widowControl w:val="0"/>
                        <w:jc w:val="center"/>
                        <w:rPr>
                          <w:rFonts w:hint="default" w:ascii="宋体"/>
                          <w:sz w:val="28"/>
                          <w:szCs w:val="28"/>
                        </w:rPr>
                      </w:pPr>
                    </w:p>
                    <w:p w14:paraId="7925F8FB">
                      <w:pPr>
                        <w:widowControl w:val="0"/>
                        <w:jc w:val="center"/>
                        <w:rPr>
                          <w:rFonts w:hint="default" w:ascii="宋体"/>
                          <w:sz w:val="24"/>
                          <w:szCs w:val="24"/>
                        </w:rPr>
                      </w:pPr>
                      <w:r>
                        <w:rPr>
                          <w:b w:val="0"/>
                          <w:bCs w:val="0"/>
                          <w:color w:val="auto"/>
                          <w:sz w:val="24"/>
                          <w:szCs w:val="24"/>
                          <w:lang w:val="zh-TW" w:eastAsia="zh-TW"/>
                        </w:rPr>
                        <w:t>被授权人</w:t>
                      </w:r>
                      <w:r>
                        <w:rPr>
                          <w:rFonts w:ascii="宋体" w:hAnsi="宋体" w:eastAsia="宋体" w:cs="宋体"/>
                          <w:sz w:val="24"/>
                          <w:szCs w:val="24"/>
                        </w:rPr>
                        <w:t>身份证正</w:t>
                      </w:r>
                      <w:r>
                        <w:rPr>
                          <w:rFonts w:hint="eastAsia" w:ascii="宋体" w:hAnsi="宋体" w:eastAsia="宋体" w:cs="宋体"/>
                          <w:sz w:val="24"/>
                          <w:szCs w:val="24"/>
                          <w:lang w:eastAsia="zh-CN"/>
                        </w:rPr>
                        <w:t>、</w:t>
                      </w:r>
                      <w:r>
                        <w:rPr>
                          <w:rFonts w:ascii="宋体" w:hAnsi="宋体" w:eastAsia="宋体" w:cs="宋体"/>
                          <w:sz w:val="24"/>
                          <w:szCs w:val="24"/>
                        </w:rPr>
                        <w:t>反面复印件</w:t>
                      </w:r>
                    </w:p>
                  </w:txbxContent>
                </v:textbox>
              </v:rect>
            </w:pict>
          </mc:Fallback>
        </mc:AlternateContent>
      </w:r>
    </w:p>
    <w:p w14:paraId="218D1C18">
      <w:pPr>
        <w:pStyle w:val="10"/>
        <w:tabs>
          <w:tab w:val="left" w:pos="5580"/>
        </w:tabs>
        <w:spacing w:line="360" w:lineRule="auto"/>
        <w:ind w:firstLine="480" w:firstLineChars="200"/>
        <w:rPr>
          <w:color w:val="auto"/>
          <w:sz w:val="24"/>
          <w:szCs w:val="24"/>
          <w:highlight w:val="none"/>
          <w:lang w:val="zh-TW" w:eastAsia="zh-TW"/>
        </w:rPr>
      </w:pPr>
    </w:p>
    <w:p w14:paraId="45CF3201">
      <w:pPr>
        <w:pStyle w:val="10"/>
        <w:tabs>
          <w:tab w:val="left" w:pos="5580"/>
        </w:tabs>
        <w:spacing w:line="360" w:lineRule="auto"/>
        <w:ind w:firstLine="480" w:firstLineChars="200"/>
        <w:rPr>
          <w:color w:val="auto"/>
          <w:sz w:val="24"/>
          <w:szCs w:val="24"/>
          <w:highlight w:val="none"/>
          <w:lang w:val="zh-TW" w:eastAsia="zh-TW"/>
        </w:rPr>
      </w:pPr>
    </w:p>
    <w:p w14:paraId="5FAA142A">
      <w:pPr>
        <w:pStyle w:val="10"/>
        <w:tabs>
          <w:tab w:val="left" w:pos="5580"/>
        </w:tabs>
        <w:spacing w:line="360" w:lineRule="auto"/>
        <w:ind w:firstLine="480" w:firstLineChars="200"/>
        <w:rPr>
          <w:color w:val="auto"/>
          <w:sz w:val="24"/>
          <w:szCs w:val="24"/>
          <w:highlight w:val="none"/>
          <w:lang w:val="zh-TW" w:eastAsia="zh-TW"/>
        </w:rPr>
      </w:pPr>
    </w:p>
    <w:p w14:paraId="69C849A7">
      <w:pPr>
        <w:pStyle w:val="10"/>
        <w:tabs>
          <w:tab w:val="left" w:pos="5580"/>
        </w:tabs>
        <w:spacing w:line="360" w:lineRule="auto"/>
        <w:ind w:firstLine="480" w:firstLineChars="200"/>
        <w:rPr>
          <w:color w:val="auto"/>
          <w:sz w:val="24"/>
          <w:szCs w:val="24"/>
          <w:highlight w:val="none"/>
          <w:lang w:val="zh-TW" w:eastAsia="zh-TW"/>
        </w:rPr>
      </w:pPr>
    </w:p>
    <w:p w14:paraId="6A9590EC">
      <w:pPr>
        <w:pStyle w:val="10"/>
        <w:tabs>
          <w:tab w:val="left" w:pos="5580"/>
        </w:tabs>
        <w:spacing w:line="360" w:lineRule="auto"/>
        <w:ind w:firstLine="480" w:firstLineChars="200"/>
        <w:rPr>
          <w:color w:val="auto"/>
          <w:sz w:val="24"/>
          <w:szCs w:val="24"/>
          <w:highlight w:val="none"/>
          <w:lang w:val="zh-TW" w:eastAsia="zh-TW"/>
        </w:rPr>
      </w:pPr>
    </w:p>
    <w:p w14:paraId="6BA92DDB">
      <w:pPr>
        <w:pStyle w:val="10"/>
        <w:spacing w:line="360" w:lineRule="auto"/>
        <w:jc w:val="center"/>
        <w:rPr>
          <w:rStyle w:val="24"/>
          <w:rFonts w:ascii="宋体" w:hAnsi="宋体" w:eastAsia="宋体" w:cs="宋体"/>
          <w:b/>
          <w:bCs/>
          <w:color w:val="auto"/>
          <w:highlight w:val="none"/>
        </w:rPr>
        <w:sectPr>
          <w:pgSz w:w="11906" w:h="16838"/>
          <w:pgMar w:top="1440" w:right="1797" w:bottom="1440" w:left="1797" w:header="851" w:footer="992" w:gutter="0"/>
          <w:pgNumType w:fmt="decimal"/>
          <w:cols w:space="720" w:num="1"/>
          <w:docGrid w:linePitch="312" w:charSpace="0"/>
        </w:sectPr>
      </w:pPr>
    </w:p>
    <w:p w14:paraId="561B3AA1">
      <w:pPr>
        <w:pStyle w:val="10"/>
        <w:spacing w:line="360" w:lineRule="auto"/>
        <w:jc w:val="center"/>
        <w:rPr>
          <w:rStyle w:val="24"/>
          <w:rFonts w:ascii="宋体" w:hAnsi="宋体" w:eastAsia="宋体" w:cs="宋体"/>
          <w:b/>
          <w:bCs/>
          <w:color w:val="auto"/>
          <w:highlight w:val="none"/>
        </w:rPr>
      </w:pPr>
      <w:r>
        <w:rPr>
          <w:rStyle w:val="24"/>
          <w:rFonts w:ascii="宋体" w:hAnsi="宋体" w:eastAsia="宋体" w:cs="宋体"/>
          <w:b/>
          <w:bCs/>
          <w:color w:val="auto"/>
          <w:highlight w:val="none"/>
        </w:rPr>
        <w:t>5.供应商基本情况表</w:t>
      </w:r>
    </w:p>
    <w:tbl>
      <w:tblPr>
        <w:tblStyle w:val="17"/>
        <w:tblW w:w="8522" w:type="dxa"/>
        <w:jc w:val="center"/>
        <w:tblLayout w:type="fixed"/>
        <w:tblCellMar>
          <w:top w:w="0" w:type="dxa"/>
          <w:left w:w="0" w:type="dxa"/>
          <w:bottom w:w="0" w:type="dxa"/>
          <w:right w:w="0" w:type="dxa"/>
        </w:tblCellMar>
      </w:tblPr>
      <w:tblGrid>
        <w:gridCol w:w="1615"/>
        <w:gridCol w:w="831"/>
        <w:gridCol w:w="138"/>
        <w:gridCol w:w="1377"/>
        <w:gridCol w:w="749"/>
        <w:gridCol w:w="181"/>
        <w:gridCol w:w="1148"/>
        <w:gridCol w:w="467"/>
        <w:gridCol w:w="938"/>
        <w:gridCol w:w="1078"/>
      </w:tblGrid>
      <w:tr w14:paraId="4C56BE6C">
        <w:tblPrEx>
          <w:tblCellMar>
            <w:top w:w="0" w:type="dxa"/>
            <w:left w:w="0" w:type="dxa"/>
            <w:bottom w:w="0" w:type="dxa"/>
            <w:right w:w="0" w:type="dxa"/>
          </w:tblCellMar>
        </w:tblPrEx>
        <w:trPr>
          <w:trHeight w:val="680" w:hRule="atLeast"/>
          <w:jc w:val="center"/>
        </w:trPr>
        <w:tc>
          <w:tcPr>
            <w:tcW w:w="1615"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98C3679">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公司名称</w:t>
            </w:r>
          </w:p>
        </w:tc>
        <w:tc>
          <w:tcPr>
            <w:tcW w:w="6907" w:type="dxa"/>
            <w:gridSpan w:val="9"/>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D8D799B">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r>
      <w:tr w14:paraId="18309399">
        <w:tblPrEx>
          <w:tblCellMar>
            <w:top w:w="0" w:type="dxa"/>
            <w:left w:w="0" w:type="dxa"/>
            <w:bottom w:w="0" w:type="dxa"/>
            <w:right w:w="0" w:type="dxa"/>
          </w:tblCellMar>
        </w:tblPrEx>
        <w:trPr>
          <w:trHeight w:val="634" w:hRule="atLeast"/>
          <w:jc w:val="center"/>
        </w:trPr>
        <w:tc>
          <w:tcPr>
            <w:tcW w:w="161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68F1366">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注册地址</w:t>
            </w:r>
          </w:p>
        </w:tc>
        <w:tc>
          <w:tcPr>
            <w:tcW w:w="309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3823CFE">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c>
          <w:tcPr>
            <w:tcW w:w="1329"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8A4B5A5">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邮政编码</w:t>
            </w:r>
          </w:p>
        </w:tc>
        <w:tc>
          <w:tcPr>
            <w:tcW w:w="2483" w:type="dxa"/>
            <w:gridSpan w:val="3"/>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314DF02">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r>
      <w:tr w14:paraId="5C78C460">
        <w:tblPrEx>
          <w:tblCellMar>
            <w:top w:w="0" w:type="dxa"/>
            <w:left w:w="0" w:type="dxa"/>
            <w:bottom w:w="0" w:type="dxa"/>
            <w:right w:w="0" w:type="dxa"/>
          </w:tblCellMar>
        </w:tblPrEx>
        <w:trPr>
          <w:trHeight w:val="717" w:hRule="atLeast"/>
          <w:jc w:val="center"/>
        </w:trPr>
        <w:tc>
          <w:tcPr>
            <w:tcW w:w="1615" w:type="dxa"/>
            <w:vMerge w:val="restart"/>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9F03209">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联系方式</w:t>
            </w:r>
          </w:p>
        </w:tc>
        <w:tc>
          <w:tcPr>
            <w:tcW w:w="969"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3F53505">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联系人</w:t>
            </w:r>
          </w:p>
        </w:tc>
        <w:tc>
          <w:tcPr>
            <w:tcW w:w="2126"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919F82E">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c>
          <w:tcPr>
            <w:tcW w:w="1329"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C2C8D1B">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电话</w:t>
            </w:r>
          </w:p>
        </w:tc>
        <w:tc>
          <w:tcPr>
            <w:tcW w:w="2483" w:type="dxa"/>
            <w:gridSpan w:val="3"/>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FA632B0">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r>
      <w:tr w14:paraId="275BA635">
        <w:tblPrEx>
          <w:tblCellMar>
            <w:top w:w="0" w:type="dxa"/>
            <w:left w:w="0" w:type="dxa"/>
            <w:bottom w:w="0" w:type="dxa"/>
            <w:right w:w="0" w:type="dxa"/>
          </w:tblCellMar>
        </w:tblPrEx>
        <w:trPr>
          <w:trHeight w:val="651" w:hRule="atLeast"/>
          <w:jc w:val="center"/>
        </w:trPr>
        <w:tc>
          <w:tcPr>
            <w:tcW w:w="1615" w:type="dxa"/>
            <w:vMerge w:val="continue"/>
            <w:tcBorders>
              <w:top w:val="nil"/>
              <w:left w:val="single" w:color="auto" w:sz="8" w:space="0"/>
              <w:bottom w:val="single" w:color="auto" w:sz="8" w:space="0"/>
              <w:right w:val="single" w:color="auto" w:sz="8" w:space="0"/>
            </w:tcBorders>
            <w:noWrap w:val="0"/>
            <w:vAlign w:val="center"/>
          </w:tcPr>
          <w:p w14:paraId="35771991">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c>
          <w:tcPr>
            <w:tcW w:w="969"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7286808">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传真</w:t>
            </w:r>
          </w:p>
        </w:tc>
        <w:tc>
          <w:tcPr>
            <w:tcW w:w="2126"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5A2C03E">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c>
          <w:tcPr>
            <w:tcW w:w="1329"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2799EA5">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网址</w:t>
            </w:r>
          </w:p>
        </w:tc>
        <w:tc>
          <w:tcPr>
            <w:tcW w:w="2483" w:type="dxa"/>
            <w:gridSpan w:val="3"/>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8912EEE">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r>
      <w:tr w14:paraId="3E0B9A9C">
        <w:tblPrEx>
          <w:tblCellMar>
            <w:top w:w="0" w:type="dxa"/>
            <w:left w:w="0" w:type="dxa"/>
            <w:bottom w:w="0" w:type="dxa"/>
            <w:right w:w="0" w:type="dxa"/>
          </w:tblCellMar>
        </w:tblPrEx>
        <w:trPr>
          <w:trHeight w:val="667" w:hRule="atLeast"/>
          <w:jc w:val="center"/>
        </w:trPr>
        <w:tc>
          <w:tcPr>
            <w:tcW w:w="161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1FFEDA3">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组织结构</w:t>
            </w:r>
          </w:p>
        </w:tc>
        <w:tc>
          <w:tcPr>
            <w:tcW w:w="6907" w:type="dxa"/>
            <w:gridSpan w:val="9"/>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37CB2D4">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附后</w:t>
            </w:r>
          </w:p>
        </w:tc>
      </w:tr>
      <w:tr w14:paraId="624236FE">
        <w:tblPrEx>
          <w:tblCellMar>
            <w:top w:w="0" w:type="dxa"/>
            <w:left w:w="0" w:type="dxa"/>
            <w:bottom w:w="0" w:type="dxa"/>
            <w:right w:w="0" w:type="dxa"/>
          </w:tblCellMar>
        </w:tblPrEx>
        <w:trPr>
          <w:trHeight w:val="739" w:hRule="atLeast"/>
          <w:jc w:val="center"/>
        </w:trPr>
        <w:tc>
          <w:tcPr>
            <w:tcW w:w="161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E8CEF67">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法定代表人</w:t>
            </w:r>
          </w:p>
        </w:tc>
        <w:tc>
          <w:tcPr>
            <w:tcW w:w="83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06880A1">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姓名</w:t>
            </w:r>
          </w:p>
        </w:tc>
        <w:tc>
          <w:tcPr>
            <w:tcW w:w="1515"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D047DCA">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c>
          <w:tcPr>
            <w:tcW w:w="930"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3F60381">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技术职称</w:t>
            </w:r>
          </w:p>
        </w:tc>
        <w:tc>
          <w:tcPr>
            <w:tcW w:w="1615"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1C90E0E">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c>
          <w:tcPr>
            <w:tcW w:w="93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4C85503">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电话</w:t>
            </w:r>
          </w:p>
        </w:tc>
        <w:tc>
          <w:tcPr>
            <w:tcW w:w="107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2DD3529">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r>
      <w:tr w14:paraId="4A459935">
        <w:tblPrEx>
          <w:tblCellMar>
            <w:top w:w="0" w:type="dxa"/>
            <w:left w:w="0" w:type="dxa"/>
            <w:bottom w:w="0" w:type="dxa"/>
            <w:right w:w="0" w:type="dxa"/>
          </w:tblCellMar>
        </w:tblPrEx>
        <w:trPr>
          <w:trHeight w:val="739" w:hRule="atLeast"/>
          <w:jc w:val="center"/>
        </w:trPr>
        <w:tc>
          <w:tcPr>
            <w:tcW w:w="161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4CDAAE4">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技术负责人</w:t>
            </w:r>
          </w:p>
        </w:tc>
        <w:tc>
          <w:tcPr>
            <w:tcW w:w="83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E1DF9E6">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姓名</w:t>
            </w:r>
          </w:p>
        </w:tc>
        <w:tc>
          <w:tcPr>
            <w:tcW w:w="1515"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027ED2B">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c>
          <w:tcPr>
            <w:tcW w:w="930"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AAED927">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技术职称</w:t>
            </w:r>
          </w:p>
        </w:tc>
        <w:tc>
          <w:tcPr>
            <w:tcW w:w="1615"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2558CA7">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c>
          <w:tcPr>
            <w:tcW w:w="93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580432F">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电话</w:t>
            </w:r>
          </w:p>
        </w:tc>
        <w:tc>
          <w:tcPr>
            <w:tcW w:w="107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802EB68">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r>
      <w:tr w14:paraId="41DE4475">
        <w:tblPrEx>
          <w:tblCellMar>
            <w:top w:w="0" w:type="dxa"/>
            <w:left w:w="0" w:type="dxa"/>
            <w:bottom w:w="0" w:type="dxa"/>
            <w:right w:w="0" w:type="dxa"/>
          </w:tblCellMar>
        </w:tblPrEx>
        <w:trPr>
          <w:trHeight w:val="668" w:hRule="atLeast"/>
          <w:jc w:val="center"/>
        </w:trPr>
        <w:tc>
          <w:tcPr>
            <w:tcW w:w="161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5ED11D0">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成立时间</w:t>
            </w:r>
          </w:p>
        </w:tc>
        <w:tc>
          <w:tcPr>
            <w:tcW w:w="2346" w:type="dxa"/>
            <w:gridSpan w:val="3"/>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6683C39">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p>
        </w:tc>
        <w:tc>
          <w:tcPr>
            <w:tcW w:w="4561" w:type="dxa"/>
            <w:gridSpan w:val="6"/>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BE170A2">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员工总人数：</w:t>
            </w:r>
          </w:p>
        </w:tc>
      </w:tr>
      <w:tr w14:paraId="775DE0A4">
        <w:tblPrEx>
          <w:tblCellMar>
            <w:top w:w="0" w:type="dxa"/>
            <w:left w:w="0" w:type="dxa"/>
            <w:bottom w:w="0" w:type="dxa"/>
            <w:right w:w="0" w:type="dxa"/>
          </w:tblCellMar>
        </w:tblPrEx>
        <w:trPr>
          <w:trHeight w:val="674" w:hRule="atLeast"/>
          <w:jc w:val="center"/>
        </w:trPr>
        <w:tc>
          <w:tcPr>
            <w:tcW w:w="1615" w:type="dxa"/>
            <w:tcBorders>
              <w:top w:val="nil"/>
              <w:left w:val="single" w:color="auto" w:sz="8" w:space="0"/>
              <w:bottom w:val="single" w:color="auto" w:sz="8" w:space="0"/>
              <w:right w:val="single" w:color="auto" w:sz="8" w:space="0"/>
            </w:tcBorders>
            <w:noWrap w:val="0"/>
            <w:vAlign w:val="bottom"/>
          </w:tcPr>
          <w:p w14:paraId="711360E8">
            <w:pPr>
              <w:keepNext w:val="0"/>
              <w:keepLines w:val="0"/>
              <w:widowControl/>
              <w:suppressLineNumbers w:val="0"/>
              <w:spacing w:before="0" w:beforeAutospacing="0" w:after="0" w:afterAutospacing="0" w:line="36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营业执照号</w:t>
            </w:r>
          </w:p>
        </w:tc>
        <w:tc>
          <w:tcPr>
            <w:tcW w:w="6907" w:type="dxa"/>
            <w:gridSpan w:val="9"/>
            <w:tcBorders>
              <w:top w:val="nil"/>
              <w:left w:val="nil"/>
              <w:bottom w:val="single" w:color="auto" w:sz="8" w:space="0"/>
              <w:right w:val="single" w:color="auto" w:sz="8" w:space="0"/>
            </w:tcBorders>
            <w:noWrap w:val="0"/>
            <w:vAlign w:val="bottom"/>
          </w:tcPr>
          <w:p w14:paraId="70E15FAD">
            <w:pPr>
              <w:keepNext w:val="0"/>
              <w:keepLines w:val="0"/>
              <w:widowControl/>
              <w:suppressLineNumbers w:val="0"/>
              <w:spacing w:before="0" w:beforeAutospacing="0" w:after="0" w:afterAutospacing="0" w:line="360" w:lineRule="auto"/>
              <w:ind w:left="0" w:right="0"/>
              <w:jc w:val="center"/>
              <w:rPr>
                <w:rFonts w:ascii="宋体" w:hAnsi="宋体" w:eastAsia="宋体" w:cs="宋体"/>
                <w:color w:val="auto"/>
                <w:sz w:val="24"/>
                <w:highlight w:val="none"/>
              </w:rPr>
            </w:pPr>
          </w:p>
        </w:tc>
      </w:tr>
      <w:tr w14:paraId="1BB389C8">
        <w:tblPrEx>
          <w:tblCellMar>
            <w:top w:w="0" w:type="dxa"/>
            <w:left w:w="0" w:type="dxa"/>
            <w:bottom w:w="0" w:type="dxa"/>
            <w:right w:w="0" w:type="dxa"/>
          </w:tblCellMar>
        </w:tblPrEx>
        <w:trPr>
          <w:trHeight w:val="674" w:hRule="atLeast"/>
          <w:jc w:val="center"/>
        </w:trPr>
        <w:tc>
          <w:tcPr>
            <w:tcW w:w="1615" w:type="dxa"/>
            <w:tcBorders>
              <w:top w:val="nil"/>
              <w:left w:val="single" w:color="auto" w:sz="8" w:space="0"/>
              <w:bottom w:val="single" w:color="auto" w:sz="8" w:space="0"/>
              <w:right w:val="single" w:color="auto" w:sz="8" w:space="0"/>
            </w:tcBorders>
            <w:noWrap w:val="0"/>
            <w:vAlign w:val="bottom"/>
          </w:tcPr>
          <w:p w14:paraId="4E6BB5DC">
            <w:pPr>
              <w:keepNext w:val="0"/>
              <w:keepLines w:val="0"/>
              <w:widowControl/>
              <w:suppressLineNumbers w:val="0"/>
              <w:spacing w:before="0" w:beforeAutospacing="0" w:after="0" w:afterAutospacing="0" w:line="36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注册资金</w:t>
            </w:r>
          </w:p>
        </w:tc>
        <w:tc>
          <w:tcPr>
            <w:tcW w:w="6907" w:type="dxa"/>
            <w:gridSpan w:val="9"/>
            <w:tcBorders>
              <w:top w:val="nil"/>
              <w:left w:val="nil"/>
              <w:bottom w:val="single" w:color="auto" w:sz="8" w:space="0"/>
              <w:right w:val="single" w:color="auto" w:sz="8" w:space="0"/>
            </w:tcBorders>
            <w:noWrap w:val="0"/>
            <w:vAlign w:val="bottom"/>
          </w:tcPr>
          <w:p w14:paraId="6FC9CE66">
            <w:pPr>
              <w:keepNext w:val="0"/>
              <w:keepLines w:val="0"/>
              <w:widowControl/>
              <w:suppressLineNumbers w:val="0"/>
              <w:spacing w:before="0" w:beforeAutospacing="0" w:after="0" w:afterAutospacing="0" w:line="360" w:lineRule="auto"/>
              <w:ind w:left="0" w:right="0"/>
              <w:jc w:val="center"/>
              <w:rPr>
                <w:rFonts w:ascii="宋体" w:hAnsi="宋体" w:eastAsia="宋体" w:cs="宋体"/>
                <w:color w:val="auto"/>
                <w:sz w:val="24"/>
                <w:highlight w:val="none"/>
              </w:rPr>
            </w:pPr>
          </w:p>
        </w:tc>
      </w:tr>
      <w:tr w14:paraId="566F1551">
        <w:tblPrEx>
          <w:tblCellMar>
            <w:top w:w="0" w:type="dxa"/>
            <w:left w:w="0" w:type="dxa"/>
            <w:bottom w:w="0" w:type="dxa"/>
            <w:right w:w="0" w:type="dxa"/>
          </w:tblCellMar>
        </w:tblPrEx>
        <w:trPr>
          <w:trHeight w:val="674" w:hRule="atLeast"/>
          <w:jc w:val="center"/>
        </w:trPr>
        <w:tc>
          <w:tcPr>
            <w:tcW w:w="1615" w:type="dxa"/>
            <w:tcBorders>
              <w:top w:val="nil"/>
              <w:left w:val="single" w:color="auto" w:sz="8" w:space="0"/>
              <w:bottom w:val="single" w:color="auto" w:sz="8" w:space="0"/>
              <w:right w:val="single" w:color="auto" w:sz="8" w:space="0"/>
            </w:tcBorders>
            <w:noWrap w:val="0"/>
            <w:vAlign w:val="bottom"/>
          </w:tcPr>
          <w:p w14:paraId="3C8CDC87">
            <w:pPr>
              <w:keepNext w:val="0"/>
              <w:keepLines w:val="0"/>
              <w:widowControl/>
              <w:suppressLineNumbers w:val="0"/>
              <w:spacing w:before="0" w:beforeAutospacing="0" w:after="0" w:afterAutospacing="0" w:line="36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开户银行</w:t>
            </w:r>
          </w:p>
        </w:tc>
        <w:tc>
          <w:tcPr>
            <w:tcW w:w="6907" w:type="dxa"/>
            <w:gridSpan w:val="9"/>
            <w:tcBorders>
              <w:top w:val="nil"/>
              <w:left w:val="nil"/>
              <w:bottom w:val="single" w:color="auto" w:sz="8" w:space="0"/>
              <w:right w:val="single" w:color="auto" w:sz="8" w:space="0"/>
            </w:tcBorders>
            <w:noWrap w:val="0"/>
            <w:vAlign w:val="bottom"/>
          </w:tcPr>
          <w:p w14:paraId="7875B408">
            <w:pPr>
              <w:keepNext w:val="0"/>
              <w:keepLines w:val="0"/>
              <w:widowControl/>
              <w:suppressLineNumbers w:val="0"/>
              <w:spacing w:before="0" w:beforeAutospacing="0" w:after="0" w:afterAutospacing="0" w:line="360" w:lineRule="auto"/>
              <w:ind w:left="0" w:right="0"/>
              <w:jc w:val="center"/>
              <w:rPr>
                <w:rFonts w:ascii="宋体" w:hAnsi="宋体" w:eastAsia="宋体" w:cs="宋体"/>
                <w:color w:val="auto"/>
                <w:sz w:val="24"/>
                <w:highlight w:val="none"/>
              </w:rPr>
            </w:pPr>
          </w:p>
        </w:tc>
      </w:tr>
      <w:tr w14:paraId="68E17BBB">
        <w:tblPrEx>
          <w:tblCellMar>
            <w:top w:w="0" w:type="dxa"/>
            <w:left w:w="0" w:type="dxa"/>
            <w:bottom w:w="0" w:type="dxa"/>
            <w:right w:w="0" w:type="dxa"/>
          </w:tblCellMar>
        </w:tblPrEx>
        <w:trPr>
          <w:trHeight w:val="674" w:hRule="atLeast"/>
          <w:jc w:val="center"/>
        </w:trPr>
        <w:tc>
          <w:tcPr>
            <w:tcW w:w="1615" w:type="dxa"/>
            <w:tcBorders>
              <w:top w:val="nil"/>
              <w:left w:val="single" w:color="auto" w:sz="8" w:space="0"/>
              <w:bottom w:val="single" w:color="auto" w:sz="8" w:space="0"/>
              <w:right w:val="single" w:color="auto" w:sz="8" w:space="0"/>
            </w:tcBorders>
            <w:noWrap w:val="0"/>
            <w:vAlign w:val="bottom"/>
          </w:tcPr>
          <w:p w14:paraId="7DB2A166">
            <w:pPr>
              <w:keepNext w:val="0"/>
              <w:keepLines w:val="0"/>
              <w:widowControl/>
              <w:suppressLineNumbers w:val="0"/>
              <w:spacing w:before="0" w:beforeAutospacing="0" w:after="0" w:afterAutospacing="0" w:line="36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账号</w:t>
            </w:r>
          </w:p>
        </w:tc>
        <w:tc>
          <w:tcPr>
            <w:tcW w:w="6907" w:type="dxa"/>
            <w:gridSpan w:val="9"/>
            <w:tcBorders>
              <w:top w:val="nil"/>
              <w:left w:val="nil"/>
              <w:bottom w:val="single" w:color="auto" w:sz="8" w:space="0"/>
              <w:right w:val="single" w:color="auto" w:sz="8" w:space="0"/>
            </w:tcBorders>
            <w:noWrap w:val="0"/>
            <w:vAlign w:val="bottom"/>
          </w:tcPr>
          <w:p w14:paraId="3FB1E229">
            <w:pPr>
              <w:keepNext w:val="0"/>
              <w:keepLines w:val="0"/>
              <w:widowControl/>
              <w:suppressLineNumbers w:val="0"/>
              <w:spacing w:before="0" w:beforeAutospacing="0" w:after="0" w:afterAutospacing="0" w:line="360" w:lineRule="auto"/>
              <w:ind w:left="0" w:right="0"/>
              <w:jc w:val="center"/>
              <w:rPr>
                <w:rFonts w:ascii="宋体" w:hAnsi="宋体" w:eastAsia="宋体" w:cs="宋体"/>
                <w:color w:val="auto"/>
                <w:sz w:val="24"/>
                <w:highlight w:val="none"/>
              </w:rPr>
            </w:pPr>
          </w:p>
        </w:tc>
      </w:tr>
      <w:tr w14:paraId="619C7766">
        <w:tblPrEx>
          <w:tblCellMar>
            <w:top w:w="0" w:type="dxa"/>
            <w:left w:w="0" w:type="dxa"/>
            <w:bottom w:w="0" w:type="dxa"/>
            <w:right w:w="0" w:type="dxa"/>
          </w:tblCellMar>
        </w:tblPrEx>
        <w:trPr>
          <w:trHeight w:val="723" w:hRule="atLeast"/>
          <w:jc w:val="center"/>
        </w:trPr>
        <w:tc>
          <w:tcPr>
            <w:tcW w:w="161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F15C9E8">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经营范围</w:t>
            </w:r>
          </w:p>
        </w:tc>
        <w:tc>
          <w:tcPr>
            <w:tcW w:w="6907" w:type="dxa"/>
            <w:gridSpan w:val="9"/>
            <w:tcBorders>
              <w:top w:val="nil"/>
              <w:left w:val="nil"/>
              <w:bottom w:val="single" w:color="auto" w:sz="8" w:space="0"/>
              <w:right w:val="single" w:color="auto" w:sz="8" w:space="0"/>
            </w:tcBorders>
            <w:noWrap w:val="0"/>
            <w:tcMar>
              <w:top w:w="0" w:type="dxa"/>
              <w:left w:w="108" w:type="dxa"/>
              <w:bottom w:w="0" w:type="dxa"/>
              <w:right w:w="108" w:type="dxa"/>
            </w:tcMar>
            <w:vAlign w:val="top"/>
          </w:tcPr>
          <w:p w14:paraId="30A98404">
            <w:pPr>
              <w:keepNext w:val="0"/>
              <w:keepLines w:val="0"/>
              <w:widowControl/>
              <w:suppressLineNumbers w:val="0"/>
              <w:spacing w:before="0" w:beforeAutospacing="0" w:after="0" w:afterAutospacing="0" w:line="360" w:lineRule="auto"/>
              <w:ind w:left="0" w:right="0" w:firstLine="420"/>
              <w:rPr>
                <w:rFonts w:ascii="宋体" w:hAnsi="宋体" w:eastAsia="宋体" w:cs="宋体"/>
                <w:color w:val="auto"/>
                <w:sz w:val="24"/>
                <w:highlight w:val="none"/>
              </w:rPr>
            </w:pPr>
            <w:r>
              <w:rPr>
                <w:rFonts w:ascii="宋体" w:hAnsi="宋体" w:eastAsia="宋体" w:cs="宋体"/>
                <w:color w:val="auto"/>
                <w:sz w:val="24"/>
                <w:szCs w:val="24"/>
                <w:highlight w:val="none"/>
              </w:rPr>
              <w:t> </w:t>
            </w:r>
          </w:p>
        </w:tc>
      </w:tr>
      <w:tr w14:paraId="2C31C215">
        <w:tblPrEx>
          <w:tblCellMar>
            <w:top w:w="0" w:type="dxa"/>
            <w:left w:w="0" w:type="dxa"/>
            <w:bottom w:w="0" w:type="dxa"/>
            <w:right w:w="0" w:type="dxa"/>
          </w:tblCellMar>
        </w:tblPrEx>
        <w:trPr>
          <w:trHeight w:val="674" w:hRule="atLeast"/>
          <w:jc w:val="center"/>
        </w:trPr>
        <w:tc>
          <w:tcPr>
            <w:tcW w:w="161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8BDF50F">
            <w:pPr>
              <w:keepNext w:val="0"/>
              <w:keepLines w:val="0"/>
              <w:widowControl/>
              <w:suppressLineNumbers w:val="0"/>
              <w:spacing w:before="0" w:beforeAutospacing="0" w:after="0" w:afterAutospacing="0" w:line="240" w:lineRule="auto"/>
              <w:ind w:left="0" w:right="0"/>
              <w:jc w:val="center"/>
              <w:rPr>
                <w:rFonts w:ascii="宋体" w:hAnsi="宋体" w:eastAsia="宋体" w:cs="宋体"/>
                <w:color w:val="auto"/>
                <w:sz w:val="24"/>
                <w:highlight w:val="none"/>
              </w:rPr>
            </w:pPr>
            <w:r>
              <w:rPr>
                <w:rFonts w:ascii="宋体" w:hAnsi="宋体" w:eastAsia="宋体" w:cs="宋体"/>
                <w:color w:val="auto"/>
                <w:sz w:val="24"/>
                <w:szCs w:val="24"/>
                <w:highlight w:val="none"/>
              </w:rPr>
              <w:t>备注</w:t>
            </w:r>
          </w:p>
        </w:tc>
        <w:tc>
          <w:tcPr>
            <w:tcW w:w="6907" w:type="dxa"/>
            <w:gridSpan w:val="9"/>
            <w:tcBorders>
              <w:top w:val="nil"/>
              <w:left w:val="nil"/>
              <w:bottom w:val="single" w:color="auto" w:sz="8" w:space="0"/>
              <w:right w:val="single" w:color="auto" w:sz="8" w:space="0"/>
            </w:tcBorders>
            <w:noWrap w:val="0"/>
            <w:tcMar>
              <w:top w:w="0" w:type="dxa"/>
              <w:left w:w="108" w:type="dxa"/>
              <w:bottom w:w="0" w:type="dxa"/>
              <w:right w:w="108" w:type="dxa"/>
            </w:tcMar>
            <w:vAlign w:val="top"/>
          </w:tcPr>
          <w:p w14:paraId="49EDE272">
            <w:pPr>
              <w:keepNext w:val="0"/>
              <w:keepLines w:val="0"/>
              <w:widowControl/>
              <w:suppressLineNumbers w:val="0"/>
              <w:spacing w:before="0" w:beforeAutospacing="0" w:after="0" w:afterAutospacing="0" w:line="360" w:lineRule="auto"/>
              <w:ind w:left="0" w:right="0"/>
              <w:rPr>
                <w:rFonts w:ascii="宋体" w:hAnsi="宋体" w:eastAsia="宋体" w:cs="宋体"/>
                <w:color w:val="auto"/>
                <w:sz w:val="24"/>
                <w:highlight w:val="none"/>
              </w:rPr>
            </w:pPr>
            <w:r>
              <w:rPr>
                <w:rFonts w:ascii="宋体" w:hAnsi="宋体" w:eastAsia="宋体" w:cs="宋体"/>
                <w:color w:val="auto"/>
                <w:sz w:val="24"/>
                <w:szCs w:val="24"/>
                <w:highlight w:val="none"/>
              </w:rPr>
              <w:t> </w:t>
            </w:r>
          </w:p>
        </w:tc>
      </w:tr>
    </w:tbl>
    <w:p w14:paraId="31864C4C">
      <w:pPr>
        <w:rPr>
          <w:rFonts w:ascii="宋体" w:hAnsi="宋体" w:eastAsia="宋体" w:cs="宋体"/>
          <w:color w:val="auto"/>
          <w:highlight w:val="none"/>
        </w:rPr>
      </w:pPr>
    </w:p>
    <w:p w14:paraId="6D437B73">
      <w:pPr>
        <w:rPr>
          <w:rFonts w:ascii="宋体" w:hAnsi="宋体" w:eastAsia="宋体" w:cs="宋体"/>
          <w:color w:val="auto"/>
          <w:highlight w:val="none"/>
        </w:rPr>
      </w:pPr>
    </w:p>
    <w:p w14:paraId="4AC96A00">
      <w:pPr>
        <w:rPr>
          <w:rFonts w:ascii="宋体" w:hAnsi="宋体" w:eastAsia="宋体" w:cs="宋体"/>
          <w:color w:val="auto"/>
          <w:highlight w:val="none"/>
        </w:rPr>
      </w:pPr>
    </w:p>
    <w:p w14:paraId="62378CBD">
      <w:pPr>
        <w:pStyle w:val="8"/>
        <w:spacing w:after="0" w:line="360" w:lineRule="auto"/>
        <w:ind w:firstLine="0" w:firstLineChars="0"/>
        <w:jc w:val="center"/>
        <w:rPr>
          <w:rFonts w:ascii="宋体" w:hAnsi="宋体" w:cs="宋体"/>
          <w:b/>
          <w:bCs/>
          <w:color w:val="auto"/>
          <w:sz w:val="28"/>
          <w:szCs w:val="28"/>
          <w:highlight w:val="none"/>
        </w:rPr>
      </w:pPr>
      <w:r>
        <w:rPr>
          <w:rFonts w:ascii="宋体" w:hAnsi="宋体" w:cs="宋体"/>
          <w:b/>
          <w:bCs/>
          <w:color w:val="auto"/>
          <w:sz w:val="32"/>
          <w:szCs w:val="32"/>
          <w:highlight w:val="none"/>
        </w:rPr>
        <w:br w:type="page"/>
      </w:r>
      <w:r>
        <w:rPr>
          <w:rFonts w:ascii="宋体" w:hAnsi="宋体" w:cs="宋体"/>
          <w:b/>
          <w:bCs/>
          <w:color w:val="auto"/>
          <w:sz w:val="32"/>
          <w:szCs w:val="32"/>
          <w:highlight w:val="none"/>
        </w:rPr>
        <w:t>6.资格证明材料</w:t>
      </w:r>
    </w:p>
    <w:p w14:paraId="614B1450">
      <w:pPr>
        <w:pStyle w:val="8"/>
        <w:spacing w:after="0" w:line="440" w:lineRule="exact"/>
        <w:ind w:firstLine="0" w:firstLineChars="0"/>
        <w:jc w:val="center"/>
        <w:rPr>
          <w:rFonts w:ascii="宋体" w:hAnsi="宋体" w:cs="宋体"/>
          <w:b/>
          <w:bCs/>
          <w:color w:val="auto"/>
          <w:sz w:val="28"/>
          <w:szCs w:val="28"/>
          <w:highlight w:val="none"/>
        </w:rPr>
      </w:pPr>
      <w:r>
        <w:rPr>
          <w:rFonts w:ascii="宋体" w:hAnsi="宋体" w:cs="宋体"/>
          <w:b/>
          <w:bCs/>
          <w:color w:val="auto"/>
          <w:sz w:val="28"/>
          <w:szCs w:val="28"/>
          <w:highlight w:val="none"/>
        </w:rPr>
        <w:t>6.1 营业执照副本复印件加盖公章</w:t>
      </w:r>
    </w:p>
    <w:p w14:paraId="457F304D">
      <w:pPr>
        <w:spacing w:after="0" w:line="360" w:lineRule="auto"/>
        <w:ind w:left="3"/>
        <w:jc w:val="center"/>
        <w:rPr>
          <w:rFonts w:ascii="宋体" w:hAnsi="宋体" w:cs="宋体"/>
          <w:color w:val="auto"/>
          <w:sz w:val="24"/>
          <w:szCs w:val="24"/>
          <w:highlight w:val="none"/>
        </w:rPr>
        <w:sectPr>
          <w:pgSz w:w="11906" w:h="16838"/>
          <w:pgMar w:top="1440" w:right="1797" w:bottom="1440" w:left="1797" w:header="851" w:footer="992" w:gutter="0"/>
          <w:pgNumType w:fmt="decimal"/>
          <w:cols w:space="720" w:num="1"/>
          <w:docGrid w:linePitch="312" w:charSpace="0"/>
        </w:sectPr>
      </w:pPr>
      <w:r>
        <w:rPr>
          <w:rFonts w:ascii="宋体" w:hAnsi="宋体" w:cs="宋体"/>
          <w:color w:val="auto"/>
          <w:sz w:val="24"/>
          <w:szCs w:val="24"/>
          <w:highlight w:val="none"/>
        </w:rPr>
        <w:br w:type="page"/>
      </w:r>
    </w:p>
    <w:p w14:paraId="6C52266B">
      <w:pPr>
        <w:spacing w:after="0" w:line="360" w:lineRule="auto"/>
        <w:ind w:left="3"/>
        <w:jc w:val="center"/>
        <w:rPr>
          <w:b/>
          <w:color w:val="auto"/>
          <w:highlight w:val="none"/>
        </w:rPr>
      </w:pPr>
      <w:r>
        <w:rPr>
          <w:rFonts w:hint="eastAsia" w:ascii="宋体" w:hAnsi="宋体" w:eastAsia="宋体" w:cs="宋体"/>
          <w:b/>
          <w:color w:val="auto"/>
          <w:sz w:val="32"/>
          <w:highlight w:val="none"/>
          <w:lang w:val="en-US" w:eastAsia="zh-CN"/>
        </w:rPr>
        <w:t>6.2</w:t>
      </w:r>
      <w:r>
        <w:rPr>
          <w:rFonts w:hint="eastAsia" w:ascii="宋体" w:hAnsi="宋体" w:eastAsia="宋体" w:cs="宋体"/>
          <w:b/>
          <w:color w:val="auto"/>
          <w:sz w:val="32"/>
          <w:highlight w:val="none"/>
        </w:rPr>
        <w:t>资格承诺函</w:t>
      </w:r>
    </w:p>
    <w:p w14:paraId="5DFF6A23">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致：</w:t>
      </w:r>
      <w:r>
        <w:rPr>
          <w:rFonts w:hint="eastAsia" w:ascii="宋体" w:hAnsi="宋体" w:eastAsia="宋体" w:cs="宋体"/>
          <w:color w:val="auto"/>
          <w:kern w:val="0"/>
          <w:sz w:val="24"/>
          <w:szCs w:val="24"/>
          <w:highlight w:val="none"/>
          <w:u w:val="single"/>
          <w:lang w:val="en-US" w:eastAsia="zh-CN" w:bidi="ar"/>
        </w:rPr>
        <w:t xml:space="preserve">     （采购人、采购代理机构） </w:t>
      </w:r>
    </w:p>
    <w:p w14:paraId="6F5287D0">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在参加</w:t>
      </w:r>
      <w:r>
        <w:rPr>
          <w:rFonts w:hint="eastAsia" w:ascii="宋体" w:hAnsi="宋体" w:eastAsia="宋体" w:cs="宋体"/>
          <w:color w:val="auto"/>
          <w:kern w:val="0"/>
          <w:sz w:val="24"/>
          <w:szCs w:val="24"/>
          <w:highlight w:val="none"/>
          <w:u w:val="single"/>
          <w:lang w:val="en-US" w:eastAsia="zh-CN" w:bidi="ar"/>
        </w:rPr>
        <w:t xml:space="preserve">    （项目名称）  </w:t>
      </w:r>
      <w:r>
        <w:rPr>
          <w:rFonts w:hint="eastAsia" w:ascii="宋体" w:hAnsi="宋体" w:eastAsia="宋体" w:cs="宋体"/>
          <w:color w:val="auto"/>
          <w:kern w:val="0"/>
          <w:sz w:val="24"/>
          <w:szCs w:val="24"/>
          <w:highlight w:val="none"/>
          <w:lang w:val="en-US" w:eastAsia="zh-CN" w:bidi="ar"/>
        </w:rPr>
        <w:t>（项目编号：</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u w:val="none"/>
          <w:lang w:val="en-US" w:eastAsia="zh-CN" w:bidi="ar"/>
        </w:rPr>
        <w:t>，</w:t>
      </w:r>
      <w:r>
        <w:rPr>
          <w:rFonts w:hint="eastAsia" w:ascii="宋体" w:hAnsi="宋体" w:eastAsia="宋体" w:cs="宋体"/>
          <w:color w:val="auto"/>
          <w:sz w:val="24"/>
          <w:szCs w:val="24"/>
          <w:highlight w:val="none"/>
          <w:u w:val="none"/>
          <w:lang w:val="en-US" w:eastAsia="zh-CN"/>
        </w:rPr>
        <w:t>标段：</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bidi="ar"/>
        </w:rPr>
        <w:t>）的招标（采购）活动中，我方郑重声明完全满足《中华人民共和国政府采购法》第二十二条规定的各项条件，现具体承诺如下：</w:t>
      </w:r>
    </w:p>
    <w:p w14:paraId="3276286D">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一、我方在中华人民共和国注册的、具有独立承担民事责任的能力（见我方提供的营业执照或其他相应证明的复印件）。 </w:t>
      </w:r>
    </w:p>
    <w:p w14:paraId="4ABAD690">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二、我方具有良好的商业信誉和健全的财务会计制度。 </w:t>
      </w:r>
    </w:p>
    <w:p w14:paraId="183E5763">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三、我方具有依法缴纳税收和社会保障资金的良好记录。 </w:t>
      </w:r>
    </w:p>
    <w:p w14:paraId="10262FFD">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四、我方具有履行本项目采购合同所必需的设备和专业技术能力。 </w:t>
      </w:r>
    </w:p>
    <w:p w14:paraId="49A18324">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五、我方参加本项目采购活动前三年内（成立不足三年的从成立之日起计算），在经营活动中无重大违法记录。 </w:t>
      </w:r>
    </w:p>
    <w:p w14:paraId="7D7AFF7E">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六、我方具备符合法律、行政法规规定及采购文件要求的其他条件。 </w:t>
      </w:r>
    </w:p>
    <w:p w14:paraId="5A3F389F">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七、我方与参加本项目的其他供应商不存在以下情形：</w:t>
      </w:r>
    </w:p>
    <w:p w14:paraId="0678BF6F">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1、单位负责人为同一人；</w:t>
      </w:r>
    </w:p>
    <w:p w14:paraId="28931384">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2、存在直接控股或管理关系的。 </w:t>
      </w:r>
    </w:p>
    <w:p w14:paraId="75AA8770">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八、我方不属于为本项目提供整体设计、规范编制或者项目管理、监理、检测等服务的投标供应商。 </w:t>
      </w:r>
    </w:p>
    <w:p w14:paraId="74D7AD9F">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九、本项目如为信息系统建设项目，我方不属于该整体项目或其中分项目前期工作提供过设计、编制、管理等服务的法人及附属单位。 </w:t>
      </w:r>
    </w:p>
    <w:p w14:paraId="4945AABE">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十、我方为非联合体投标。</w:t>
      </w:r>
    </w:p>
    <w:p w14:paraId="72E748FC">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十一、我方无以下不良信用记录情形： </w:t>
      </w:r>
    </w:p>
    <w:p w14:paraId="22E91C19">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1、在“信用中国”网站被列入重大税收违法失信主体名单；</w:t>
      </w:r>
    </w:p>
    <w:p w14:paraId="2479658D">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2、在“中国执行信息公开网”网站被列入失信被执行人名单；</w:t>
      </w:r>
    </w:p>
    <w:p w14:paraId="6FA9DABE">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both"/>
        <w:textAlignment w:val="auto"/>
        <w:rPr>
          <w:rFonts w:hint="eastAsia" w:ascii="宋体" w:hAnsi="宋体" w:eastAsia="宋体" w:cs="宋体"/>
          <w:color w:val="auto"/>
          <w:sz w:val="21"/>
          <w:szCs w:val="24"/>
          <w:highlight w:val="none"/>
        </w:rPr>
      </w:pPr>
      <w:r>
        <w:rPr>
          <w:rFonts w:hint="eastAsia" w:ascii="宋体" w:hAnsi="宋体" w:eastAsia="宋体" w:cs="宋体"/>
          <w:color w:val="auto"/>
          <w:kern w:val="0"/>
          <w:sz w:val="24"/>
          <w:szCs w:val="24"/>
          <w:highlight w:val="none"/>
          <w:lang w:val="en-US" w:eastAsia="zh-CN" w:bidi="ar"/>
        </w:rPr>
        <w:t xml:space="preserve">我方同意此承诺书在相关的招标（采购）信息发布平台公示，接受社会各界监督。若我方违反上述承诺，同意将相关失信行为纳入相关信用信息共享平台，并自愿承担提供虚假材料谋取中标、成交的法律责任。 </w:t>
      </w:r>
    </w:p>
    <w:p w14:paraId="5E59C014">
      <w:pPr>
        <w:keepNext w:val="0"/>
        <w:keepLines w:val="0"/>
        <w:pageBreakBefore w:val="0"/>
        <w:widowControl/>
        <w:suppressLineNumbers w:val="0"/>
        <w:kinsoku/>
        <w:wordWrap/>
        <w:overflowPunct/>
        <w:topLinePunct w:val="0"/>
        <w:autoSpaceDE/>
        <w:autoSpaceDN/>
        <w:bidi w:val="0"/>
        <w:adjustRightInd/>
        <w:snapToGrid/>
        <w:spacing w:after="0" w:line="520" w:lineRule="exact"/>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特此承诺。</w:t>
      </w:r>
    </w:p>
    <w:p w14:paraId="5ED00F62">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auto"/>
          <w:kern w:val="0"/>
          <w:sz w:val="24"/>
          <w:szCs w:val="24"/>
          <w:highlight w:val="none"/>
          <w:lang w:val="en-US" w:eastAsia="zh-CN" w:bidi="ar"/>
        </w:rPr>
      </w:pPr>
    </w:p>
    <w:p w14:paraId="0742B634">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auto"/>
          <w:kern w:val="0"/>
          <w:sz w:val="24"/>
          <w:szCs w:val="24"/>
          <w:highlight w:val="none"/>
          <w:lang w:val="en-US" w:eastAsia="zh-CN" w:bidi="ar"/>
        </w:rPr>
      </w:pPr>
    </w:p>
    <w:p w14:paraId="4FE7F025">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auto"/>
          <w:kern w:val="0"/>
          <w:sz w:val="24"/>
          <w:szCs w:val="24"/>
          <w:highlight w:val="none"/>
          <w:lang w:val="en-US" w:eastAsia="zh-CN" w:bidi="ar"/>
        </w:rPr>
      </w:pPr>
    </w:p>
    <w:p w14:paraId="79F61680">
      <w:pPr>
        <w:keepNext w:val="0"/>
        <w:keepLines w:val="0"/>
        <w:pageBreakBefore w:val="0"/>
        <w:widowControl/>
        <w:suppressLineNumbers w:val="0"/>
        <w:kinsoku/>
        <w:wordWrap/>
        <w:overflowPunct/>
        <w:topLinePunct w:val="0"/>
        <w:autoSpaceDE/>
        <w:autoSpaceDN/>
        <w:bidi w:val="0"/>
        <w:adjustRightInd/>
        <w:snapToGrid/>
        <w:spacing w:line="560" w:lineRule="exact"/>
        <w:ind w:firstLine="2880" w:firstLineChars="1200"/>
        <w:jc w:val="left"/>
        <w:textAlignment w:val="auto"/>
        <w:rPr>
          <w:rFonts w:hint="eastAsia" w:ascii="宋体" w:hAnsi="宋体" w:eastAsia="宋体" w:cs="宋体"/>
          <w:color w:val="auto"/>
          <w:highlight w:val="none"/>
        </w:rPr>
      </w:pPr>
      <w:r>
        <w:rPr>
          <w:rFonts w:hint="eastAsia" w:ascii="宋体" w:hAnsi="宋体" w:eastAsia="宋体" w:cs="宋体"/>
          <w:color w:val="auto"/>
          <w:sz w:val="24"/>
          <w:szCs w:val="24"/>
          <w:highlight w:val="none"/>
          <w:lang w:val="zh-TW"/>
        </w:rPr>
        <w:t>供应商名称</w:t>
      </w:r>
      <w:r>
        <w:rPr>
          <w:rFonts w:hint="eastAsia" w:ascii="宋体" w:hAnsi="宋体" w:eastAsia="宋体" w:cs="宋体"/>
          <w:color w:val="auto"/>
          <w:sz w:val="24"/>
          <w:szCs w:val="24"/>
          <w:highlight w:val="none"/>
          <w:lang w:val="zh-TW" w:eastAsia="zh-TW"/>
        </w:rPr>
        <w:t>（盖</w:t>
      </w:r>
      <w:r>
        <w:rPr>
          <w:rFonts w:hint="eastAsia" w:cs="宋体"/>
          <w:color w:val="auto"/>
          <w:sz w:val="24"/>
          <w:szCs w:val="24"/>
          <w:highlight w:val="none"/>
          <w:lang w:val="en-US" w:eastAsia="zh-CN"/>
        </w:rPr>
        <w:t>公</w:t>
      </w:r>
      <w:r>
        <w:rPr>
          <w:rFonts w:hint="eastAsia" w:ascii="宋体" w:hAnsi="宋体" w:eastAsia="宋体" w:cs="宋体"/>
          <w:color w:val="auto"/>
          <w:sz w:val="24"/>
          <w:szCs w:val="24"/>
          <w:highlight w:val="none"/>
          <w:lang w:val="zh-TW" w:eastAsia="zh-TW"/>
        </w:rPr>
        <w:t>章）</w:t>
      </w:r>
      <w:r>
        <w:rPr>
          <w:rFonts w:hint="eastAsia" w:ascii="宋体" w:hAnsi="宋体" w:eastAsia="宋体" w:cs="宋体"/>
          <w:color w:val="auto"/>
          <w:kern w:val="0"/>
          <w:sz w:val="24"/>
          <w:szCs w:val="24"/>
          <w:highlight w:val="none"/>
          <w:lang w:val="en-US" w:eastAsia="zh-CN" w:bidi="ar"/>
        </w:rPr>
        <w:t xml:space="preserve">：____________ </w:t>
      </w:r>
    </w:p>
    <w:p w14:paraId="2DF54AF6">
      <w:pPr>
        <w:keepNext w:val="0"/>
        <w:keepLines w:val="0"/>
        <w:pageBreakBefore w:val="0"/>
        <w:widowControl/>
        <w:suppressLineNumbers w:val="0"/>
        <w:kinsoku/>
        <w:wordWrap/>
        <w:overflowPunct/>
        <w:topLinePunct w:val="0"/>
        <w:autoSpaceDE/>
        <w:autoSpaceDN/>
        <w:bidi w:val="0"/>
        <w:adjustRightInd/>
        <w:snapToGrid/>
        <w:spacing w:line="560" w:lineRule="exact"/>
        <w:ind w:firstLine="1680" w:firstLineChars="700"/>
        <w:jc w:val="left"/>
        <w:textAlignment w:val="auto"/>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法定代表人或授权代表（签字或私章）：____________ </w:t>
      </w:r>
    </w:p>
    <w:p w14:paraId="606E5EF2">
      <w:pPr>
        <w:pStyle w:val="8"/>
        <w:spacing w:after="0" w:line="440" w:lineRule="exact"/>
        <w:ind w:left="0" w:leftChars="0" w:firstLine="3079" w:firstLineChars="1283"/>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日期：___________年___ 月____日</w:t>
      </w:r>
    </w:p>
    <w:p w14:paraId="17A88BE8">
      <w:pPr>
        <w:rPr>
          <w:color w:val="auto"/>
          <w:highlight w:val="none"/>
        </w:rPr>
      </w:pPr>
    </w:p>
    <w:p w14:paraId="6DD67CC1">
      <w:pPr>
        <w:keepNext w:val="0"/>
        <w:keepLines w:val="0"/>
        <w:pageBreakBefore w:val="0"/>
        <w:widowControl/>
        <w:kinsoku/>
        <w:wordWrap/>
        <w:overflowPunct/>
        <w:topLinePunct w:val="0"/>
        <w:autoSpaceDE/>
        <w:autoSpaceDN/>
        <w:bidi w:val="0"/>
        <w:adjustRightInd/>
        <w:snapToGrid/>
        <w:spacing w:after="0" w:line="240" w:lineRule="auto"/>
        <w:textAlignment w:val="auto"/>
        <w:rPr>
          <w:rFonts w:ascii="宋体" w:hAnsi="宋体" w:cs="宋体"/>
          <w:color w:val="auto"/>
          <w:sz w:val="24"/>
          <w:szCs w:val="24"/>
          <w:highlight w:val="none"/>
        </w:rPr>
      </w:pPr>
      <w:r>
        <w:rPr>
          <w:rFonts w:ascii="宋体" w:hAnsi="宋体" w:cs="宋体"/>
          <w:color w:val="auto"/>
          <w:sz w:val="24"/>
          <w:szCs w:val="24"/>
          <w:highlight w:val="none"/>
        </w:rPr>
        <w:br w:type="page"/>
      </w:r>
    </w:p>
    <w:p w14:paraId="312ED7E7">
      <w:pPr>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6.3</w:t>
      </w:r>
      <w:r>
        <w:rPr>
          <w:rFonts w:hint="eastAsia" w:ascii="宋体" w:hAnsi="宋体" w:eastAsia="宋体" w:cs="宋体"/>
          <w:b/>
          <w:bCs/>
          <w:color w:val="auto"/>
          <w:sz w:val="28"/>
          <w:szCs w:val="28"/>
          <w:highlight w:val="none"/>
        </w:rPr>
        <w:t>采购活动前三年内，在经营活动中无环保类行政处罚记录声明函</w:t>
      </w:r>
    </w:p>
    <w:p w14:paraId="1C691A0C">
      <w:pPr>
        <w:keepNext w:val="0"/>
        <w:keepLines w:val="0"/>
        <w:pageBreakBefore w:val="0"/>
        <w:widowControl/>
        <w:kinsoku/>
        <w:wordWrap/>
        <w:overflowPunct/>
        <w:topLinePunct w:val="0"/>
        <w:autoSpaceDE/>
        <w:autoSpaceDN/>
        <w:bidi w:val="0"/>
        <w:adjustRightInd/>
        <w:snapToGrid/>
        <w:spacing w:before="157" w:beforeLines="50" w:after="157" w:afterLines="50" w:line="600" w:lineRule="exact"/>
        <w:jc w:val="center"/>
        <w:textAlignment w:val="auto"/>
        <w:rPr>
          <w:rFonts w:hint="eastAsia" w:ascii="宋体" w:hAnsi="宋体" w:eastAsia="宋体" w:cs="宋体"/>
          <w:b/>
          <w:bCs/>
          <w:color w:val="auto"/>
          <w:sz w:val="28"/>
          <w:szCs w:val="28"/>
          <w:highlight w:val="none"/>
          <w:lang w:val="en-US" w:eastAsia="zh-CN"/>
        </w:rPr>
      </w:pPr>
    </w:p>
    <w:p w14:paraId="41DCB433">
      <w:pPr>
        <w:keepNext w:val="0"/>
        <w:keepLines w:val="0"/>
        <w:pageBreakBefore w:val="0"/>
        <w:widowControl/>
        <w:kinsoku/>
        <w:wordWrap/>
        <w:overflowPunct/>
        <w:topLinePunct w:val="0"/>
        <w:autoSpaceDE/>
        <w:autoSpaceDN/>
        <w:bidi w:val="0"/>
        <w:adjustRightInd/>
        <w:snapToGrid/>
        <w:spacing w:before="157" w:beforeLines="50" w:after="313" w:afterLines="100" w:line="600" w:lineRule="exact"/>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声 明 函</w:t>
      </w:r>
    </w:p>
    <w:p w14:paraId="1C558FD5">
      <w:pPr>
        <w:bidi w:val="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致：</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sz w:val="24"/>
          <w:szCs w:val="24"/>
          <w:highlight w:val="none"/>
          <w:u w:val="single"/>
        </w:rPr>
        <w:t>（采购人、采购代理机构）</w:t>
      </w:r>
    </w:p>
    <w:p w14:paraId="6A4D6B2B">
      <w:pPr>
        <w:keepNext w:val="0"/>
        <w:keepLines w:val="0"/>
        <w:pageBreakBefore w:val="0"/>
        <w:widowControl/>
        <w:kinsoku/>
        <w:wordWrap/>
        <w:overflowPunct/>
        <w:topLinePunct w:val="0"/>
        <w:autoSpaceDE/>
        <w:autoSpaceDN/>
        <w:bidi w:val="0"/>
        <w:adjustRightInd/>
        <w:snapToGrid/>
        <w:spacing w:after="0"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w:t>
      </w:r>
      <w:r>
        <w:rPr>
          <w:rFonts w:hint="eastAsia" w:ascii="宋体" w:hAnsi="宋体" w:eastAsia="宋体" w:cs="宋体"/>
          <w:color w:val="auto"/>
          <w:sz w:val="24"/>
          <w:szCs w:val="24"/>
          <w:highlight w:val="none"/>
          <w:lang w:val="en-US" w:eastAsia="zh-CN"/>
        </w:rPr>
        <w:t>在此</w:t>
      </w:r>
      <w:r>
        <w:rPr>
          <w:rFonts w:hint="eastAsia" w:ascii="宋体" w:hAnsi="宋体" w:eastAsia="宋体" w:cs="宋体"/>
          <w:color w:val="auto"/>
          <w:sz w:val="24"/>
          <w:szCs w:val="24"/>
          <w:highlight w:val="none"/>
        </w:rPr>
        <w:t>声明：本单位在参加</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none"/>
          <w:lang w:val="en-US" w:eastAsia="zh-CN"/>
        </w:rPr>
        <w:t>标段：</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）的采购活动前三年内，未有环保类行政处罚记录。若</w:t>
      </w:r>
      <w:r>
        <w:rPr>
          <w:rFonts w:hint="eastAsia" w:ascii="宋体" w:hAnsi="宋体" w:eastAsia="宋体" w:cs="宋体"/>
          <w:color w:val="auto"/>
          <w:sz w:val="24"/>
          <w:szCs w:val="24"/>
          <w:highlight w:val="none"/>
          <w:lang w:eastAsia="zh-CN"/>
        </w:rPr>
        <w:t>我方</w:t>
      </w:r>
      <w:r>
        <w:rPr>
          <w:rFonts w:hint="eastAsia" w:ascii="宋体" w:hAnsi="宋体" w:eastAsia="宋体" w:cs="宋体"/>
          <w:color w:val="auto"/>
          <w:sz w:val="24"/>
          <w:szCs w:val="24"/>
          <w:highlight w:val="none"/>
        </w:rPr>
        <w:t>以上承诺不实，自愿承担提供虚假材料谋取中标、成交的法律责任。</w:t>
      </w:r>
    </w:p>
    <w:p w14:paraId="59C94627">
      <w:pPr>
        <w:bidi w:val="0"/>
        <w:ind w:left="0" w:leftChars="0" w:firstLine="4320" w:firstLineChars="1800"/>
        <w:rPr>
          <w:rFonts w:hint="eastAsia" w:ascii="宋体" w:hAnsi="宋体" w:eastAsia="宋体" w:cs="宋体"/>
          <w:color w:val="auto"/>
          <w:sz w:val="24"/>
          <w:szCs w:val="24"/>
          <w:highlight w:val="none"/>
        </w:rPr>
      </w:pPr>
    </w:p>
    <w:p w14:paraId="77AA4D23">
      <w:pPr>
        <w:bidi w:val="0"/>
        <w:ind w:left="0" w:leftChars="0" w:firstLine="4320" w:firstLineChars="1800"/>
        <w:rPr>
          <w:rFonts w:hint="eastAsia" w:ascii="宋体" w:hAnsi="宋体" w:eastAsia="宋体" w:cs="宋体"/>
          <w:color w:val="auto"/>
          <w:sz w:val="24"/>
          <w:szCs w:val="24"/>
          <w:highlight w:val="none"/>
        </w:rPr>
      </w:pPr>
    </w:p>
    <w:p w14:paraId="5F6C5092">
      <w:pPr>
        <w:bidi w:val="0"/>
        <w:ind w:left="0" w:leftChars="0" w:firstLine="4320" w:firstLineChars="18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zh-TW"/>
        </w:rPr>
        <w:t>供应商名称</w:t>
      </w:r>
      <w:r>
        <w:rPr>
          <w:rFonts w:hint="eastAsia" w:ascii="宋体" w:hAnsi="宋体" w:eastAsia="宋体" w:cs="宋体"/>
          <w:color w:val="auto"/>
          <w:sz w:val="24"/>
          <w:szCs w:val="24"/>
          <w:highlight w:val="none"/>
          <w:lang w:val="zh-TW" w:eastAsia="zh-TW"/>
        </w:rPr>
        <w:t>（盖</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lang w:val="zh-TW" w:eastAsia="zh-TW"/>
        </w:rPr>
        <w:t>章）</w:t>
      </w:r>
      <w:r>
        <w:rPr>
          <w:rFonts w:hint="eastAsia" w:ascii="宋体" w:hAnsi="宋体" w:eastAsia="宋体" w:cs="宋体"/>
          <w:color w:val="auto"/>
          <w:sz w:val="24"/>
          <w:szCs w:val="24"/>
          <w:highlight w:val="none"/>
          <w:lang w:eastAsia="zh-CN"/>
        </w:rPr>
        <w:t>：</w:t>
      </w:r>
    </w:p>
    <w:p w14:paraId="2F32A6D3">
      <w:pPr>
        <w:bidi w:val="0"/>
        <w:ind w:left="0" w:leftChars="0" w:firstLine="4320" w:firstLineChars="1800"/>
        <w:rPr>
          <w:rFonts w:hint="eastAsia" w:ascii="宋体" w:hAnsi="宋体" w:eastAsia="Arial Unicode MS" w:cs="宋体"/>
          <w:color w:val="auto"/>
          <w:sz w:val="24"/>
          <w:szCs w:val="24"/>
          <w:highlight w:val="none"/>
          <w:lang w:eastAsia="zh-CN"/>
        </w:rPr>
      </w:pPr>
      <w:r>
        <w:rPr>
          <w:rFonts w:ascii="宋体" w:hAnsi="宋体" w:eastAsia="宋体" w:cs="宋体"/>
          <w:color w:val="auto"/>
          <w:sz w:val="24"/>
          <w:szCs w:val="24"/>
          <w:highlight w:val="none"/>
        </w:rPr>
        <w:t>法定代表人或授权</w:t>
      </w:r>
      <w:r>
        <w:rPr>
          <w:rFonts w:hint="eastAsia" w:ascii="宋体" w:hAnsi="宋体" w:eastAsia="宋体" w:cs="宋体"/>
          <w:color w:val="auto"/>
          <w:sz w:val="24"/>
          <w:szCs w:val="24"/>
          <w:highlight w:val="none"/>
          <w:lang w:val="zh-TW"/>
        </w:rPr>
        <w:t>代表</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val="zh-TW" w:eastAsia="zh-CN"/>
        </w:rPr>
        <w:t>：</w:t>
      </w:r>
    </w:p>
    <w:p w14:paraId="227DA275">
      <w:pPr>
        <w:bidi w:val="0"/>
        <w:ind w:left="0" w:leftChars="0"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kern w:val="0"/>
          <w:sz w:val="24"/>
          <w:szCs w:val="24"/>
          <w:highlight w:val="none"/>
          <w:lang w:val="en-US" w:eastAsia="zh-CN" w:bidi="ar"/>
        </w:rPr>
        <w:t>___________年___ 月____日</w:t>
      </w:r>
    </w:p>
    <w:p w14:paraId="1DDA6F73">
      <w:pPr>
        <w:pStyle w:val="8"/>
        <w:spacing w:after="0" w:line="440" w:lineRule="exact"/>
        <w:jc w:val="right"/>
        <w:rPr>
          <w:rFonts w:ascii="宋体" w:hAnsi="宋体" w:cs="宋体"/>
          <w:b/>
          <w:bCs/>
          <w:color w:val="auto"/>
          <w:sz w:val="28"/>
          <w:szCs w:val="28"/>
          <w:highlight w:val="none"/>
        </w:rPr>
      </w:pPr>
    </w:p>
    <w:p w14:paraId="6C6ECF8E">
      <w:pPr>
        <w:jc w:val="center"/>
        <w:rPr>
          <w:rFonts w:ascii="宋体" w:hAnsi="宋体" w:cs="宋体"/>
          <w:color w:val="auto"/>
          <w:sz w:val="24"/>
          <w:szCs w:val="24"/>
          <w:highlight w:val="none"/>
        </w:rPr>
        <w:sectPr>
          <w:pgSz w:w="11906" w:h="16838"/>
          <w:pgMar w:top="1440" w:right="1797" w:bottom="1440" w:left="1797" w:header="851" w:footer="992" w:gutter="0"/>
          <w:pgNumType w:fmt="decimal"/>
          <w:cols w:space="720" w:num="1"/>
          <w:docGrid w:linePitch="312" w:charSpace="0"/>
        </w:sectPr>
      </w:pPr>
      <w:r>
        <w:rPr>
          <w:rFonts w:ascii="宋体" w:hAnsi="宋体" w:cs="宋体"/>
          <w:color w:val="auto"/>
          <w:sz w:val="24"/>
          <w:szCs w:val="24"/>
          <w:highlight w:val="none"/>
        </w:rPr>
        <w:br w:type="page"/>
      </w:r>
    </w:p>
    <w:p w14:paraId="7B448E51">
      <w:pPr>
        <w:jc w:val="center"/>
        <w:rPr>
          <w:rFonts w:hint="eastAsia" w:ascii="宋体" w:hAnsi="宋体" w:eastAsia="Arial Unicode MS" w:cs="宋体"/>
          <w:b/>
          <w:bCs/>
          <w:color w:val="auto"/>
          <w:sz w:val="32"/>
          <w:szCs w:val="32"/>
          <w:highlight w:val="none"/>
          <w:lang w:eastAsia="zh-CN"/>
        </w:rPr>
      </w:pPr>
      <w:r>
        <w:rPr>
          <w:rFonts w:hint="eastAsia" w:ascii="宋体" w:hAnsi="宋体" w:cs="宋体"/>
          <w:b/>
          <w:bCs/>
          <w:color w:val="auto"/>
          <w:sz w:val="32"/>
          <w:szCs w:val="32"/>
          <w:highlight w:val="none"/>
          <w:lang w:val="en-US" w:eastAsia="zh-CN"/>
        </w:rPr>
        <w:t>7</w:t>
      </w:r>
      <w:r>
        <w:rPr>
          <w:rFonts w:ascii="宋体" w:hAnsi="宋体" w:cs="宋体"/>
          <w:b/>
          <w:bCs/>
          <w:color w:val="auto"/>
          <w:sz w:val="32"/>
          <w:szCs w:val="32"/>
          <w:highlight w:val="none"/>
        </w:rPr>
        <w:t>.</w:t>
      </w:r>
      <w:r>
        <w:rPr>
          <w:rFonts w:hint="eastAsia" w:ascii="宋体" w:hAnsi="宋体" w:cs="宋体"/>
          <w:b/>
          <w:bCs/>
          <w:color w:val="auto"/>
          <w:sz w:val="32"/>
          <w:szCs w:val="32"/>
          <w:highlight w:val="none"/>
          <w:lang w:eastAsia="zh-CN"/>
        </w:rPr>
        <w:t>技术、商务偏离表</w:t>
      </w:r>
    </w:p>
    <w:p w14:paraId="678F58BA">
      <w:pPr>
        <w:snapToGrid w:val="0"/>
        <w:spacing w:line="360" w:lineRule="auto"/>
        <w:ind w:firstLine="480" w:firstLineChars="200"/>
        <w:rPr>
          <w:rStyle w:val="25"/>
          <w:rFonts w:hint="eastAsia" w:hAnsi="宋体" w:eastAsia="宋体" w:cs="宋体"/>
          <w:b w:val="0"/>
          <w:bCs w:val="0"/>
          <w:color w:val="auto"/>
          <w:lang w:val="en-US" w:eastAsia="zh-CN"/>
        </w:rPr>
      </w:pPr>
      <w:r>
        <w:rPr>
          <w:rStyle w:val="25"/>
          <w:rFonts w:hint="eastAsia" w:ascii="宋体" w:hAnsi="宋体" w:eastAsia="宋体" w:cs="宋体"/>
          <w:b w:val="0"/>
          <w:bCs w:val="0"/>
          <w:color w:val="auto"/>
        </w:rPr>
        <w:t>说明：</w:t>
      </w:r>
      <w:r>
        <w:rPr>
          <w:rStyle w:val="25"/>
          <w:rFonts w:hint="eastAsia" w:ascii="宋体" w:hAnsi="宋体" w:eastAsia="宋体" w:cs="宋体"/>
          <w:b w:val="0"/>
          <w:bCs w:val="0"/>
          <w:color w:val="auto"/>
          <w:lang w:eastAsia="zh-CN"/>
        </w:rPr>
        <w:t>投标</w:t>
      </w:r>
      <w:r>
        <w:rPr>
          <w:rStyle w:val="25"/>
          <w:rFonts w:hint="eastAsia" w:ascii="宋体" w:hAnsi="宋体" w:eastAsia="宋体" w:cs="宋体"/>
          <w:b w:val="0"/>
          <w:bCs w:val="0"/>
          <w:color w:val="auto"/>
        </w:rPr>
        <w:t>供应商必须仔细阅读</w:t>
      </w:r>
      <w:r>
        <w:rPr>
          <w:rStyle w:val="25"/>
          <w:rFonts w:hint="eastAsia" w:ascii="宋体" w:hAnsi="宋体" w:eastAsia="宋体" w:cs="宋体"/>
          <w:b w:val="0"/>
          <w:bCs w:val="0"/>
          <w:color w:val="auto"/>
          <w:lang w:eastAsia="zh-CN"/>
        </w:rPr>
        <w:t>竞争性</w:t>
      </w:r>
      <w:r>
        <w:rPr>
          <w:rStyle w:val="25"/>
          <w:rFonts w:hint="eastAsia" w:ascii="宋体" w:hAnsi="宋体" w:eastAsia="宋体" w:cs="宋体"/>
          <w:b w:val="0"/>
          <w:bCs w:val="0"/>
          <w:color w:val="auto"/>
          <w:lang w:val="en-US" w:eastAsia="zh-CN"/>
        </w:rPr>
        <w:t>磋商</w:t>
      </w:r>
      <w:r>
        <w:rPr>
          <w:rStyle w:val="25"/>
          <w:rFonts w:hint="eastAsia" w:ascii="宋体" w:hAnsi="宋体" w:eastAsia="宋体" w:cs="宋体"/>
          <w:b w:val="0"/>
          <w:bCs w:val="0"/>
          <w:color w:val="auto"/>
        </w:rPr>
        <w:t>文件中</w:t>
      </w:r>
      <w:r>
        <w:rPr>
          <w:rStyle w:val="25"/>
          <w:rFonts w:hint="eastAsia" w:ascii="宋体" w:hAnsi="宋体" w:eastAsia="宋体" w:cs="宋体"/>
          <w:b w:val="0"/>
          <w:bCs w:val="0"/>
          <w:color w:val="auto"/>
          <w:lang w:val="en-US" w:eastAsia="zh-CN"/>
        </w:rPr>
        <w:t>第六章</w:t>
      </w:r>
      <w:r>
        <w:rPr>
          <w:rStyle w:val="25"/>
          <w:rFonts w:hint="eastAsia" w:ascii="宋体" w:hAnsi="宋体" w:eastAsia="宋体" w:cs="宋体"/>
          <w:b w:val="0"/>
          <w:bCs w:val="0"/>
          <w:color w:val="auto"/>
        </w:rPr>
        <w:t>招租需求</w:t>
      </w:r>
      <w:r>
        <w:rPr>
          <w:rStyle w:val="25"/>
          <w:rFonts w:hint="eastAsia" w:ascii="宋体" w:hAnsi="宋体" w:eastAsia="宋体" w:cs="宋体"/>
          <w:b w:val="0"/>
          <w:bCs w:val="0"/>
          <w:color w:val="auto"/>
          <w:lang w:val="en-US" w:eastAsia="zh-CN"/>
        </w:rPr>
        <w:t>所有</w:t>
      </w:r>
      <w:r>
        <w:rPr>
          <w:rStyle w:val="25"/>
          <w:rFonts w:hint="eastAsia" w:ascii="宋体" w:hAnsi="宋体" w:eastAsia="宋体" w:cs="宋体"/>
          <w:b w:val="0"/>
          <w:bCs w:val="0"/>
          <w:color w:val="auto"/>
        </w:rPr>
        <w:t>条款</w:t>
      </w:r>
      <w:r>
        <w:rPr>
          <w:rStyle w:val="25"/>
          <w:rFonts w:hint="eastAsia" w:ascii="宋体" w:hAnsi="宋体" w:eastAsia="宋体" w:cs="宋体"/>
          <w:b w:val="0"/>
          <w:bCs w:val="0"/>
          <w:color w:val="auto"/>
          <w:lang w:val="en-US" w:eastAsia="zh-CN"/>
        </w:rPr>
        <w:t>要求。针对本项目招租需求的要求：1.投标供应商若完全满足并完全响应则在下方“无负偏离”的方框前打勾即可；2.投标供应商若有负偏离，则在下方“有负偏离”的方框前打勾，并将所有负偏离的情况列入下表。投标供应商必须根据所投服务的实际情况如实填写，磋商小组如发现有严重虚假描述的，该响应文件作无效响应处理。</w:t>
      </w:r>
    </w:p>
    <w:p w14:paraId="13358D8C">
      <w:pPr>
        <w:snapToGrid w:val="0"/>
        <w:spacing w:line="360" w:lineRule="auto"/>
        <w:ind w:firstLine="480" w:firstLineChars="200"/>
        <w:rPr>
          <w:rStyle w:val="25"/>
          <w:rFonts w:hint="eastAsia" w:hAnsi="宋体" w:eastAsia="宋体" w:cs="宋体"/>
          <w:b w:val="0"/>
          <w:bCs w:val="0"/>
          <w:color w:val="auto"/>
          <w:lang w:val="en-US" w:eastAsia="zh-CN"/>
        </w:rPr>
      </w:pPr>
      <w:r>
        <w:rPr>
          <w:rStyle w:val="25"/>
          <w:rFonts w:hint="eastAsia" w:hAnsi="宋体" w:eastAsia="宋体" w:cs="宋体"/>
          <w:b w:val="0"/>
          <w:bCs w:val="0"/>
          <w:color w:val="auto"/>
          <w:lang w:val="en-US" w:eastAsia="zh-CN"/>
        </w:rPr>
        <w:t>□无负偏离，我方完全满足招租需求所有内容和要求。</w:t>
      </w:r>
    </w:p>
    <w:p w14:paraId="42C2AFDD">
      <w:pPr>
        <w:snapToGrid w:val="0"/>
        <w:spacing w:line="360" w:lineRule="auto"/>
        <w:ind w:firstLine="480" w:firstLineChars="200"/>
        <w:rPr>
          <w:rStyle w:val="25"/>
          <w:rFonts w:hint="eastAsia" w:hAnsi="宋体" w:eastAsia="宋体" w:cs="宋体"/>
          <w:b w:val="0"/>
          <w:bCs w:val="0"/>
          <w:color w:val="auto"/>
          <w:lang w:val="en-US" w:eastAsia="zh-CN"/>
        </w:rPr>
      </w:pPr>
      <w:r>
        <w:rPr>
          <w:rStyle w:val="25"/>
          <w:rFonts w:hint="eastAsia" w:hAnsi="宋体" w:eastAsia="宋体" w:cs="宋体"/>
          <w:b w:val="0"/>
          <w:bCs w:val="0"/>
          <w:color w:val="auto"/>
          <w:lang w:val="en-US" w:eastAsia="zh-CN"/>
        </w:rPr>
        <w:t>□有负偏离。</w:t>
      </w:r>
    </w:p>
    <w:tbl>
      <w:tblPr>
        <w:tblStyle w:val="17"/>
        <w:tblW w:w="8548"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blLayout w:type="fixed"/>
        <w:tblCellMar>
          <w:top w:w="0" w:type="dxa"/>
          <w:left w:w="0" w:type="dxa"/>
          <w:bottom w:w="0" w:type="dxa"/>
          <w:right w:w="0" w:type="dxa"/>
        </w:tblCellMar>
      </w:tblPr>
      <w:tblGrid>
        <w:gridCol w:w="690"/>
        <w:gridCol w:w="2219"/>
        <w:gridCol w:w="2623"/>
        <w:gridCol w:w="2111"/>
        <w:gridCol w:w="905"/>
      </w:tblGrid>
      <w:tr w14:paraId="40FBDC5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7" w:hRule="atLeast"/>
          <w:tblHeader/>
          <w:jc w:val="center"/>
        </w:trPr>
        <w:tc>
          <w:tcPr>
            <w:tcW w:w="690" w:type="dxa"/>
            <w:tcBorders>
              <w:top w:val="single" w:color="000000" w:sz="4" w:space="0"/>
              <w:left w:val="single" w:color="000000" w:sz="4" w:space="0"/>
              <w:bottom w:val="single" w:color="000000" w:sz="4" w:space="0"/>
              <w:right w:val="single" w:color="000000" w:sz="4" w:space="0"/>
            </w:tcBorders>
            <w:shd w:val="clear" w:color="auto" w:fill="CCCCCC"/>
            <w:noWrap w:val="0"/>
            <w:tcMar>
              <w:top w:w="80" w:type="dxa"/>
              <w:left w:w="80" w:type="dxa"/>
              <w:bottom w:w="80" w:type="dxa"/>
              <w:right w:w="80" w:type="dxa"/>
            </w:tcMar>
            <w:vAlign w:val="center"/>
          </w:tcPr>
          <w:p w14:paraId="6604B559">
            <w:pPr>
              <w:keepNext w:val="0"/>
              <w:keepLines w:val="0"/>
              <w:widowControl/>
              <w:suppressLineNumbers w:val="0"/>
              <w:spacing w:before="0" w:beforeAutospacing="0" w:afterAutospacing="0"/>
              <w:ind w:left="0" w:right="0"/>
              <w:jc w:val="center"/>
              <w:rPr>
                <w:rFonts w:hAnsi="宋体" w:eastAsia="宋体" w:cs="宋体"/>
                <w:b w:val="0"/>
                <w:bCs w:val="0"/>
                <w:color w:val="auto"/>
                <w:sz w:val="24"/>
                <w:szCs w:val="24"/>
              </w:rPr>
            </w:pPr>
            <w:r>
              <w:rPr>
                <w:rFonts w:hAnsi="宋体" w:eastAsia="宋体" w:cs="宋体"/>
                <w:b w:val="0"/>
                <w:bCs w:val="0"/>
                <w:color w:val="auto"/>
                <w:sz w:val="24"/>
                <w:szCs w:val="24"/>
                <w:lang w:val="zh-TW" w:eastAsia="zh-TW"/>
              </w:rPr>
              <w:t>序号</w:t>
            </w:r>
          </w:p>
        </w:tc>
        <w:tc>
          <w:tcPr>
            <w:tcW w:w="2219" w:type="dxa"/>
            <w:tcBorders>
              <w:top w:val="single" w:color="000000" w:sz="4" w:space="0"/>
              <w:left w:val="single" w:color="000000" w:sz="4" w:space="0"/>
              <w:bottom w:val="single" w:color="000000" w:sz="4" w:space="0"/>
              <w:right w:val="single" w:color="000000" w:sz="4" w:space="0"/>
            </w:tcBorders>
            <w:shd w:val="clear" w:color="auto" w:fill="CCCCCC"/>
            <w:noWrap w:val="0"/>
            <w:tcMar>
              <w:top w:w="80" w:type="dxa"/>
              <w:left w:w="80" w:type="dxa"/>
              <w:bottom w:w="80" w:type="dxa"/>
              <w:right w:w="80" w:type="dxa"/>
            </w:tcMar>
            <w:vAlign w:val="center"/>
          </w:tcPr>
          <w:p w14:paraId="0A932EDD">
            <w:pPr>
              <w:keepNext w:val="0"/>
              <w:keepLines w:val="0"/>
              <w:widowControl/>
              <w:suppressLineNumbers w:val="0"/>
              <w:spacing w:before="0" w:beforeAutospacing="0" w:afterAutospacing="0"/>
              <w:ind w:left="0" w:right="0"/>
              <w:jc w:val="center"/>
              <w:rPr>
                <w:rFonts w:hAnsi="宋体" w:eastAsia="宋体" w:cs="宋体"/>
                <w:b w:val="0"/>
                <w:bCs w:val="0"/>
                <w:color w:val="auto"/>
                <w:sz w:val="24"/>
                <w:szCs w:val="24"/>
              </w:rPr>
            </w:pPr>
            <w:r>
              <w:rPr>
                <w:rFonts w:hint="eastAsia" w:hAnsi="宋体" w:eastAsia="宋体" w:cs="Times New Roman"/>
                <w:b w:val="0"/>
                <w:bCs w:val="0"/>
                <w:color w:val="auto"/>
                <w:sz w:val="24"/>
                <w:szCs w:val="24"/>
                <w:lang w:val="en-US" w:eastAsia="zh-CN"/>
              </w:rPr>
              <w:t>磋商</w:t>
            </w:r>
            <w:r>
              <w:rPr>
                <w:rFonts w:hAnsi="宋体" w:eastAsia="宋体" w:cs="Times New Roman"/>
                <w:b w:val="0"/>
                <w:bCs w:val="0"/>
                <w:color w:val="auto"/>
                <w:sz w:val="24"/>
                <w:szCs w:val="24"/>
              </w:rPr>
              <w:t>文件要求</w:t>
            </w:r>
          </w:p>
        </w:tc>
        <w:tc>
          <w:tcPr>
            <w:tcW w:w="2623" w:type="dxa"/>
            <w:tcBorders>
              <w:top w:val="single" w:color="000000" w:sz="4" w:space="0"/>
              <w:left w:val="single" w:color="000000" w:sz="4" w:space="0"/>
              <w:bottom w:val="single" w:color="000000" w:sz="4" w:space="0"/>
              <w:right w:val="single" w:color="000000" w:sz="4" w:space="0"/>
            </w:tcBorders>
            <w:shd w:val="clear" w:color="auto" w:fill="CCCCCC"/>
            <w:noWrap w:val="0"/>
            <w:tcMar>
              <w:top w:w="80" w:type="dxa"/>
              <w:left w:w="80" w:type="dxa"/>
              <w:bottom w:w="80" w:type="dxa"/>
              <w:right w:w="80" w:type="dxa"/>
            </w:tcMar>
            <w:vAlign w:val="center"/>
          </w:tcPr>
          <w:p w14:paraId="4978CA76">
            <w:pPr>
              <w:keepNext w:val="0"/>
              <w:keepLines w:val="0"/>
              <w:widowControl/>
              <w:suppressLineNumbers w:val="0"/>
              <w:spacing w:before="0" w:beforeAutospacing="0" w:afterAutospacing="0"/>
              <w:ind w:left="0" w:right="0"/>
              <w:jc w:val="center"/>
              <w:rPr>
                <w:rFonts w:hint="eastAsia" w:hAnsi="宋体" w:eastAsia="宋体" w:cs="宋体"/>
                <w:b w:val="0"/>
                <w:bCs w:val="0"/>
                <w:color w:val="auto"/>
                <w:sz w:val="24"/>
                <w:szCs w:val="24"/>
              </w:rPr>
            </w:pPr>
            <w:r>
              <w:rPr>
                <w:rFonts w:hint="eastAsia" w:hAnsi="宋体" w:eastAsia="宋体" w:cs="Times New Roman"/>
                <w:b w:val="0"/>
                <w:bCs w:val="0"/>
                <w:color w:val="auto"/>
                <w:sz w:val="24"/>
                <w:szCs w:val="24"/>
                <w:lang w:val="en-US" w:eastAsia="zh-CN"/>
              </w:rPr>
              <w:t>投标供应商</w:t>
            </w:r>
            <w:r>
              <w:rPr>
                <w:rFonts w:hAnsi="宋体" w:eastAsia="宋体" w:cs="Times New Roman"/>
                <w:b w:val="0"/>
                <w:bCs w:val="0"/>
                <w:color w:val="auto"/>
                <w:sz w:val="24"/>
                <w:szCs w:val="24"/>
              </w:rPr>
              <w:t>响应</w:t>
            </w:r>
            <w:r>
              <w:rPr>
                <w:rFonts w:hint="eastAsia" w:hAnsi="宋体" w:eastAsia="宋体" w:cs="Times New Roman"/>
                <w:b w:val="0"/>
                <w:bCs w:val="0"/>
                <w:color w:val="auto"/>
                <w:sz w:val="24"/>
                <w:szCs w:val="24"/>
              </w:rPr>
              <w:t>描述</w:t>
            </w:r>
          </w:p>
        </w:tc>
        <w:tc>
          <w:tcPr>
            <w:tcW w:w="2111" w:type="dxa"/>
            <w:tcBorders>
              <w:top w:val="single" w:color="000000" w:sz="4" w:space="0"/>
              <w:left w:val="single" w:color="000000" w:sz="4" w:space="0"/>
              <w:bottom w:val="single" w:color="000000" w:sz="4" w:space="0"/>
              <w:right w:val="single" w:color="000000" w:sz="4" w:space="0"/>
            </w:tcBorders>
            <w:shd w:val="clear" w:color="auto" w:fill="CCCCCC"/>
            <w:noWrap w:val="0"/>
            <w:tcMar>
              <w:top w:w="80" w:type="dxa"/>
              <w:left w:w="80" w:type="dxa"/>
              <w:bottom w:w="80" w:type="dxa"/>
              <w:right w:w="80" w:type="dxa"/>
            </w:tcMar>
            <w:vAlign w:val="center"/>
          </w:tcPr>
          <w:p w14:paraId="31A81953">
            <w:pPr>
              <w:keepNext w:val="0"/>
              <w:keepLines w:val="0"/>
              <w:widowControl/>
              <w:suppressLineNumbers w:val="0"/>
              <w:spacing w:before="0" w:beforeAutospacing="0" w:afterAutospacing="0"/>
              <w:ind w:left="0" w:right="0"/>
              <w:jc w:val="center"/>
              <w:rPr>
                <w:rFonts w:hAnsi="宋体" w:eastAsia="宋体" w:cs="宋体"/>
                <w:b w:val="0"/>
                <w:bCs w:val="0"/>
                <w:color w:val="auto"/>
                <w:sz w:val="24"/>
                <w:szCs w:val="24"/>
              </w:rPr>
            </w:pPr>
            <w:r>
              <w:rPr>
                <w:rFonts w:hAnsi="宋体" w:eastAsia="宋体" w:cs="宋体"/>
                <w:b w:val="0"/>
                <w:bCs w:val="0"/>
                <w:color w:val="auto"/>
                <w:sz w:val="24"/>
                <w:szCs w:val="24"/>
                <w:lang w:val="zh-TW" w:eastAsia="zh-TW"/>
              </w:rPr>
              <w:t>偏离情况说明</w:t>
            </w:r>
          </w:p>
          <w:p w14:paraId="7437B04B">
            <w:pPr>
              <w:keepNext w:val="0"/>
              <w:keepLines w:val="0"/>
              <w:widowControl/>
              <w:suppressLineNumbers w:val="0"/>
              <w:spacing w:before="0" w:beforeAutospacing="0" w:afterAutospacing="0"/>
              <w:ind w:left="0" w:right="0"/>
              <w:jc w:val="center"/>
              <w:rPr>
                <w:rFonts w:hAnsi="宋体" w:eastAsia="宋体" w:cs="宋体"/>
                <w:b w:val="0"/>
                <w:bCs w:val="0"/>
                <w:color w:val="auto"/>
                <w:sz w:val="24"/>
                <w:szCs w:val="24"/>
              </w:rPr>
            </w:pPr>
            <w:r>
              <w:rPr>
                <w:rFonts w:hAnsi="宋体" w:eastAsia="宋体" w:cs="宋体"/>
                <w:b w:val="0"/>
                <w:bCs w:val="0"/>
                <w:color w:val="auto"/>
                <w:sz w:val="24"/>
                <w:szCs w:val="24"/>
                <w:lang w:val="zh-TW" w:eastAsia="zh-TW"/>
              </w:rPr>
              <w:t>（＋</w:t>
            </w:r>
            <w:r>
              <w:rPr>
                <w:rFonts w:hAnsi="宋体" w:eastAsia="宋体" w:cs="宋体"/>
                <w:b w:val="0"/>
                <w:bCs w:val="0"/>
                <w:color w:val="auto"/>
                <w:sz w:val="24"/>
                <w:szCs w:val="24"/>
              </w:rPr>
              <w:t>/-/=</w:t>
            </w:r>
            <w:r>
              <w:rPr>
                <w:rFonts w:hAnsi="宋体" w:eastAsia="宋体" w:cs="宋体"/>
                <w:b w:val="0"/>
                <w:bCs w:val="0"/>
                <w:color w:val="auto"/>
                <w:sz w:val="24"/>
                <w:szCs w:val="24"/>
                <w:lang w:val="zh-TW" w:eastAsia="zh-TW"/>
              </w:rPr>
              <w:t>）</w:t>
            </w:r>
          </w:p>
        </w:tc>
        <w:tc>
          <w:tcPr>
            <w:tcW w:w="905" w:type="dxa"/>
            <w:tcBorders>
              <w:top w:val="single" w:color="000000" w:sz="4" w:space="0"/>
              <w:left w:val="single" w:color="000000" w:sz="4" w:space="0"/>
              <w:bottom w:val="single" w:color="000000" w:sz="4" w:space="0"/>
              <w:right w:val="single" w:color="000000" w:sz="4" w:space="0"/>
            </w:tcBorders>
            <w:shd w:val="clear" w:color="auto" w:fill="CCCCCC"/>
            <w:noWrap w:val="0"/>
            <w:tcMar>
              <w:top w:w="80" w:type="dxa"/>
              <w:left w:w="80" w:type="dxa"/>
              <w:bottom w:w="80" w:type="dxa"/>
              <w:right w:w="80" w:type="dxa"/>
            </w:tcMar>
            <w:vAlign w:val="center"/>
          </w:tcPr>
          <w:p w14:paraId="0DF1FA42">
            <w:pPr>
              <w:keepNext w:val="0"/>
              <w:keepLines w:val="0"/>
              <w:widowControl/>
              <w:suppressLineNumbers w:val="0"/>
              <w:spacing w:before="0" w:beforeAutospacing="0" w:afterAutospacing="0"/>
              <w:ind w:left="0" w:right="0"/>
              <w:jc w:val="center"/>
              <w:rPr>
                <w:rFonts w:hint="eastAsia" w:hAnsi="宋体" w:eastAsia="宋体" w:cs="宋体"/>
                <w:b w:val="0"/>
                <w:bCs w:val="0"/>
                <w:color w:val="auto"/>
                <w:sz w:val="24"/>
                <w:szCs w:val="24"/>
                <w:lang w:val="zh-TW"/>
              </w:rPr>
            </w:pPr>
            <w:r>
              <w:rPr>
                <w:rFonts w:hint="eastAsia" w:hAnsi="宋体" w:eastAsia="宋体" w:cs="Times New Roman"/>
                <w:b w:val="0"/>
                <w:bCs w:val="0"/>
                <w:color w:val="auto"/>
                <w:sz w:val="24"/>
                <w:szCs w:val="24"/>
              </w:rPr>
              <w:t>备注</w:t>
            </w:r>
          </w:p>
        </w:tc>
      </w:tr>
      <w:tr w14:paraId="47D5AF6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blCellMar>
            <w:top w:w="0" w:type="dxa"/>
            <w:left w:w="0" w:type="dxa"/>
            <w:bottom w:w="0" w:type="dxa"/>
            <w:right w:w="0" w:type="dxa"/>
          </w:tblCellMar>
        </w:tblPrEx>
        <w:trPr>
          <w:trHeight w:val="582" w:hRule="atLeast"/>
          <w:tblHeader/>
          <w:jc w:val="center"/>
        </w:trPr>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2BA38829">
            <w:pPr>
              <w:keepNext w:val="0"/>
              <w:keepLines w:val="0"/>
              <w:widowControl/>
              <w:suppressLineNumbers w:val="0"/>
              <w:spacing w:before="0" w:beforeAutospacing="0" w:afterAutospacing="0"/>
              <w:ind w:left="0" w:right="0"/>
              <w:jc w:val="center"/>
              <w:rPr>
                <w:rFonts w:hAnsi="宋体" w:eastAsia="宋体" w:cs="宋体"/>
                <w:b w:val="0"/>
                <w:bCs w:val="0"/>
                <w:color w:val="auto"/>
                <w:sz w:val="24"/>
                <w:szCs w:val="24"/>
              </w:rPr>
            </w:pPr>
            <w:r>
              <w:rPr>
                <w:rFonts w:hAnsi="宋体" w:eastAsia="宋体" w:cs="宋体"/>
                <w:b w:val="0"/>
                <w:bCs w:val="0"/>
                <w:color w:val="auto"/>
                <w:sz w:val="24"/>
                <w:szCs w:val="24"/>
              </w:rPr>
              <w:t>1</w:t>
            </w:r>
          </w:p>
        </w:tc>
        <w:tc>
          <w:tcPr>
            <w:tcW w:w="2219"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0A8632F0">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c>
          <w:tcPr>
            <w:tcW w:w="2623"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18593624">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c>
          <w:tcPr>
            <w:tcW w:w="2111"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6E4E57EF">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c>
          <w:tcPr>
            <w:tcW w:w="905"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43DD3EC4">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r>
      <w:tr w14:paraId="0CB92A3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70" w:hRule="atLeast"/>
          <w:tblHeader/>
          <w:jc w:val="center"/>
        </w:trPr>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7902E4B5">
            <w:pPr>
              <w:keepNext w:val="0"/>
              <w:keepLines w:val="0"/>
              <w:widowControl/>
              <w:suppressLineNumbers w:val="0"/>
              <w:spacing w:before="0" w:beforeAutospacing="0" w:afterAutospacing="0"/>
              <w:ind w:left="0" w:right="0"/>
              <w:jc w:val="center"/>
              <w:rPr>
                <w:rFonts w:hAnsi="宋体" w:eastAsia="宋体" w:cs="宋体"/>
                <w:b w:val="0"/>
                <w:bCs w:val="0"/>
                <w:color w:val="auto"/>
                <w:sz w:val="24"/>
                <w:szCs w:val="24"/>
              </w:rPr>
            </w:pPr>
            <w:r>
              <w:rPr>
                <w:rFonts w:hAnsi="宋体" w:eastAsia="宋体" w:cs="宋体"/>
                <w:b w:val="0"/>
                <w:bCs w:val="0"/>
                <w:color w:val="auto"/>
                <w:sz w:val="24"/>
                <w:szCs w:val="24"/>
              </w:rPr>
              <w:t>2</w:t>
            </w:r>
          </w:p>
        </w:tc>
        <w:tc>
          <w:tcPr>
            <w:tcW w:w="2219"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7AECE3F1">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c>
          <w:tcPr>
            <w:tcW w:w="2623"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41404E01">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c>
          <w:tcPr>
            <w:tcW w:w="2111"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4B951628">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c>
          <w:tcPr>
            <w:tcW w:w="905"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70BA678E">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r>
      <w:tr w14:paraId="56E534E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70" w:hRule="atLeast"/>
          <w:tblHeader/>
          <w:jc w:val="center"/>
        </w:trPr>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57B9D05D">
            <w:pPr>
              <w:keepNext w:val="0"/>
              <w:keepLines w:val="0"/>
              <w:widowControl/>
              <w:suppressLineNumbers w:val="0"/>
              <w:spacing w:before="0" w:beforeAutospacing="0" w:afterAutospacing="0"/>
              <w:ind w:left="0" w:right="0"/>
              <w:jc w:val="center"/>
              <w:rPr>
                <w:rFonts w:hAnsi="宋体" w:eastAsia="宋体" w:cs="宋体"/>
                <w:b w:val="0"/>
                <w:bCs w:val="0"/>
                <w:color w:val="auto"/>
                <w:sz w:val="24"/>
                <w:szCs w:val="24"/>
              </w:rPr>
            </w:pPr>
            <w:r>
              <w:rPr>
                <w:rFonts w:hAnsi="宋体" w:eastAsia="宋体" w:cs="宋体"/>
                <w:b w:val="0"/>
                <w:bCs w:val="0"/>
                <w:color w:val="auto"/>
                <w:sz w:val="24"/>
                <w:szCs w:val="24"/>
              </w:rPr>
              <w:t>3</w:t>
            </w:r>
          </w:p>
        </w:tc>
        <w:tc>
          <w:tcPr>
            <w:tcW w:w="2219"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45097568">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c>
          <w:tcPr>
            <w:tcW w:w="2623"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7E850919">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c>
          <w:tcPr>
            <w:tcW w:w="2111"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1EEEF2E2">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c>
          <w:tcPr>
            <w:tcW w:w="905"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18AA6462">
            <w:pPr>
              <w:keepNext w:val="0"/>
              <w:keepLines w:val="0"/>
              <w:widowControl/>
              <w:suppressLineNumbers w:val="0"/>
              <w:spacing w:before="0" w:beforeAutospacing="0" w:afterAutospacing="0"/>
              <w:ind w:left="0" w:leftChars="0" w:right="0" w:firstLine="0" w:firstLineChars="0"/>
              <w:jc w:val="center"/>
              <w:rPr>
                <w:rFonts w:hAnsi="宋体" w:eastAsia="宋体" w:cs="宋体"/>
                <w:b w:val="0"/>
                <w:bCs w:val="0"/>
                <w:color w:val="auto"/>
                <w:sz w:val="24"/>
                <w:szCs w:val="24"/>
              </w:rPr>
            </w:pPr>
          </w:p>
        </w:tc>
      </w:tr>
      <w:tr w14:paraId="6320E88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70" w:hRule="atLeast"/>
          <w:jc w:val="center"/>
        </w:trPr>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08503F55">
            <w:pPr>
              <w:keepNext w:val="0"/>
              <w:keepLines w:val="0"/>
              <w:widowControl/>
              <w:suppressLineNumbers w:val="0"/>
              <w:spacing w:before="0" w:beforeAutospacing="0" w:afterAutospacing="0"/>
              <w:ind w:left="0" w:right="0"/>
              <w:jc w:val="center"/>
              <w:rPr>
                <w:rFonts w:hint="eastAsia" w:ascii="宋体" w:hAnsi="宋体" w:eastAsia="宋体" w:cs="Times New Roman"/>
                <w:b w:val="0"/>
                <w:bCs w:val="0"/>
                <w:color w:val="auto"/>
                <w:sz w:val="24"/>
                <w:szCs w:val="24"/>
                <w:lang w:val="en-US" w:eastAsia="zh-CN"/>
              </w:rPr>
            </w:pPr>
            <w:r>
              <w:rPr>
                <w:rFonts w:hint="eastAsia" w:ascii="宋体" w:hAnsi="宋体" w:eastAsia="宋体" w:cs="Times New Roman"/>
                <w:b w:val="0"/>
                <w:bCs w:val="0"/>
                <w:color w:val="auto"/>
                <w:sz w:val="24"/>
                <w:szCs w:val="24"/>
                <w:lang w:val="en-US" w:eastAsia="zh-CN"/>
              </w:rPr>
              <w:t>...</w:t>
            </w:r>
          </w:p>
        </w:tc>
        <w:tc>
          <w:tcPr>
            <w:tcW w:w="2219"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1496B16B">
            <w:pPr>
              <w:keepNext w:val="0"/>
              <w:keepLines w:val="0"/>
              <w:widowControl/>
              <w:suppressLineNumbers w:val="0"/>
              <w:spacing w:before="0" w:beforeAutospacing="0" w:afterAutospacing="0"/>
              <w:ind w:left="0" w:right="0"/>
              <w:jc w:val="center"/>
              <w:rPr>
                <w:rFonts w:hint="default" w:ascii="宋体" w:hAnsi="宋体" w:eastAsia="宋体" w:cs="Times New Roman"/>
                <w:b w:val="0"/>
                <w:bCs w:val="0"/>
                <w:color w:val="auto"/>
                <w:sz w:val="24"/>
                <w:szCs w:val="24"/>
                <w:lang w:val="en-US" w:eastAsia="zh-CN"/>
              </w:rPr>
            </w:pPr>
          </w:p>
        </w:tc>
        <w:tc>
          <w:tcPr>
            <w:tcW w:w="2623"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537B80EB">
            <w:pPr>
              <w:keepNext w:val="0"/>
              <w:keepLines w:val="0"/>
              <w:widowControl/>
              <w:suppressLineNumbers w:val="0"/>
              <w:spacing w:before="0" w:beforeAutospacing="0" w:afterAutospacing="0"/>
              <w:ind w:left="0" w:right="0"/>
              <w:jc w:val="center"/>
              <w:rPr>
                <w:rFonts w:hint="default" w:ascii="宋体" w:hAnsi="宋体" w:eastAsia="宋体" w:cs="Times New Roman"/>
                <w:b w:val="0"/>
                <w:bCs w:val="0"/>
                <w:color w:val="auto"/>
                <w:sz w:val="24"/>
                <w:szCs w:val="24"/>
                <w:lang w:val="en-US" w:eastAsia="zh-CN"/>
              </w:rPr>
            </w:pPr>
          </w:p>
        </w:tc>
        <w:tc>
          <w:tcPr>
            <w:tcW w:w="2111"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6FAA3FA4">
            <w:pPr>
              <w:keepNext w:val="0"/>
              <w:keepLines w:val="0"/>
              <w:widowControl/>
              <w:suppressLineNumbers w:val="0"/>
              <w:spacing w:before="0" w:beforeAutospacing="0" w:afterAutospacing="0"/>
              <w:ind w:left="0" w:right="0"/>
              <w:jc w:val="center"/>
              <w:rPr>
                <w:rFonts w:ascii="宋体" w:hAnsi="宋体" w:eastAsia="宋体" w:cs="Times New Roman"/>
                <w:b w:val="0"/>
                <w:bCs w:val="0"/>
                <w:color w:val="auto"/>
                <w:sz w:val="24"/>
                <w:szCs w:val="24"/>
              </w:rPr>
            </w:pPr>
          </w:p>
        </w:tc>
        <w:tc>
          <w:tcPr>
            <w:tcW w:w="905" w:type="dxa"/>
            <w:tcBorders>
              <w:top w:val="single" w:color="000000" w:sz="4" w:space="0"/>
              <w:left w:val="single" w:color="000000" w:sz="4" w:space="0"/>
              <w:bottom w:val="single" w:color="000000" w:sz="4" w:space="0"/>
              <w:right w:val="single" w:color="000000" w:sz="4" w:space="0"/>
            </w:tcBorders>
            <w:shd w:val="clear" w:color="auto" w:fill="FFFFFF"/>
            <w:noWrap w:val="0"/>
            <w:tcMar>
              <w:top w:w="80" w:type="dxa"/>
              <w:left w:w="80" w:type="dxa"/>
              <w:bottom w:w="80" w:type="dxa"/>
              <w:right w:w="80" w:type="dxa"/>
            </w:tcMar>
            <w:vAlign w:val="center"/>
          </w:tcPr>
          <w:p w14:paraId="2F8F27D3">
            <w:pPr>
              <w:keepNext w:val="0"/>
              <w:keepLines w:val="0"/>
              <w:widowControl/>
              <w:suppressLineNumbers w:val="0"/>
              <w:spacing w:before="0" w:beforeAutospacing="0" w:afterAutospacing="0"/>
              <w:ind w:left="0" w:right="0" w:firstLine="480" w:firstLineChars="200"/>
              <w:rPr>
                <w:rFonts w:hAnsi="宋体" w:eastAsia="宋体" w:cs="宋体"/>
                <w:b w:val="0"/>
                <w:bCs w:val="0"/>
                <w:color w:val="auto"/>
                <w:sz w:val="24"/>
                <w:szCs w:val="24"/>
              </w:rPr>
            </w:pPr>
          </w:p>
        </w:tc>
      </w:tr>
    </w:tbl>
    <w:p w14:paraId="00112AE7">
      <w:pPr>
        <w:keepNext w:val="0"/>
        <w:keepLines w:val="0"/>
        <w:pageBreakBefore w:val="0"/>
        <w:widowControl/>
        <w:tabs>
          <w:tab w:val="left" w:pos="7800"/>
        </w:tabs>
        <w:kinsoku/>
        <w:wordWrap/>
        <w:overflowPunct/>
        <w:topLinePunct w:val="0"/>
        <w:autoSpaceDE/>
        <w:autoSpaceDN/>
        <w:bidi w:val="0"/>
        <w:adjustRightInd/>
        <w:spacing w:after="0" w:line="240" w:lineRule="auto"/>
        <w:ind w:firstLine="480" w:firstLineChars="200"/>
        <w:textAlignment w:val="auto"/>
        <w:rPr>
          <w:rFonts w:hAnsi="宋体" w:cs="宋体"/>
          <w:b w:val="0"/>
          <w:bCs w:val="0"/>
          <w:color w:val="auto"/>
        </w:rPr>
      </w:pPr>
      <w:r>
        <w:rPr>
          <w:rStyle w:val="25"/>
          <w:rFonts w:ascii="宋体" w:hAnsi="宋体" w:eastAsia="宋体" w:cs="宋体"/>
          <w:b w:val="0"/>
          <w:bCs w:val="0"/>
          <w:color w:val="auto"/>
        </w:rPr>
        <w:t>注：</w:t>
      </w:r>
      <w:r>
        <w:rPr>
          <w:rFonts w:hint="eastAsia" w:hAnsi="宋体" w:eastAsia="宋体" w:cs="宋体"/>
          <w:b w:val="0"/>
          <w:bCs w:val="0"/>
          <w:color w:val="auto"/>
          <w:sz w:val="24"/>
          <w:szCs w:val="24"/>
          <w:lang w:val="en-US" w:eastAsia="zh-CN"/>
        </w:rPr>
        <w:t>1.</w:t>
      </w:r>
      <w:r>
        <w:rPr>
          <w:rStyle w:val="25"/>
          <w:rFonts w:ascii="宋体" w:hAnsi="宋体" w:eastAsia="宋体" w:cs="宋体"/>
          <w:b w:val="0"/>
          <w:bCs w:val="0"/>
          <w:color w:val="auto"/>
        </w:rPr>
        <w:t>此表为表样，行数可自行添加，但表式不变。</w:t>
      </w:r>
    </w:p>
    <w:p w14:paraId="01C54640">
      <w:pPr>
        <w:keepNext w:val="0"/>
        <w:keepLines w:val="0"/>
        <w:pageBreakBefore w:val="0"/>
        <w:widowControl/>
        <w:kinsoku/>
        <w:wordWrap/>
        <w:overflowPunct/>
        <w:topLinePunct w:val="0"/>
        <w:autoSpaceDE/>
        <w:autoSpaceDN/>
        <w:bidi w:val="0"/>
        <w:adjustRightInd/>
        <w:snapToGrid w:val="0"/>
        <w:spacing w:after="0" w:line="240" w:lineRule="auto"/>
        <w:ind w:firstLine="480" w:firstLineChars="200"/>
        <w:textAlignment w:val="auto"/>
        <w:rPr>
          <w:rFonts w:hint="eastAsia" w:hAnsi="宋体"/>
          <w:b w:val="0"/>
          <w:bCs w:val="0"/>
          <w:color w:val="auto"/>
          <w:sz w:val="24"/>
          <w:szCs w:val="24"/>
        </w:rPr>
      </w:pPr>
      <w:r>
        <w:rPr>
          <w:rStyle w:val="25"/>
          <w:rFonts w:hint="eastAsia" w:ascii="宋体" w:hAnsi="宋体" w:eastAsia="宋体" w:cs="宋体"/>
          <w:b w:val="0"/>
          <w:bCs w:val="0"/>
          <w:color w:val="auto"/>
          <w:lang w:val="en-US" w:eastAsia="zh-CN"/>
        </w:rPr>
        <w:t>2.</w:t>
      </w:r>
      <w:r>
        <w:rPr>
          <w:rStyle w:val="25"/>
          <w:rFonts w:ascii="宋体" w:hAnsi="宋体" w:eastAsia="宋体" w:cs="宋体"/>
          <w:b w:val="0"/>
          <w:bCs w:val="0"/>
          <w:color w:val="auto"/>
        </w:rPr>
        <w:t>是否偏离用符号</w:t>
      </w:r>
      <w:r>
        <w:rPr>
          <w:rFonts w:hAnsi="宋体" w:cs="宋体"/>
          <w:b w:val="0"/>
          <w:bCs w:val="0"/>
          <w:color w:val="auto"/>
          <w:sz w:val="24"/>
          <w:szCs w:val="24"/>
        </w:rPr>
        <w:t>“+</w:t>
      </w:r>
      <w:r>
        <w:rPr>
          <w:rStyle w:val="25"/>
          <w:rFonts w:ascii="宋体" w:hAnsi="宋体" w:eastAsia="宋体" w:cs="宋体"/>
          <w:b w:val="0"/>
          <w:bCs w:val="0"/>
          <w:color w:val="auto"/>
        </w:rPr>
        <w:t>、</w:t>
      </w:r>
      <w:r>
        <w:rPr>
          <w:rFonts w:hAnsi="宋体" w:cs="宋体"/>
          <w:b w:val="0"/>
          <w:bCs w:val="0"/>
          <w:color w:val="auto"/>
          <w:sz w:val="24"/>
          <w:szCs w:val="24"/>
        </w:rPr>
        <w:t>=</w:t>
      </w:r>
      <w:r>
        <w:rPr>
          <w:rStyle w:val="25"/>
          <w:rFonts w:ascii="宋体" w:hAnsi="宋体" w:eastAsia="宋体" w:cs="宋体"/>
          <w:b w:val="0"/>
          <w:bCs w:val="0"/>
          <w:color w:val="auto"/>
        </w:rPr>
        <w:t>、</w:t>
      </w:r>
      <w:r>
        <w:rPr>
          <w:rFonts w:hAnsi="宋体" w:cs="宋体"/>
          <w:b w:val="0"/>
          <w:bCs w:val="0"/>
          <w:color w:val="auto"/>
          <w:sz w:val="24"/>
          <w:szCs w:val="24"/>
        </w:rPr>
        <w:t>-”</w:t>
      </w:r>
      <w:r>
        <w:rPr>
          <w:rStyle w:val="25"/>
          <w:rFonts w:ascii="宋体" w:hAnsi="宋体" w:eastAsia="宋体" w:cs="宋体"/>
          <w:b w:val="0"/>
          <w:bCs w:val="0"/>
          <w:color w:val="auto"/>
        </w:rPr>
        <w:t>分别表示正偏离、完全响应、负偏离，必须逐次对应。</w:t>
      </w:r>
    </w:p>
    <w:p w14:paraId="24AD3123">
      <w:pPr>
        <w:pStyle w:val="29"/>
        <w:keepNext w:val="0"/>
        <w:keepLines w:val="0"/>
        <w:pageBreakBefore w:val="0"/>
        <w:widowControl/>
        <w:tabs>
          <w:tab w:val="left" w:pos="5580"/>
        </w:tabs>
        <w:kinsoku/>
        <w:wordWrap/>
        <w:overflowPunct/>
        <w:topLinePunct w:val="0"/>
        <w:autoSpaceDE/>
        <w:autoSpaceDN/>
        <w:bidi w:val="0"/>
        <w:adjustRightInd/>
        <w:spacing w:after="0" w:line="22" w:lineRule="atLeast"/>
        <w:ind w:firstLine="480" w:firstLineChars="200"/>
        <w:textAlignment w:val="auto"/>
        <w:rPr>
          <w:b w:val="0"/>
          <w:bCs w:val="0"/>
          <w:color w:val="auto"/>
          <w:sz w:val="24"/>
          <w:szCs w:val="24"/>
          <w:highlight w:val="none"/>
          <w:lang w:val="zh-TW"/>
        </w:rPr>
      </w:pPr>
    </w:p>
    <w:p w14:paraId="05632368">
      <w:pPr>
        <w:pStyle w:val="29"/>
        <w:keepNext w:val="0"/>
        <w:keepLines w:val="0"/>
        <w:pageBreakBefore w:val="0"/>
        <w:widowControl/>
        <w:tabs>
          <w:tab w:val="left" w:pos="5580"/>
        </w:tabs>
        <w:kinsoku/>
        <w:wordWrap/>
        <w:overflowPunct/>
        <w:topLinePunct w:val="0"/>
        <w:autoSpaceDE/>
        <w:autoSpaceDN/>
        <w:bidi w:val="0"/>
        <w:adjustRightInd/>
        <w:spacing w:after="0" w:line="22" w:lineRule="atLeast"/>
        <w:ind w:firstLine="480" w:firstLineChars="200"/>
        <w:textAlignment w:val="auto"/>
        <w:rPr>
          <w:b w:val="0"/>
          <w:bCs w:val="0"/>
          <w:color w:val="auto"/>
        </w:rPr>
      </w:pPr>
      <w:r>
        <w:rPr>
          <w:rFonts w:hint="eastAsia" w:ascii="宋体" w:hAnsi="Courier New" w:eastAsia="宋体" w:cs="Times New Roman"/>
          <w:b w:val="0"/>
          <w:bCs w:val="0"/>
          <w:color w:val="auto"/>
          <w:sz w:val="24"/>
          <w:szCs w:val="24"/>
          <w:highlight w:val="none"/>
          <w:lang w:val="zh-TW"/>
        </w:rPr>
        <w:t>供应商名称</w:t>
      </w:r>
      <w:r>
        <w:rPr>
          <w:rFonts w:hint="eastAsia" w:ascii="宋体" w:hAnsi="Courier New" w:eastAsia="宋体" w:cs="Times New Roman"/>
          <w:b w:val="0"/>
          <w:bCs w:val="0"/>
          <w:color w:val="auto"/>
          <w:sz w:val="24"/>
          <w:szCs w:val="24"/>
          <w:highlight w:val="none"/>
          <w:lang w:val="zh-TW" w:eastAsia="zh-TW"/>
        </w:rPr>
        <w:t>（</w:t>
      </w:r>
      <w:r>
        <w:rPr>
          <w:rFonts w:hint="eastAsia" w:ascii="宋体" w:hAnsi="Courier New" w:eastAsia="宋体" w:cs="Times New Roman"/>
          <w:b w:val="0"/>
          <w:bCs w:val="0"/>
          <w:color w:val="auto"/>
          <w:sz w:val="24"/>
          <w:szCs w:val="24"/>
          <w:highlight w:val="none"/>
          <w:lang w:val="en-US" w:eastAsia="zh-CN"/>
        </w:rPr>
        <w:t>盖公章</w:t>
      </w:r>
      <w:r>
        <w:rPr>
          <w:rFonts w:hint="eastAsia" w:ascii="宋体" w:hAnsi="Courier New" w:eastAsia="宋体" w:cs="Times New Roman"/>
          <w:b w:val="0"/>
          <w:bCs w:val="0"/>
          <w:color w:val="auto"/>
          <w:sz w:val="24"/>
          <w:szCs w:val="24"/>
          <w:highlight w:val="none"/>
          <w:lang w:val="zh-TW" w:eastAsia="zh-TW"/>
        </w:rPr>
        <w:t>）：</w:t>
      </w:r>
      <w:r>
        <w:rPr>
          <w:rFonts w:hint="eastAsia"/>
          <w:b w:val="0"/>
          <w:bCs w:val="0"/>
          <w:color w:val="auto"/>
          <w:sz w:val="24"/>
          <w:szCs w:val="24"/>
          <w:u w:val="single"/>
        </w:rPr>
        <w:tab/>
      </w:r>
    </w:p>
    <w:p w14:paraId="1AE48F68">
      <w:pPr>
        <w:pStyle w:val="29"/>
        <w:keepNext w:val="0"/>
        <w:keepLines w:val="0"/>
        <w:pageBreakBefore w:val="0"/>
        <w:widowControl/>
        <w:tabs>
          <w:tab w:val="left" w:pos="5580"/>
        </w:tabs>
        <w:kinsoku/>
        <w:wordWrap/>
        <w:overflowPunct/>
        <w:topLinePunct w:val="0"/>
        <w:autoSpaceDE/>
        <w:autoSpaceDN/>
        <w:bidi w:val="0"/>
        <w:adjustRightInd/>
        <w:spacing w:after="0" w:line="22" w:lineRule="atLeast"/>
        <w:ind w:firstLine="480" w:firstLineChars="200"/>
        <w:textAlignment w:val="auto"/>
        <w:rPr>
          <w:rFonts w:ascii="宋体" w:hAnsi="Courier New" w:eastAsia="宋体" w:cs="Times New Roman"/>
          <w:b w:val="0"/>
          <w:bCs w:val="0"/>
          <w:color w:val="auto"/>
          <w:sz w:val="24"/>
          <w:szCs w:val="24"/>
          <w:highlight w:val="none"/>
          <w:lang w:val="zh-TW"/>
        </w:rPr>
      </w:pPr>
    </w:p>
    <w:p w14:paraId="40AF546F">
      <w:pPr>
        <w:pStyle w:val="29"/>
        <w:keepNext w:val="0"/>
        <w:keepLines w:val="0"/>
        <w:pageBreakBefore w:val="0"/>
        <w:widowControl/>
        <w:tabs>
          <w:tab w:val="left" w:pos="5580"/>
        </w:tabs>
        <w:kinsoku/>
        <w:wordWrap/>
        <w:overflowPunct/>
        <w:topLinePunct w:val="0"/>
        <w:autoSpaceDE/>
        <w:autoSpaceDN/>
        <w:bidi w:val="0"/>
        <w:adjustRightInd/>
        <w:spacing w:after="0" w:line="22" w:lineRule="atLeast"/>
        <w:ind w:firstLine="480" w:firstLineChars="200"/>
        <w:textAlignment w:val="auto"/>
        <w:rPr>
          <w:rFonts w:hint="eastAsia" w:ascii="宋体" w:hAnsi="Courier New" w:eastAsia="宋体" w:cs="Times New Roman"/>
          <w:b w:val="0"/>
          <w:bCs w:val="0"/>
          <w:color w:val="auto"/>
          <w:sz w:val="24"/>
          <w:szCs w:val="24"/>
          <w:highlight w:val="none"/>
          <w:u w:val="single"/>
          <w:lang w:val="zh-TW"/>
        </w:rPr>
      </w:pPr>
      <w:r>
        <w:rPr>
          <w:rFonts w:hint="eastAsia" w:ascii="宋体" w:hAnsi="Courier New" w:eastAsia="宋体" w:cs="Times New Roman"/>
          <w:b w:val="0"/>
          <w:bCs w:val="0"/>
          <w:color w:val="auto"/>
          <w:sz w:val="24"/>
          <w:szCs w:val="24"/>
          <w:highlight w:val="none"/>
          <w:lang w:val="zh-TW"/>
        </w:rPr>
        <w:t>法定代表人或授权代表(签字或盖章)：</w:t>
      </w:r>
      <w:r>
        <w:rPr>
          <w:rFonts w:hint="eastAsia" w:ascii="宋体" w:hAnsi="Courier New" w:eastAsia="宋体" w:cs="Times New Roman"/>
          <w:b w:val="0"/>
          <w:bCs w:val="0"/>
          <w:color w:val="auto"/>
          <w:sz w:val="24"/>
          <w:szCs w:val="24"/>
          <w:highlight w:val="none"/>
          <w:u w:val="single"/>
          <w:lang w:val="zh-TW"/>
        </w:rPr>
        <w:tab/>
      </w:r>
    </w:p>
    <w:p w14:paraId="0497A17B">
      <w:pPr>
        <w:pStyle w:val="29"/>
        <w:keepNext w:val="0"/>
        <w:keepLines w:val="0"/>
        <w:pageBreakBefore w:val="0"/>
        <w:widowControl/>
        <w:tabs>
          <w:tab w:val="left" w:pos="5580"/>
        </w:tabs>
        <w:kinsoku/>
        <w:wordWrap/>
        <w:overflowPunct/>
        <w:topLinePunct w:val="0"/>
        <w:autoSpaceDE/>
        <w:autoSpaceDN/>
        <w:bidi w:val="0"/>
        <w:adjustRightInd/>
        <w:spacing w:after="0" w:line="22" w:lineRule="atLeast"/>
        <w:ind w:firstLine="480" w:firstLineChars="200"/>
        <w:textAlignment w:val="auto"/>
        <w:rPr>
          <w:rFonts w:hint="eastAsia" w:ascii="宋体" w:hAnsi="Courier New" w:eastAsia="宋体" w:cs="Times New Roman"/>
          <w:b w:val="0"/>
          <w:bCs w:val="0"/>
          <w:color w:val="auto"/>
          <w:sz w:val="24"/>
          <w:szCs w:val="24"/>
          <w:highlight w:val="none"/>
          <w:lang w:val="en-US" w:eastAsia="zh-CN"/>
        </w:rPr>
      </w:pPr>
    </w:p>
    <w:p w14:paraId="2370037D">
      <w:pPr>
        <w:keepNext w:val="0"/>
        <w:keepLines w:val="0"/>
        <w:pageBreakBefore w:val="0"/>
        <w:widowControl/>
        <w:tabs>
          <w:tab w:val="left" w:pos="7800"/>
        </w:tabs>
        <w:kinsoku/>
        <w:wordWrap/>
        <w:overflowPunct/>
        <w:topLinePunct w:val="0"/>
        <w:autoSpaceDE/>
        <w:autoSpaceDN/>
        <w:bidi w:val="0"/>
        <w:adjustRightInd/>
        <w:spacing w:after="0" w:line="360" w:lineRule="auto"/>
        <w:ind w:firstLine="480" w:firstLineChars="200"/>
        <w:textAlignment w:val="auto"/>
        <w:rPr>
          <w:rFonts w:ascii="宋体" w:hAnsi="宋体" w:eastAsia="宋体" w:cs="宋体"/>
          <w:color w:val="auto"/>
          <w:sz w:val="24"/>
          <w:szCs w:val="24"/>
          <w:highlight w:val="none"/>
        </w:rPr>
      </w:pPr>
      <w:r>
        <w:rPr>
          <w:rFonts w:hint="eastAsia" w:ascii="宋体" w:hAnsi="Courier New" w:eastAsia="宋体" w:cs="Times New Roman"/>
          <w:b w:val="0"/>
          <w:bCs w:val="0"/>
          <w:color w:val="auto"/>
          <w:sz w:val="24"/>
          <w:szCs w:val="24"/>
          <w:highlight w:val="none"/>
          <w:lang w:val="en-US" w:eastAsia="zh-CN"/>
        </w:rPr>
        <w:t>日期：   年    月   日</w:t>
      </w:r>
    </w:p>
    <w:p w14:paraId="340CB668">
      <w:pPr>
        <w:pageBreakBefore/>
        <w:spacing w:line="360" w:lineRule="auto"/>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8</w:t>
      </w:r>
      <w:r>
        <w:rPr>
          <w:rFonts w:ascii="宋体" w:hAnsi="宋体" w:eastAsia="宋体" w:cs="宋体"/>
          <w:b/>
          <w:bCs/>
          <w:color w:val="auto"/>
          <w:sz w:val="32"/>
          <w:szCs w:val="32"/>
          <w:highlight w:val="none"/>
        </w:rPr>
        <w:t>.类似项目简况（如有）</w:t>
      </w:r>
    </w:p>
    <w:p w14:paraId="268E3C8A">
      <w:pPr>
        <w:rPr>
          <w:rFonts w:ascii="宋体" w:hAnsi="宋体" w:eastAsia="宋体" w:cs="宋体"/>
          <w:color w:val="auto"/>
          <w:sz w:val="24"/>
          <w:szCs w:val="24"/>
          <w:highlight w:val="none"/>
        </w:rPr>
      </w:pPr>
      <w:r>
        <w:rPr>
          <w:rFonts w:ascii="宋体" w:hAnsi="宋体" w:eastAsia="宋体" w:cs="宋体"/>
          <w:color w:val="auto"/>
          <w:sz w:val="24"/>
          <w:szCs w:val="24"/>
          <w:highlight w:val="none"/>
        </w:rPr>
        <w:t>项目名称：</w:t>
      </w:r>
    </w:p>
    <w:p w14:paraId="4E65207E">
      <w:pPr>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lang w:val="en-US" w:eastAsia="zh-CN"/>
        </w:rPr>
        <w:t>：</w:t>
      </w:r>
      <w:r>
        <w:rPr>
          <w:rFonts w:ascii="宋体" w:hAnsi="宋体" w:eastAsia="宋体" w:cs="宋体"/>
          <w:color w:val="auto"/>
          <w:sz w:val="24"/>
          <w:szCs w:val="24"/>
          <w:highlight w:val="none"/>
        </w:rPr>
        <w:t xml:space="preserve"> </w:t>
      </w:r>
    </w:p>
    <w:p w14:paraId="0379D142">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标段：</w:t>
      </w:r>
      <w:r>
        <w:rPr>
          <w:rFonts w:ascii="宋体" w:hAnsi="宋体" w:eastAsia="宋体" w:cs="宋体"/>
          <w:color w:val="auto"/>
          <w:sz w:val="24"/>
          <w:szCs w:val="24"/>
          <w:highlight w:val="none"/>
        </w:rPr>
        <w:t xml:space="preserve">                                                                                  </w:t>
      </w:r>
    </w:p>
    <w:tbl>
      <w:tblPr>
        <w:tblStyle w:val="17"/>
        <w:tblpPr w:leftFromText="180" w:rightFromText="180" w:vertAnchor="text" w:horzAnchor="page" w:tblpX="1164" w:tblpY="434"/>
        <w:tblOverlap w:val="never"/>
        <w:tblW w:w="9665" w:type="dxa"/>
        <w:tblInd w:w="-1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0" w:type="dxa"/>
          <w:bottom w:w="0" w:type="dxa"/>
          <w:right w:w="0" w:type="dxa"/>
        </w:tblCellMar>
      </w:tblPr>
      <w:tblGrid>
        <w:gridCol w:w="504"/>
        <w:gridCol w:w="1199"/>
        <w:gridCol w:w="1466"/>
        <w:gridCol w:w="1588"/>
        <w:gridCol w:w="1140"/>
        <w:gridCol w:w="1408"/>
        <w:gridCol w:w="2360"/>
      </w:tblGrid>
      <w:tr w14:paraId="11DF0E1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45" w:hRule="atLeast"/>
        </w:trPr>
        <w:tc>
          <w:tcPr>
            <w:tcW w:w="504" w:type="dxa"/>
            <w:tcBorders>
              <w:bottom w:val="double" w:color="000000" w:sz="0" w:space="0"/>
              <w:right w:val="single" w:color="000000" w:sz="4" w:space="0"/>
            </w:tcBorders>
            <w:noWrap w:val="0"/>
            <w:vAlign w:val="center"/>
          </w:tcPr>
          <w:p w14:paraId="5B19D73A">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序号</w:t>
            </w:r>
          </w:p>
        </w:tc>
        <w:tc>
          <w:tcPr>
            <w:tcW w:w="1199" w:type="dxa"/>
            <w:tcBorders>
              <w:left w:val="single" w:color="000000" w:sz="4" w:space="0"/>
              <w:bottom w:val="double" w:color="000000" w:sz="0" w:space="0"/>
              <w:right w:val="single" w:color="000000" w:sz="4" w:space="0"/>
            </w:tcBorders>
            <w:noWrap w:val="0"/>
            <w:vAlign w:val="center"/>
          </w:tcPr>
          <w:p w14:paraId="1A9B5505">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业主名称</w:t>
            </w:r>
          </w:p>
        </w:tc>
        <w:tc>
          <w:tcPr>
            <w:tcW w:w="1466" w:type="dxa"/>
            <w:tcBorders>
              <w:left w:val="single" w:color="000000" w:sz="4" w:space="0"/>
              <w:bottom w:val="double" w:color="000000" w:sz="0" w:space="0"/>
              <w:right w:val="single" w:color="000000" w:sz="4" w:space="0"/>
            </w:tcBorders>
            <w:noWrap w:val="0"/>
            <w:vAlign w:val="center"/>
          </w:tcPr>
          <w:p w14:paraId="377CADCC">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项目名称</w:t>
            </w:r>
          </w:p>
        </w:tc>
        <w:tc>
          <w:tcPr>
            <w:tcW w:w="1588" w:type="dxa"/>
            <w:tcBorders>
              <w:left w:val="single" w:color="000000" w:sz="4" w:space="0"/>
              <w:bottom w:val="double" w:color="000000" w:sz="0" w:space="0"/>
              <w:right w:val="single" w:color="000000" w:sz="4" w:space="0"/>
            </w:tcBorders>
            <w:noWrap w:val="0"/>
            <w:vAlign w:val="center"/>
          </w:tcPr>
          <w:p w14:paraId="3A08C416">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项目所在地</w:t>
            </w:r>
          </w:p>
        </w:tc>
        <w:tc>
          <w:tcPr>
            <w:tcW w:w="1140" w:type="dxa"/>
            <w:tcBorders>
              <w:left w:val="single" w:color="000000" w:sz="4" w:space="0"/>
              <w:bottom w:val="double" w:color="000000" w:sz="0" w:space="0"/>
              <w:right w:val="single" w:color="000000" w:sz="4" w:space="0"/>
            </w:tcBorders>
            <w:noWrap w:val="0"/>
            <w:vAlign w:val="center"/>
          </w:tcPr>
          <w:p w14:paraId="2DBDF960">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合同总价</w:t>
            </w:r>
          </w:p>
        </w:tc>
        <w:tc>
          <w:tcPr>
            <w:tcW w:w="1408" w:type="dxa"/>
            <w:tcBorders>
              <w:left w:val="single" w:color="000000" w:sz="4" w:space="0"/>
              <w:bottom w:val="double" w:color="000000" w:sz="0" w:space="0"/>
              <w:right w:val="single" w:color="000000" w:sz="4" w:space="0"/>
            </w:tcBorders>
            <w:noWrap w:val="0"/>
            <w:vAlign w:val="center"/>
          </w:tcPr>
          <w:p w14:paraId="67AF4793">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签约时间</w:t>
            </w:r>
          </w:p>
        </w:tc>
        <w:tc>
          <w:tcPr>
            <w:tcW w:w="2360" w:type="dxa"/>
            <w:tcBorders>
              <w:left w:val="single" w:color="000000" w:sz="4" w:space="0"/>
              <w:bottom w:val="double" w:color="000000" w:sz="0" w:space="0"/>
            </w:tcBorders>
            <w:noWrap w:val="0"/>
            <w:vAlign w:val="center"/>
          </w:tcPr>
          <w:p w14:paraId="53463C41">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hint="eastAsia" w:ascii="宋体" w:hAnsi="宋体" w:eastAsia="宋体" w:cs="宋体"/>
                <w:color w:val="auto"/>
                <w:highlight w:val="none"/>
                <w:lang w:val="en-US" w:eastAsia="zh-CN"/>
              </w:rPr>
              <w:t>业主</w:t>
            </w:r>
            <w:r>
              <w:rPr>
                <w:rFonts w:ascii="宋体" w:hAnsi="宋体" w:eastAsia="宋体" w:cs="宋体"/>
                <w:color w:val="auto"/>
                <w:highlight w:val="none"/>
              </w:rPr>
              <w:t>单位联系人及电话</w:t>
            </w:r>
          </w:p>
        </w:tc>
      </w:tr>
      <w:tr w14:paraId="0A0D32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2" w:hRule="atLeast"/>
        </w:trPr>
        <w:tc>
          <w:tcPr>
            <w:tcW w:w="504" w:type="dxa"/>
            <w:tcBorders>
              <w:top w:val="double" w:color="000000" w:sz="0" w:space="0"/>
              <w:bottom w:val="single" w:color="000000" w:sz="4" w:space="0"/>
              <w:right w:val="single" w:color="000000" w:sz="4" w:space="0"/>
            </w:tcBorders>
            <w:noWrap w:val="0"/>
            <w:vAlign w:val="top"/>
          </w:tcPr>
          <w:p w14:paraId="42693FBA">
            <w:pPr>
              <w:pStyle w:val="27"/>
              <w:keepNext w:val="0"/>
              <w:keepLines w:val="0"/>
              <w:widowControl/>
              <w:suppressLineNumbers w:val="0"/>
              <w:spacing w:before="111" w:beforeAutospacing="0" w:afterAutospacing="0"/>
              <w:ind w:left="18" w:right="0"/>
              <w:jc w:val="center"/>
              <w:rPr>
                <w:rFonts w:ascii="宋体" w:hAnsi="宋体" w:eastAsia="宋体" w:cs="宋体"/>
                <w:color w:val="auto"/>
                <w:sz w:val="21"/>
                <w:highlight w:val="none"/>
              </w:rPr>
            </w:pPr>
            <w:r>
              <w:rPr>
                <w:rFonts w:ascii="宋体" w:hAnsi="宋体" w:eastAsia="宋体" w:cs="宋体"/>
                <w:color w:val="auto"/>
                <w:sz w:val="21"/>
                <w:highlight w:val="none"/>
              </w:rPr>
              <w:t>1</w:t>
            </w:r>
          </w:p>
        </w:tc>
        <w:tc>
          <w:tcPr>
            <w:tcW w:w="1199" w:type="dxa"/>
            <w:tcBorders>
              <w:top w:val="double" w:color="000000" w:sz="0" w:space="0"/>
              <w:left w:val="single" w:color="000000" w:sz="4" w:space="0"/>
              <w:bottom w:val="single" w:color="000000" w:sz="4" w:space="0"/>
              <w:right w:val="single" w:color="000000" w:sz="4" w:space="0"/>
            </w:tcBorders>
            <w:noWrap w:val="0"/>
            <w:vAlign w:val="top"/>
          </w:tcPr>
          <w:p w14:paraId="36DC2C2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66" w:type="dxa"/>
            <w:tcBorders>
              <w:top w:val="double" w:color="000000" w:sz="0" w:space="0"/>
              <w:left w:val="single" w:color="000000" w:sz="4" w:space="0"/>
              <w:bottom w:val="single" w:color="000000" w:sz="4" w:space="0"/>
              <w:right w:val="single" w:color="000000" w:sz="4" w:space="0"/>
            </w:tcBorders>
            <w:noWrap w:val="0"/>
            <w:vAlign w:val="top"/>
          </w:tcPr>
          <w:p w14:paraId="0ED0FA44">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88" w:type="dxa"/>
            <w:tcBorders>
              <w:top w:val="double" w:color="000000" w:sz="0" w:space="0"/>
              <w:left w:val="single" w:color="000000" w:sz="4" w:space="0"/>
              <w:bottom w:val="single" w:color="000000" w:sz="4" w:space="0"/>
              <w:right w:val="single" w:color="000000" w:sz="4" w:space="0"/>
            </w:tcBorders>
            <w:noWrap w:val="0"/>
            <w:vAlign w:val="top"/>
          </w:tcPr>
          <w:p w14:paraId="53BDE23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40" w:type="dxa"/>
            <w:tcBorders>
              <w:top w:val="double" w:color="000000" w:sz="0" w:space="0"/>
              <w:left w:val="single" w:color="000000" w:sz="4" w:space="0"/>
              <w:bottom w:val="single" w:color="000000" w:sz="4" w:space="0"/>
              <w:right w:val="single" w:color="000000" w:sz="4" w:space="0"/>
            </w:tcBorders>
            <w:noWrap w:val="0"/>
            <w:vAlign w:val="top"/>
          </w:tcPr>
          <w:p w14:paraId="52F18DC6">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08" w:type="dxa"/>
            <w:tcBorders>
              <w:top w:val="double" w:color="000000" w:sz="0" w:space="0"/>
              <w:left w:val="single" w:color="000000" w:sz="4" w:space="0"/>
              <w:bottom w:val="single" w:color="000000" w:sz="4" w:space="0"/>
              <w:right w:val="single" w:color="000000" w:sz="4" w:space="0"/>
            </w:tcBorders>
            <w:noWrap w:val="0"/>
            <w:vAlign w:val="top"/>
          </w:tcPr>
          <w:p w14:paraId="186A9139">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2360" w:type="dxa"/>
            <w:tcBorders>
              <w:top w:val="double" w:color="000000" w:sz="0" w:space="0"/>
              <w:left w:val="single" w:color="000000" w:sz="4" w:space="0"/>
              <w:bottom w:val="single" w:color="000000" w:sz="4" w:space="0"/>
            </w:tcBorders>
            <w:noWrap w:val="0"/>
            <w:vAlign w:val="top"/>
          </w:tcPr>
          <w:p w14:paraId="60897BFB">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7BEDFA5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397" w:hRule="atLeast"/>
        </w:trPr>
        <w:tc>
          <w:tcPr>
            <w:tcW w:w="504" w:type="dxa"/>
            <w:tcBorders>
              <w:top w:val="single" w:color="000000" w:sz="4" w:space="0"/>
              <w:bottom w:val="single" w:color="000000" w:sz="4" w:space="0"/>
              <w:right w:val="single" w:color="000000" w:sz="4" w:space="0"/>
            </w:tcBorders>
            <w:noWrap w:val="0"/>
            <w:vAlign w:val="top"/>
          </w:tcPr>
          <w:p w14:paraId="4026FCF9">
            <w:pPr>
              <w:pStyle w:val="27"/>
              <w:keepNext w:val="0"/>
              <w:keepLines w:val="0"/>
              <w:widowControl/>
              <w:suppressLineNumbers w:val="0"/>
              <w:spacing w:before="109" w:beforeAutospacing="0" w:afterAutospacing="0"/>
              <w:ind w:left="18" w:right="0"/>
              <w:jc w:val="center"/>
              <w:rPr>
                <w:rFonts w:ascii="宋体" w:hAnsi="宋体" w:eastAsia="宋体" w:cs="宋体"/>
                <w:color w:val="auto"/>
                <w:sz w:val="21"/>
                <w:highlight w:val="none"/>
              </w:rPr>
            </w:pPr>
            <w:r>
              <w:rPr>
                <w:rFonts w:ascii="宋体" w:hAnsi="宋体" w:eastAsia="宋体" w:cs="宋体"/>
                <w:color w:val="auto"/>
                <w:sz w:val="21"/>
                <w:highlight w:val="none"/>
              </w:rPr>
              <w:t>2</w:t>
            </w:r>
          </w:p>
        </w:tc>
        <w:tc>
          <w:tcPr>
            <w:tcW w:w="1199" w:type="dxa"/>
            <w:tcBorders>
              <w:top w:val="single" w:color="000000" w:sz="4" w:space="0"/>
              <w:left w:val="single" w:color="000000" w:sz="4" w:space="0"/>
              <w:bottom w:val="single" w:color="000000" w:sz="4" w:space="0"/>
              <w:right w:val="single" w:color="000000" w:sz="4" w:space="0"/>
            </w:tcBorders>
            <w:noWrap w:val="0"/>
            <w:vAlign w:val="top"/>
          </w:tcPr>
          <w:p w14:paraId="5D069681">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top"/>
          </w:tcPr>
          <w:p w14:paraId="331EA72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88" w:type="dxa"/>
            <w:tcBorders>
              <w:top w:val="single" w:color="000000" w:sz="4" w:space="0"/>
              <w:left w:val="single" w:color="000000" w:sz="4" w:space="0"/>
              <w:bottom w:val="single" w:color="000000" w:sz="4" w:space="0"/>
              <w:right w:val="single" w:color="000000" w:sz="4" w:space="0"/>
            </w:tcBorders>
            <w:noWrap w:val="0"/>
            <w:vAlign w:val="top"/>
          </w:tcPr>
          <w:p w14:paraId="719E2AC3">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top"/>
          </w:tcPr>
          <w:p w14:paraId="1C139324">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08" w:type="dxa"/>
            <w:tcBorders>
              <w:top w:val="single" w:color="000000" w:sz="4" w:space="0"/>
              <w:left w:val="single" w:color="000000" w:sz="4" w:space="0"/>
              <w:bottom w:val="single" w:color="000000" w:sz="4" w:space="0"/>
              <w:right w:val="single" w:color="000000" w:sz="4" w:space="0"/>
            </w:tcBorders>
            <w:noWrap w:val="0"/>
            <w:vAlign w:val="top"/>
          </w:tcPr>
          <w:p w14:paraId="708EF401">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2360" w:type="dxa"/>
            <w:tcBorders>
              <w:top w:val="single" w:color="000000" w:sz="4" w:space="0"/>
              <w:left w:val="single" w:color="000000" w:sz="4" w:space="0"/>
              <w:bottom w:val="single" w:color="000000" w:sz="4" w:space="0"/>
            </w:tcBorders>
            <w:noWrap w:val="0"/>
            <w:vAlign w:val="top"/>
          </w:tcPr>
          <w:p w14:paraId="25F450AA">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4D263A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0" w:hRule="atLeast"/>
        </w:trPr>
        <w:tc>
          <w:tcPr>
            <w:tcW w:w="504" w:type="dxa"/>
            <w:tcBorders>
              <w:top w:val="single" w:color="000000" w:sz="4" w:space="0"/>
              <w:bottom w:val="single" w:color="000000" w:sz="4" w:space="0"/>
              <w:right w:val="single" w:color="000000" w:sz="4" w:space="0"/>
            </w:tcBorders>
            <w:noWrap w:val="0"/>
            <w:vAlign w:val="top"/>
          </w:tcPr>
          <w:p w14:paraId="2B158171">
            <w:pPr>
              <w:pStyle w:val="27"/>
              <w:keepNext w:val="0"/>
              <w:keepLines w:val="0"/>
              <w:widowControl/>
              <w:suppressLineNumbers w:val="0"/>
              <w:spacing w:before="111" w:beforeAutospacing="0" w:afterAutospacing="0"/>
              <w:ind w:left="18" w:right="0"/>
              <w:jc w:val="center"/>
              <w:rPr>
                <w:rFonts w:ascii="宋体" w:hAnsi="宋体" w:eastAsia="宋体" w:cs="宋体"/>
                <w:color w:val="auto"/>
                <w:sz w:val="21"/>
                <w:highlight w:val="none"/>
              </w:rPr>
            </w:pPr>
            <w:r>
              <w:rPr>
                <w:rFonts w:ascii="宋体" w:hAnsi="宋体" w:eastAsia="宋体" w:cs="宋体"/>
                <w:color w:val="auto"/>
                <w:sz w:val="21"/>
                <w:highlight w:val="none"/>
              </w:rPr>
              <w:t>3</w:t>
            </w:r>
          </w:p>
        </w:tc>
        <w:tc>
          <w:tcPr>
            <w:tcW w:w="1199" w:type="dxa"/>
            <w:tcBorders>
              <w:top w:val="single" w:color="000000" w:sz="4" w:space="0"/>
              <w:left w:val="single" w:color="000000" w:sz="4" w:space="0"/>
              <w:bottom w:val="single" w:color="000000" w:sz="4" w:space="0"/>
              <w:right w:val="single" w:color="000000" w:sz="4" w:space="0"/>
            </w:tcBorders>
            <w:noWrap w:val="0"/>
            <w:vAlign w:val="top"/>
          </w:tcPr>
          <w:p w14:paraId="67876D16">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top"/>
          </w:tcPr>
          <w:p w14:paraId="351C29B4">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88" w:type="dxa"/>
            <w:tcBorders>
              <w:top w:val="single" w:color="000000" w:sz="4" w:space="0"/>
              <w:left w:val="single" w:color="000000" w:sz="4" w:space="0"/>
              <w:bottom w:val="single" w:color="000000" w:sz="4" w:space="0"/>
              <w:right w:val="single" w:color="000000" w:sz="4" w:space="0"/>
            </w:tcBorders>
            <w:noWrap w:val="0"/>
            <w:vAlign w:val="top"/>
          </w:tcPr>
          <w:p w14:paraId="69A80C06">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top"/>
          </w:tcPr>
          <w:p w14:paraId="22BE3D5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08" w:type="dxa"/>
            <w:tcBorders>
              <w:top w:val="single" w:color="000000" w:sz="4" w:space="0"/>
              <w:left w:val="single" w:color="000000" w:sz="4" w:space="0"/>
              <w:bottom w:val="single" w:color="000000" w:sz="4" w:space="0"/>
              <w:right w:val="single" w:color="000000" w:sz="4" w:space="0"/>
            </w:tcBorders>
            <w:noWrap w:val="0"/>
            <w:vAlign w:val="top"/>
          </w:tcPr>
          <w:p w14:paraId="7F1823E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2360" w:type="dxa"/>
            <w:tcBorders>
              <w:top w:val="single" w:color="000000" w:sz="4" w:space="0"/>
              <w:left w:val="single" w:color="000000" w:sz="4" w:space="0"/>
              <w:bottom w:val="single" w:color="000000" w:sz="4" w:space="0"/>
            </w:tcBorders>
            <w:noWrap w:val="0"/>
            <w:vAlign w:val="top"/>
          </w:tcPr>
          <w:p w14:paraId="338FB17F">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00ECDB5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0" w:hRule="atLeast"/>
        </w:trPr>
        <w:tc>
          <w:tcPr>
            <w:tcW w:w="504" w:type="dxa"/>
            <w:tcBorders>
              <w:top w:val="single" w:color="000000" w:sz="4" w:space="0"/>
              <w:bottom w:val="single" w:color="000000" w:sz="4" w:space="0"/>
              <w:right w:val="single" w:color="000000" w:sz="4" w:space="0"/>
            </w:tcBorders>
            <w:noWrap w:val="0"/>
            <w:vAlign w:val="top"/>
          </w:tcPr>
          <w:p w14:paraId="1904281D">
            <w:pPr>
              <w:pStyle w:val="27"/>
              <w:keepNext w:val="0"/>
              <w:keepLines w:val="0"/>
              <w:widowControl/>
              <w:suppressLineNumbers w:val="0"/>
              <w:spacing w:before="109" w:beforeAutospacing="0" w:afterAutospacing="0"/>
              <w:ind w:left="18" w:right="0"/>
              <w:jc w:val="center"/>
              <w:rPr>
                <w:rFonts w:ascii="宋体" w:hAnsi="宋体" w:eastAsia="宋体" w:cs="宋体"/>
                <w:color w:val="auto"/>
                <w:sz w:val="21"/>
                <w:highlight w:val="none"/>
              </w:rPr>
            </w:pPr>
            <w:r>
              <w:rPr>
                <w:rFonts w:ascii="宋体" w:hAnsi="宋体" w:eastAsia="宋体" w:cs="宋体"/>
                <w:color w:val="auto"/>
                <w:sz w:val="21"/>
                <w:highlight w:val="none"/>
              </w:rPr>
              <w:t>4</w:t>
            </w:r>
          </w:p>
        </w:tc>
        <w:tc>
          <w:tcPr>
            <w:tcW w:w="1199" w:type="dxa"/>
            <w:tcBorders>
              <w:top w:val="single" w:color="000000" w:sz="4" w:space="0"/>
              <w:left w:val="single" w:color="000000" w:sz="4" w:space="0"/>
              <w:bottom w:val="single" w:color="000000" w:sz="4" w:space="0"/>
              <w:right w:val="single" w:color="000000" w:sz="4" w:space="0"/>
            </w:tcBorders>
            <w:noWrap w:val="0"/>
            <w:vAlign w:val="top"/>
          </w:tcPr>
          <w:p w14:paraId="4BA6C7DA">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top"/>
          </w:tcPr>
          <w:p w14:paraId="74247A5F">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88" w:type="dxa"/>
            <w:tcBorders>
              <w:top w:val="single" w:color="000000" w:sz="4" w:space="0"/>
              <w:left w:val="single" w:color="000000" w:sz="4" w:space="0"/>
              <w:bottom w:val="single" w:color="000000" w:sz="4" w:space="0"/>
              <w:right w:val="single" w:color="000000" w:sz="4" w:space="0"/>
            </w:tcBorders>
            <w:noWrap w:val="0"/>
            <w:vAlign w:val="top"/>
          </w:tcPr>
          <w:p w14:paraId="4F526318">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top"/>
          </w:tcPr>
          <w:p w14:paraId="117F8AC7">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08" w:type="dxa"/>
            <w:tcBorders>
              <w:top w:val="single" w:color="000000" w:sz="4" w:space="0"/>
              <w:left w:val="single" w:color="000000" w:sz="4" w:space="0"/>
              <w:bottom w:val="single" w:color="000000" w:sz="4" w:space="0"/>
              <w:right w:val="single" w:color="000000" w:sz="4" w:space="0"/>
            </w:tcBorders>
            <w:noWrap w:val="0"/>
            <w:vAlign w:val="top"/>
          </w:tcPr>
          <w:p w14:paraId="3C02A91E">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2360" w:type="dxa"/>
            <w:tcBorders>
              <w:top w:val="single" w:color="000000" w:sz="4" w:space="0"/>
              <w:left w:val="single" w:color="000000" w:sz="4" w:space="0"/>
              <w:bottom w:val="single" w:color="000000" w:sz="4" w:space="0"/>
            </w:tcBorders>
            <w:noWrap w:val="0"/>
            <w:vAlign w:val="top"/>
          </w:tcPr>
          <w:p w14:paraId="1600A63A">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3FAAF18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0" w:hRule="atLeast"/>
        </w:trPr>
        <w:tc>
          <w:tcPr>
            <w:tcW w:w="504" w:type="dxa"/>
            <w:tcBorders>
              <w:top w:val="single" w:color="000000" w:sz="4" w:space="0"/>
              <w:bottom w:val="single" w:color="000000" w:sz="4" w:space="0"/>
              <w:right w:val="single" w:color="000000" w:sz="4" w:space="0"/>
            </w:tcBorders>
            <w:noWrap w:val="0"/>
            <w:vAlign w:val="top"/>
          </w:tcPr>
          <w:p w14:paraId="48CB5BCB">
            <w:pPr>
              <w:pStyle w:val="27"/>
              <w:keepNext w:val="0"/>
              <w:keepLines w:val="0"/>
              <w:widowControl/>
              <w:suppressLineNumbers w:val="0"/>
              <w:spacing w:before="109" w:beforeAutospacing="0" w:afterAutospacing="0"/>
              <w:ind w:left="18" w:right="0"/>
              <w:jc w:val="center"/>
              <w:rPr>
                <w:rFonts w:ascii="宋体" w:hAnsi="宋体" w:eastAsia="宋体" w:cs="宋体"/>
                <w:color w:val="auto"/>
                <w:sz w:val="21"/>
                <w:highlight w:val="none"/>
              </w:rPr>
            </w:pPr>
            <w:r>
              <w:rPr>
                <w:rFonts w:ascii="宋体" w:hAnsi="宋体" w:eastAsia="宋体" w:cs="宋体"/>
                <w:color w:val="auto"/>
                <w:sz w:val="21"/>
                <w:highlight w:val="none"/>
              </w:rPr>
              <w:t>5</w:t>
            </w:r>
          </w:p>
        </w:tc>
        <w:tc>
          <w:tcPr>
            <w:tcW w:w="1199" w:type="dxa"/>
            <w:tcBorders>
              <w:top w:val="single" w:color="000000" w:sz="4" w:space="0"/>
              <w:left w:val="single" w:color="000000" w:sz="4" w:space="0"/>
              <w:bottom w:val="single" w:color="000000" w:sz="4" w:space="0"/>
              <w:right w:val="single" w:color="000000" w:sz="4" w:space="0"/>
            </w:tcBorders>
            <w:noWrap w:val="0"/>
            <w:vAlign w:val="top"/>
          </w:tcPr>
          <w:p w14:paraId="0F61E04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top"/>
          </w:tcPr>
          <w:p w14:paraId="3164A36F">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88" w:type="dxa"/>
            <w:tcBorders>
              <w:top w:val="single" w:color="000000" w:sz="4" w:space="0"/>
              <w:left w:val="single" w:color="000000" w:sz="4" w:space="0"/>
              <w:bottom w:val="single" w:color="000000" w:sz="4" w:space="0"/>
              <w:right w:val="single" w:color="000000" w:sz="4" w:space="0"/>
            </w:tcBorders>
            <w:noWrap w:val="0"/>
            <w:vAlign w:val="top"/>
          </w:tcPr>
          <w:p w14:paraId="29BB700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top"/>
          </w:tcPr>
          <w:p w14:paraId="21D764DB">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08" w:type="dxa"/>
            <w:tcBorders>
              <w:top w:val="single" w:color="000000" w:sz="4" w:space="0"/>
              <w:left w:val="single" w:color="000000" w:sz="4" w:space="0"/>
              <w:bottom w:val="single" w:color="000000" w:sz="4" w:space="0"/>
              <w:right w:val="single" w:color="000000" w:sz="4" w:space="0"/>
            </w:tcBorders>
            <w:noWrap w:val="0"/>
            <w:vAlign w:val="top"/>
          </w:tcPr>
          <w:p w14:paraId="5B3CE950">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2360" w:type="dxa"/>
            <w:tcBorders>
              <w:top w:val="single" w:color="000000" w:sz="4" w:space="0"/>
              <w:left w:val="single" w:color="000000" w:sz="4" w:space="0"/>
              <w:bottom w:val="single" w:color="000000" w:sz="4" w:space="0"/>
            </w:tcBorders>
            <w:noWrap w:val="0"/>
            <w:vAlign w:val="top"/>
          </w:tcPr>
          <w:p w14:paraId="6B8D2DC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116003A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0" w:hRule="atLeast"/>
        </w:trPr>
        <w:tc>
          <w:tcPr>
            <w:tcW w:w="504" w:type="dxa"/>
            <w:tcBorders>
              <w:top w:val="single" w:color="000000" w:sz="4" w:space="0"/>
              <w:bottom w:val="single" w:color="000000" w:sz="4" w:space="0"/>
              <w:right w:val="single" w:color="000000" w:sz="4" w:space="0"/>
            </w:tcBorders>
            <w:noWrap w:val="0"/>
            <w:vAlign w:val="top"/>
          </w:tcPr>
          <w:p w14:paraId="55A5BDDC">
            <w:pPr>
              <w:pStyle w:val="27"/>
              <w:keepNext w:val="0"/>
              <w:keepLines w:val="0"/>
              <w:widowControl/>
              <w:suppressLineNumbers w:val="0"/>
              <w:spacing w:before="109" w:beforeAutospacing="0" w:afterAutospacing="0"/>
              <w:ind w:left="18" w:right="0"/>
              <w:jc w:val="center"/>
              <w:rPr>
                <w:rFonts w:ascii="宋体" w:hAnsi="宋体" w:eastAsia="宋体" w:cs="宋体"/>
                <w:color w:val="auto"/>
                <w:sz w:val="21"/>
                <w:highlight w:val="none"/>
              </w:rPr>
            </w:pPr>
            <w:r>
              <w:rPr>
                <w:rFonts w:ascii="宋体" w:hAnsi="宋体" w:eastAsia="宋体" w:cs="宋体"/>
                <w:color w:val="auto"/>
                <w:sz w:val="21"/>
                <w:highlight w:val="none"/>
              </w:rPr>
              <w:t>6</w:t>
            </w:r>
          </w:p>
        </w:tc>
        <w:tc>
          <w:tcPr>
            <w:tcW w:w="1199" w:type="dxa"/>
            <w:tcBorders>
              <w:top w:val="single" w:color="000000" w:sz="4" w:space="0"/>
              <w:left w:val="single" w:color="000000" w:sz="4" w:space="0"/>
              <w:bottom w:val="single" w:color="000000" w:sz="4" w:space="0"/>
              <w:right w:val="single" w:color="000000" w:sz="4" w:space="0"/>
            </w:tcBorders>
            <w:noWrap w:val="0"/>
            <w:vAlign w:val="top"/>
          </w:tcPr>
          <w:p w14:paraId="1DA34624">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top"/>
          </w:tcPr>
          <w:p w14:paraId="4FDFE25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88" w:type="dxa"/>
            <w:tcBorders>
              <w:top w:val="single" w:color="000000" w:sz="4" w:space="0"/>
              <w:left w:val="single" w:color="000000" w:sz="4" w:space="0"/>
              <w:bottom w:val="single" w:color="000000" w:sz="4" w:space="0"/>
              <w:right w:val="single" w:color="000000" w:sz="4" w:space="0"/>
            </w:tcBorders>
            <w:noWrap w:val="0"/>
            <w:vAlign w:val="top"/>
          </w:tcPr>
          <w:p w14:paraId="277C42F3">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top"/>
          </w:tcPr>
          <w:p w14:paraId="56AB6A53">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08" w:type="dxa"/>
            <w:tcBorders>
              <w:top w:val="single" w:color="000000" w:sz="4" w:space="0"/>
              <w:left w:val="single" w:color="000000" w:sz="4" w:space="0"/>
              <w:bottom w:val="single" w:color="000000" w:sz="4" w:space="0"/>
              <w:right w:val="single" w:color="000000" w:sz="4" w:space="0"/>
            </w:tcBorders>
            <w:noWrap w:val="0"/>
            <w:vAlign w:val="top"/>
          </w:tcPr>
          <w:p w14:paraId="5DE9F59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2360" w:type="dxa"/>
            <w:tcBorders>
              <w:top w:val="single" w:color="000000" w:sz="4" w:space="0"/>
              <w:left w:val="single" w:color="000000" w:sz="4" w:space="0"/>
              <w:bottom w:val="single" w:color="000000" w:sz="4" w:space="0"/>
            </w:tcBorders>
            <w:noWrap w:val="0"/>
            <w:vAlign w:val="top"/>
          </w:tcPr>
          <w:p w14:paraId="7A83112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20F67A1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0" w:hRule="atLeast"/>
        </w:trPr>
        <w:tc>
          <w:tcPr>
            <w:tcW w:w="504" w:type="dxa"/>
            <w:tcBorders>
              <w:top w:val="single" w:color="000000" w:sz="4" w:space="0"/>
              <w:bottom w:val="single" w:color="000000" w:sz="4" w:space="0"/>
              <w:right w:val="single" w:color="000000" w:sz="4" w:space="0"/>
            </w:tcBorders>
            <w:noWrap w:val="0"/>
            <w:vAlign w:val="top"/>
          </w:tcPr>
          <w:p w14:paraId="47A6A081">
            <w:pPr>
              <w:pStyle w:val="27"/>
              <w:keepNext w:val="0"/>
              <w:keepLines w:val="0"/>
              <w:widowControl/>
              <w:suppressLineNumbers w:val="0"/>
              <w:spacing w:before="109" w:beforeAutospacing="0" w:afterAutospacing="0"/>
              <w:ind w:left="18" w:right="0"/>
              <w:jc w:val="center"/>
              <w:rPr>
                <w:rFonts w:ascii="宋体" w:hAnsi="宋体" w:eastAsia="宋体" w:cs="宋体"/>
                <w:color w:val="auto"/>
                <w:sz w:val="21"/>
                <w:highlight w:val="none"/>
              </w:rPr>
            </w:pPr>
            <w:r>
              <w:rPr>
                <w:rFonts w:ascii="宋体" w:hAnsi="宋体" w:eastAsia="宋体" w:cs="宋体"/>
                <w:color w:val="auto"/>
                <w:sz w:val="21"/>
                <w:highlight w:val="none"/>
              </w:rPr>
              <w:t>7</w:t>
            </w:r>
          </w:p>
        </w:tc>
        <w:tc>
          <w:tcPr>
            <w:tcW w:w="1199" w:type="dxa"/>
            <w:tcBorders>
              <w:top w:val="single" w:color="000000" w:sz="4" w:space="0"/>
              <w:left w:val="single" w:color="000000" w:sz="4" w:space="0"/>
              <w:bottom w:val="single" w:color="000000" w:sz="4" w:space="0"/>
              <w:right w:val="single" w:color="000000" w:sz="4" w:space="0"/>
            </w:tcBorders>
            <w:noWrap w:val="0"/>
            <w:vAlign w:val="top"/>
          </w:tcPr>
          <w:p w14:paraId="3940F5B7">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top"/>
          </w:tcPr>
          <w:p w14:paraId="26464D9D">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88" w:type="dxa"/>
            <w:tcBorders>
              <w:top w:val="single" w:color="000000" w:sz="4" w:space="0"/>
              <w:left w:val="single" w:color="000000" w:sz="4" w:space="0"/>
              <w:bottom w:val="single" w:color="000000" w:sz="4" w:space="0"/>
              <w:right w:val="single" w:color="000000" w:sz="4" w:space="0"/>
            </w:tcBorders>
            <w:noWrap w:val="0"/>
            <w:vAlign w:val="top"/>
          </w:tcPr>
          <w:p w14:paraId="22AC417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top"/>
          </w:tcPr>
          <w:p w14:paraId="37CFB02E">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08" w:type="dxa"/>
            <w:tcBorders>
              <w:top w:val="single" w:color="000000" w:sz="4" w:space="0"/>
              <w:left w:val="single" w:color="000000" w:sz="4" w:space="0"/>
              <w:bottom w:val="single" w:color="000000" w:sz="4" w:space="0"/>
              <w:right w:val="single" w:color="000000" w:sz="4" w:space="0"/>
            </w:tcBorders>
            <w:noWrap w:val="0"/>
            <w:vAlign w:val="top"/>
          </w:tcPr>
          <w:p w14:paraId="2A774BC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2360" w:type="dxa"/>
            <w:tcBorders>
              <w:top w:val="single" w:color="000000" w:sz="4" w:space="0"/>
              <w:left w:val="single" w:color="000000" w:sz="4" w:space="0"/>
              <w:bottom w:val="single" w:color="000000" w:sz="4" w:space="0"/>
            </w:tcBorders>
            <w:noWrap w:val="0"/>
            <w:vAlign w:val="top"/>
          </w:tcPr>
          <w:p w14:paraId="17B51D04">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0BA6083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397" w:hRule="atLeast"/>
        </w:trPr>
        <w:tc>
          <w:tcPr>
            <w:tcW w:w="504" w:type="dxa"/>
            <w:tcBorders>
              <w:top w:val="single" w:color="000000" w:sz="4" w:space="0"/>
              <w:right w:val="single" w:color="000000" w:sz="4" w:space="0"/>
            </w:tcBorders>
            <w:noWrap w:val="0"/>
            <w:vAlign w:val="top"/>
          </w:tcPr>
          <w:p w14:paraId="7E09BC7F">
            <w:pPr>
              <w:pStyle w:val="27"/>
              <w:keepNext w:val="0"/>
              <w:keepLines w:val="0"/>
              <w:widowControl/>
              <w:suppressLineNumbers w:val="0"/>
              <w:spacing w:before="109" w:beforeAutospacing="0" w:afterAutospacing="0" w:line="269" w:lineRule="exact"/>
              <w:ind w:left="18" w:right="0"/>
              <w:jc w:val="center"/>
              <w:rPr>
                <w:rFonts w:ascii="宋体" w:hAnsi="宋体" w:eastAsia="宋体" w:cs="宋体"/>
                <w:color w:val="auto"/>
                <w:sz w:val="21"/>
                <w:highlight w:val="none"/>
              </w:rPr>
            </w:pPr>
            <w:r>
              <w:rPr>
                <w:rFonts w:ascii="宋体" w:hAnsi="宋体" w:eastAsia="宋体" w:cs="宋体"/>
                <w:color w:val="auto"/>
                <w:sz w:val="21"/>
                <w:highlight w:val="none"/>
              </w:rPr>
              <w:t>8</w:t>
            </w:r>
          </w:p>
        </w:tc>
        <w:tc>
          <w:tcPr>
            <w:tcW w:w="1199" w:type="dxa"/>
            <w:tcBorders>
              <w:top w:val="single" w:color="000000" w:sz="4" w:space="0"/>
              <w:left w:val="single" w:color="000000" w:sz="4" w:space="0"/>
              <w:right w:val="single" w:color="000000" w:sz="4" w:space="0"/>
            </w:tcBorders>
            <w:noWrap w:val="0"/>
            <w:vAlign w:val="top"/>
          </w:tcPr>
          <w:p w14:paraId="5C402C04">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66" w:type="dxa"/>
            <w:tcBorders>
              <w:top w:val="single" w:color="000000" w:sz="4" w:space="0"/>
              <w:left w:val="single" w:color="000000" w:sz="4" w:space="0"/>
              <w:right w:val="single" w:color="000000" w:sz="4" w:space="0"/>
            </w:tcBorders>
            <w:noWrap w:val="0"/>
            <w:vAlign w:val="top"/>
          </w:tcPr>
          <w:p w14:paraId="5C927FB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88" w:type="dxa"/>
            <w:tcBorders>
              <w:top w:val="single" w:color="000000" w:sz="4" w:space="0"/>
              <w:left w:val="single" w:color="000000" w:sz="4" w:space="0"/>
              <w:right w:val="single" w:color="000000" w:sz="4" w:space="0"/>
            </w:tcBorders>
            <w:noWrap w:val="0"/>
            <w:vAlign w:val="top"/>
          </w:tcPr>
          <w:p w14:paraId="16EC8B61">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40" w:type="dxa"/>
            <w:tcBorders>
              <w:top w:val="single" w:color="000000" w:sz="4" w:space="0"/>
              <w:left w:val="single" w:color="000000" w:sz="4" w:space="0"/>
              <w:right w:val="single" w:color="000000" w:sz="4" w:space="0"/>
            </w:tcBorders>
            <w:noWrap w:val="0"/>
            <w:vAlign w:val="top"/>
          </w:tcPr>
          <w:p w14:paraId="2363A20E">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408" w:type="dxa"/>
            <w:tcBorders>
              <w:top w:val="single" w:color="000000" w:sz="4" w:space="0"/>
              <w:left w:val="single" w:color="000000" w:sz="4" w:space="0"/>
              <w:right w:val="single" w:color="000000" w:sz="4" w:space="0"/>
            </w:tcBorders>
            <w:noWrap w:val="0"/>
            <w:vAlign w:val="top"/>
          </w:tcPr>
          <w:p w14:paraId="3C643AF7">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2360" w:type="dxa"/>
            <w:tcBorders>
              <w:top w:val="single" w:color="000000" w:sz="4" w:space="0"/>
              <w:left w:val="single" w:color="000000" w:sz="4" w:space="0"/>
            </w:tcBorders>
            <w:noWrap w:val="0"/>
            <w:vAlign w:val="top"/>
          </w:tcPr>
          <w:p w14:paraId="5BBE6CA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bl>
    <w:p w14:paraId="1773DD41">
      <w:pPr>
        <w:snapToGrid w:val="0"/>
        <w:spacing w:line="360" w:lineRule="auto"/>
        <w:ind w:firstLine="206"/>
        <w:textAlignment w:val="baseline"/>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注：按附表3</w:t>
      </w:r>
      <w:r>
        <w:rPr>
          <w:rFonts w:ascii="宋体" w:hAnsi="宋体" w:eastAsia="宋体" w:cs="宋体"/>
          <w:b w:val="0"/>
          <w:bCs w:val="0"/>
          <w:color w:val="auto"/>
          <w:sz w:val="22"/>
          <w:szCs w:val="22"/>
          <w:highlight w:val="none"/>
        </w:rPr>
        <w:t>评审标准和方法</w:t>
      </w:r>
      <w:r>
        <w:rPr>
          <w:rFonts w:hint="eastAsia" w:ascii="宋体" w:hAnsi="宋体" w:eastAsia="宋体" w:cs="宋体"/>
          <w:b w:val="0"/>
          <w:bCs w:val="0"/>
          <w:color w:val="auto"/>
          <w:sz w:val="22"/>
          <w:szCs w:val="22"/>
          <w:highlight w:val="none"/>
          <w:lang w:val="en-US" w:eastAsia="zh-CN"/>
        </w:rPr>
        <w:t>有关要求提供材料（如有）。</w:t>
      </w:r>
    </w:p>
    <w:p w14:paraId="3D14E477">
      <w:pPr>
        <w:rPr>
          <w:rFonts w:ascii="宋体" w:hAnsi="宋体" w:eastAsia="宋体" w:cs="宋体"/>
          <w:color w:val="auto"/>
          <w:highlight w:val="none"/>
        </w:rPr>
      </w:pPr>
    </w:p>
    <w:p w14:paraId="09D7AA4C">
      <w:pPr>
        <w:rPr>
          <w:rFonts w:ascii="宋体" w:hAnsi="宋体" w:eastAsia="宋体" w:cs="宋体"/>
          <w:color w:val="auto"/>
          <w:highlight w:val="none"/>
        </w:rPr>
      </w:pPr>
    </w:p>
    <w:p w14:paraId="6D7A0763">
      <w:pPr>
        <w:pStyle w:val="10"/>
        <w:tabs>
          <w:tab w:val="left" w:pos="5580"/>
        </w:tabs>
        <w:spacing w:line="22" w:lineRule="atLeast"/>
        <w:rPr>
          <w:color w:val="auto"/>
          <w:sz w:val="24"/>
          <w:szCs w:val="24"/>
          <w:highlight w:val="none"/>
        </w:rPr>
      </w:pPr>
      <w:r>
        <w:rPr>
          <w:rFonts w:hint="eastAsia" w:ascii="宋体" w:hAnsi="宋体" w:eastAsia="宋体" w:cs="宋体"/>
          <w:color w:val="auto"/>
          <w:sz w:val="24"/>
          <w:szCs w:val="24"/>
          <w:highlight w:val="none"/>
          <w:lang w:val="zh-TW"/>
        </w:rPr>
        <w:t>供应商名称</w:t>
      </w:r>
      <w:r>
        <w:rPr>
          <w:rFonts w:hint="eastAsia" w:ascii="宋体" w:hAnsi="宋体" w:eastAsia="宋体" w:cs="宋体"/>
          <w:color w:val="auto"/>
          <w:sz w:val="24"/>
          <w:szCs w:val="24"/>
          <w:highlight w:val="none"/>
          <w:lang w:val="zh-TW" w:eastAsia="zh-TW"/>
        </w:rPr>
        <w:t>（盖</w:t>
      </w:r>
      <w:r>
        <w:rPr>
          <w:rFonts w:hint="eastAsia" w:cs="宋体"/>
          <w:color w:val="auto"/>
          <w:sz w:val="24"/>
          <w:szCs w:val="24"/>
          <w:highlight w:val="none"/>
          <w:lang w:val="en-US" w:eastAsia="zh-CN"/>
        </w:rPr>
        <w:t>公</w:t>
      </w:r>
      <w:r>
        <w:rPr>
          <w:rFonts w:hint="eastAsia" w:ascii="宋体" w:hAnsi="宋体" w:eastAsia="宋体" w:cs="宋体"/>
          <w:color w:val="auto"/>
          <w:sz w:val="24"/>
          <w:szCs w:val="24"/>
          <w:highlight w:val="none"/>
          <w:lang w:val="zh-TW" w:eastAsia="zh-TW"/>
        </w:rPr>
        <w:t>章）</w:t>
      </w:r>
      <w:r>
        <w:rPr>
          <w:color w:val="auto"/>
          <w:sz w:val="24"/>
          <w:szCs w:val="24"/>
          <w:highlight w:val="none"/>
          <w:lang w:val="zh-TW" w:eastAsia="zh-TW"/>
        </w:rPr>
        <w:t>：</w:t>
      </w:r>
      <w:r>
        <w:rPr>
          <w:color w:val="auto"/>
          <w:sz w:val="24"/>
          <w:szCs w:val="24"/>
          <w:highlight w:val="none"/>
          <w:u w:val="single"/>
        </w:rPr>
        <w:tab/>
      </w:r>
    </w:p>
    <w:p w14:paraId="32253282">
      <w:pPr>
        <w:pStyle w:val="10"/>
        <w:tabs>
          <w:tab w:val="left" w:pos="5580"/>
        </w:tabs>
        <w:spacing w:line="22" w:lineRule="atLeast"/>
        <w:ind w:firstLine="480" w:firstLineChars="200"/>
        <w:rPr>
          <w:color w:val="auto"/>
          <w:sz w:val="24"/>
          <w:szCs w:val="24"/>
          <w:highlight w:val="none"/>
        </w:rPr>
      </w:pPr>
    </w:p>
    <w:p w14:paraId="49733E68">
      <w:pPr>
        <w:pStyle w:val="10"/>
        <w:tabs>
          <w:tab w:val="left" w:pos="5580"/>
        </w:tabs>
        <w:spacing w:line="22" w:lineRule="atLeast"/>
        <w:rPr>
          <w:color w:val="auto"/>
          <w:sz w:val="24"/>
          <w:szCs w:val="24"/>
          <w:highlight w:val="none"/>
        </w:rPr>
      </w:pPr>
      <w:r>
        <w:rPr>
          <w:rFonts w:ascii="宋体" w:hAnsi="宋体" w:eastAsia="宋体" w:cs="宋体"/>
          <w:color w:val="auto"/>
          <w:sz w:val="24"/>
          <w:szCs w:val="24"/>
          <w:highlight w:val="none"/>
        </w:rPr>
        <w:t>法定代表人或授权代表</w:t>
      </w:r>
      <w:r>
        <w:rPr>
          <w:rFonts w:hint="eastAsia" w:cs="宋体"/>
          <w:color w:val="auto"/>
          <w:sz w:val="24"/>
          <w:szCs w:val="24"/>
          <w:highlight w:val="none"/>
          <w:lang w:val="zh-TW" w:eastAsia="zh-CN"/>
        </w:rPr>
        <w:t>（</w:t>
      </w:r>
      <w:r>
        <w:rPr>
          <w:rFonts w:hint="eastAsia" w:cs="宋体"/>
          <w:color w:val="auto"/>
          <w:sz w:val="24"/>
          <w:szCs w:val="24"/>
          <w:highlight w:val="none"/>
          <w:lang w:val="en-US" w:eastAsia="zh-CN"/>
        </w:rPr>
        <w:t>签字或盖章）</w:t>
      </w:r>
      <w:r>
        <w:rPr>
          <w:rFonts w:hint="eastAsia"/>
          <w:color w:val="auto"/>
          <w:sz w:val="24"/>
          <w:szCs w:val="24"/>
          <w:highlight w:val="none"/>
          <w:lang w:eastAsia="zh-CN"/>
        </w:rPr>
        <w:t>：</w:t>
      </w:r>
      <w:r>
        <w:rPr>
          <w:color w:val="auto"/>
          <w:sz w:val="24"/>
          <w:szCs w:val="24"/>
          <w:highlight w:val="none"/>
          <w:u w:val="single"/>
        </w:rPr>
        <w:tab/>
      </w:r>
    </w:p>
    <w:p w14:paraId="235657FD">
      <w:pPr>
        <w:rPr>
          <w:rFonts w:ascii="宋体" w:hAnsi="宋体" w:eastAsia="宋体" w:cs="宋体"/>
          <w:color w:val="auto"/>
          <w:highlight w:val="none"/>
        </w:rPr>
      </w:pPr>
    </w:p>
    <w:p w14:paraId="26B44F04">
      <w:pPr>
        <w:rPr>
          <w:rFonts w:ascii="宋体" w:hAnsi="宋体" w:eastAsia="宋体" w:cs="宋体"/>
          <w:color w:val="auto"/>
          <w:highlight w:val="none"/>
        </w:rPr>
      </w:pPr>
    </w:p>
    <w:p w14:paraId="0BAC52C8">
      <w:pPr>
        <w:rPr>
          <w:rFonts w:ascii="宋体" w:hAnsi="宋体" w:eastAsia="宋体" w:cs="宋体"/>
          <w:color w:val="auto"/>
          <w:highlight w:val="none"/>
        </w:rPr>
      </w:pPr>
    </w:p>
    <w:p w14:paraId="3A9DCE68">
      <w:pPr>
        <w:pageBreakBefore/>
        <w:spacing w:line="360" w:lineRule="auto"/>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9</w:t>
      </w:r>
      <w:r>
        <w:rPr>
          <w:rFonts w:ascii="宋体" w:hAnsi="宋体" w:eastAsia="宋体" w:cs="宋体"/>
          <w:b/>
          <w:bCs/>
          <w:color w:val="auto"/>
          <w:sz w:val="32"/>
          <w:szCs w:val="32"/>
          <w:highlight w:val="none"/>
        </w:rPr>
        <w:t>.拟投入本项目人员情况一览表（如有）</w:t>
      </w:r>
    </w:p>
    <w:p w14:paraId="233AC537">
      <w:pPr>
        <w:rPr>
          <w:rFonts w:ascii="宋体" w:hAnsi="宋体" w:eastAsia="宋体" w:cs="宋体"/>
          <w:color w:val="auto"/>
          <w:sz w:val="24"/>
          <w:szCs w:val="24"/>
          <w:highlight w:val="none"/>
        </w:rPr>
      </w:pPr>
      <w:r>
        <w:rPr>
          <w:rFonts w:ascii="宋体" w:hAnsi="宋体" w:eastAsia="宋体" w:cs="宋体"/>
          <w:color w:val="auto"/>
          <w:sz w:val="24"/>
          <w:szCs w:val="24"/>
          <w:highlight w:val="none"/>
        </w:rPr>
        <w:t>项目名称：</w:t>
      </w:r>
    </w:p>
    <w:p w14:paraId="39CC33FC">
      <w:pPr>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lang w:val="en-US" w:eastAsia="zh-CN"/>
        </w:rPr>
        <w:t>：</w:t>
      </w:r>
      <w:r>
        <w:rPr>
          <w:rFonts w:ascii="宋体" w:hAnsi="宋体" w:eastAsia="宋体" w:cs="宋体"/>
          <w:color w:val="auto"/>
          <w:sz w:val="24"/>
          <w:szCs w:val="24"/>
          <w:highlight w:val="none"/>
        </w:rPr>
        <w:t xml:space="preserve"> </w:t>
      </w:r>
    </w:p>
    <w:p w14:paraId="264CCF45">
      <w:pPr>
        <w:rPr>
          <w:rFonts w:ascii="宋体" w:hAnsi="宋体" w:eastAsia="宋体" w:cs="宋体"/>
          <w:color w:val="auto"/>
          <w:highlight w:val="none"/>
        </w:rPr>
      </w:pPr>
      <w:r>
        <w:rPr>
          <w:rFonts w:hint="eastAsia" w:ascii="宋体" w:hAnsi="宋体" w:eastAsia="宋体" w:cs="宋体"/>
          <w:color w:val="auto"/>
          <w:sz w:val="24"/>
          <w:szCs w:val="24"/>
          <w:highlight w:val="none"/>
          <w:lang w:val="en-US" w:eastAsia="zh-CN"/>
        </w:rPr>
        <w:t>标段：</w:t>
      </w:r>
      <w:r>
        <w:rPr>
          <w:rFonts w:ascii="宋体" w:hAnsi="宋体" w:eastAsia="宋体" w:cs="宋体"/>
          <w:color w:val="auto"/>
          <w:highlight w:val="none"/>
        </w:rPr>
        <w:t xml:space="preserve">                                                                                         </w:t>
      </w:r>
    </w:p>
    <w:tbl>
      <w:tblPr>
        <w:tblStyle w:val="17"/>
        <w:tblpPr w:leftFromText="180" w:rightFromText="180" w:vertAnchor="text" w:horzAnchor="page" w:tblpXSpec="center" w:tblpY="120"/>
        <w:tblOverlap w:val="never"/>
        <w:tblW w:w="842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0" w:type="dxa"/>
          <w:bottom w:w="0" w:type="dxa"/>
          <w:right w:w="0" w:type="dxa"/>
        </w:tblCellMar>
      </w:tblPr>
      <w:tblGrid>
        <w:gridCol w:w="588"/>
        <w:gridCol w:w="1180"/>
        <w:gridCol w:w="780"/>
        <w:gridCol w:w="777"/>
        <w:gridCol w:w="863"/>
        <w:gridCol w:w="1598"/>
        <w:gridCol w:w="1080"/>
        <w:gridCol w:w="1560"/>
      </w:tblGrid>
      <w:tr w14:paraId="1BC50D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98" w:hRule="atLeast"/>
          <w:jc w:val="center"/>
        </w:trPr>
        <w:tc>
          <w:tcPr>
            <w:tcW w:w="588" w:type="dxa"/>
            <w:tcBorders>
              <w:bottom w:val="double" w:color="000000" w:sz="0" w:space="0"/>
              <w:right w:val="single" w:color="000000" w:sz="4" w:space="0"/>
            </w:tcBorders>
            <w:noWrap w:val="0"/>
            <w:vAlign w:val="center"/>
          </w:tcPr>
          <w:p w14:paraId="1E282841">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序号</w:t>
            </w:r>
          </w:p>
        </w:tc>
        <w:tc>
          <w:tcPr>
            <w:tcW w:w="1180" w:type="dxa"/>
            <w:tcBorders>
              <w:left w:val="single" w:color="000000" w:sz="4" w:space="0"/>
              <w:bottom w:val="double" w:color="000000" w:sz="0" w:space="0"/>
              <w:right w:val="single" w:color="000000" w:sz="4" w:space="0"/>
            </w:tcBorders>
            <w:noWrap w:val="0"/>
            <w:vAlign w:val="center"/>
          </w:tcPr>
          <w:p w14:paraId="6D95F136">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姓名</w:t>
            </w:r>
          </w:p>
        </w:tc>
        <w:tc>
          <w:tcPr>
            <w:tcW w:w="780" w:type="dxa"/>
            <w:tcBorders>
              <w:left w:val="single" w:color="000000" w:sz="4" w:space="0"/>
              <w:bottom w:val="double" w:color="000000" w:sz="0" w:space="0"/>
              <w:right w:val="single" w:color="000000" w:sz="4" w:space="0"/>
            </w:tcBorders>
            <w:noWrap w:val="0"/>
            <w:vAlign w:val="center"/>
          </w:tcPr>
          <w:p w14:paraId="66884B0B">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性别</w:t>
            </w:r>
          </w:p>
        </w:tc>
        <w:tc>
          <w:tcPr>
            <w:tcW w:w="777" w:type="dxa"/>
            <w:tcBorders>
              <w:left w:val="single" w:color="000000" w:sz="4" w:space="0"/>
              <w:bottom w:val="double" w:color="000000" w:sz="0" w:space="0"/>
              <w:right w:val="single" w:color="000000" w:sz="4" w:space="0"/>
            </w:tcBorders>
            <w:noWrap w:val="0"/>
            <w:vAlign w:val="center"/>
          </w:tcPr>
          <w:p w14:paraId="466D791B">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年龄</w:t>
            </w:r>
          </w:p>
        </w:tc>
        <w:tc>
          <w:tcPr>
            <w:tcW w:w="863" w:type="dxa"/>
            <w:tcBorders>
              <w:left w:val="single" w:color="000000" w:sz="4" w:space="0"/>
              <w:bottom w:val="double" w:color="000000" w:sz="0" w:space="0"/>
              <w:right w:val="single" w:color="000000" w:sz="4" w:space="0"/>
            </w:tcBorders>
            <w:noWrap w:val="0"/>
            <w:vAlign w:val="center"/>
          </w:tcPr>
          <w:p w14:paraId="1F565273">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学历</w:t>
            </w:r>
          </w:p>
        </w:tc>
        <w:tc>
          <w:tcPr>
            <w:tcW w:w="1598" w:type="dxa"/>
            <w:tcBorders>
              <w:left w:val="single" w:color="000000" w:sz="4" w:space="0"/>
              <w:bottom w:val="double" w:color="000000" w:sz="0" w:space="0"/>
              <w:right w:val="single" w:color="000000" w:sz="4" w:space="0"/>
            </w:tcBorders>
            <w:noWrap w:val="0"/>
            <w:vAlign w:val="center"/>
          </w:tcPr>
          <w:p w14:paraId="1053685A">
            <w:pPr>
              <w:keepNext w:val="0"/>
              <w:keepLines w:val="0"/>
              <w:widowControl/>
              <w:suppressLineNumbers w:val="0"/>
              <w:spacing w:before="0" w:beforeAutospacing="0" w:after="0" w:afterAutospacing="0"/>
              <w:ind w:left="0" w:right="0"/>
              <w:jc w:val="center"/>
              <w:rPr>
                <w:rFonts w:hint="eastAsia" w:ascii="宋体" w:hAnsi="宋体" w:eastAsia="宋体" w:cs="宋体"/>
                <w:color w:val="auto"/>
                <w:highlight w:val="none"/>
                <w:lang w:val="en-US" w:eastAsia="zh-CN"/>
              </w:rPr>
            </w:pPr>
            <w:r>
              <w:rPr>
                <w:rFonts w:ascii="宋体" w:hAnsi="宋体" w:eastAsia="宋体" w:cs="宋体"/>
                <w:color w:val="auto"/>
                <w:highlight w:val="none"/>
              </w:rPr>
              <w:t>经验年限</w:t>
            </w:r>
          </w:p>
        </w:tc>
        <w:tc>
          <w:tcPr>
            <w:tcW w:w="1080" w:type="dxa"/>
            <w:tcBorders>
              <w:left w:val="single" w:color="000000" w:sz="4" w:space="0"/>
              <w:bottom w:val="double" w:color="000000" w:sz="0" w:space="0"/>
              <w:right w:val="single" w:color="000000" w:sz="4" w:space="0"/>
            </w:tcBorders>
            <w:noWrap w:val="0"/>
            <w:vAlign w:val="center"/>
          </w:tcPr>
          <w:p w14:paraId="760D17BF">
            <w:pPr>
              <w:keepNext w:val="0"/>
              <w:keepLines w:val="0"/>
              <w:widowControl/>
              <w:suppressLineNumbers w:val="0"/>
              <w:spacing w:before="0" w:beforeAutospacing="0" w:after="0" w:afterAutospacing="0"/>
              <w:ind w:left="0" w:right="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联系电话</w:t>
            </w:r>
          </w:p>
        </w:tc>
        <w:tc>
          <w:tcPr>
            <w:tcW w:w="1560" w:type="dxa"/>
            <w:tcBorders>
              <w:left w:val="single" w:color="000000" w:sz="4" w:space="0"/>
              <w:bottom w:val="double" w:color="000000" w:sz="0" w:space="0"/>
            </w:tcBorders>
            <w:noWrap w:val="0"/>
            <w:vAlign w:val="center"/>
          </w:tcPr>
          <w:p w14:paraId="08320FF6">
            <w:pPr>
              <w:keepNext w:val="0"/>
              <w:keepLines w:val="0"/>
              <w:widowControl/>
              <w:suppressLineNumbers w:val="0"/>
              <w:spacing w:before="0" w:beforeAutospacing="0" w:after="0" w:afterAutospacing="0"/>
              <w:ind w:left="0" w:right="0"/>
              <w:jc w:val="center"/>
              <w:rPr>
                <w:rFonts w:ascii="宋体" w:hAnsi="宋体" w:eastAsia="宋体" w:cs="宋体"/>
                <w:color w:val="auto"/>
                <w:highlight w:val="none"/>
              </w:rPr>
            </w:pPr>
            <w:r>
              <w:rPr>
                <w:rFonts w:ascii="宋体" w:hAnsi="宋体" w:eastAsia="宋体" w:cs="宋体"/>
                <w:color w:val="auto"/>
                <w:highlight w:val="none"/>
              </w:rPr>
              <w:t>拟担任职务或承担工作内容</w:t>
            </w:r>
          </w:p>
        </w:tc>
      </w:tr>
      <w:tr w14:paraId="766B36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21" w:hRule="atLeast"/>
          <w:jc w:val="center"/>
        </w:trPr>
        <w:tc>
          <w:tcPr>
            <w:tcW w:w="588" w:type="dxa"/>
            <w:tcBorders>
              <w:top w:val="double" w:color="000000" w:sz="0" w:space="0"/>
              <w:bottom w:val="single" w:color="000000" w:sz="4" w:space="0"/>
              <w:right w:val="single" w:color="000000" w:sz="4" w:space="0"/>
            </w:tcBorders>
            <w:noWrap w:val="0"/>
            <w:vAlign w:val="top"/>
          </w:tcPr>
          <w:p w14:paraId="246D9BC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80" w:type="dxa"/>
            <w:tcBorders>
              <w:top w:val="double" w:color="000000" w:sz="0" w:space="0"/>
              <w:left w:val="single" w:color="000000" w:sz="4" w:space="0"/>
              <w:bottom w:val="single" w:color="000000" w:sz="4" w:space="0"/>
              <w:right w:val="single" w:color="000000" w:sz="4" w:space="0"/>
            </w:tcBorders>
            <w:noWrap w:val="0"/>
            <w:vAlign w:val="top"/>
          </w:tcPr>
          <w:p w14:paraId="1167DAB6">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80" w:type="dxa"/>
            <w:tcBorders>
              <w:top w:val="double" w:color="000000" w:sz="0" w:space="0"/>
              <w:left w:val="single" w:color="000000" w:sz="4" w:space="0"/>
              <w:bottom w:val="single" w:color="000000" w:sz="4" w:space="0"/>
              <w:right w:val="single" w:color="000000" w:sz="4" w:space="0"/>
            </w:tcBorders>
            <w:noWrap w:val="0"/>
            <w:vAlign w:val="top"/>
          </w:tcPr>
          <w:p w14:paraId="576C6D7D">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77" w:type="dxa"/>
            <w:tcBorders>
              <w:top w:val="double" w:color="000000" w:sz="0" w:space="0"/>
              <w:left w:val="single" w:color="000000" w:sz="4" w:space="0"/>
              <w:bottom w:val="single" w:color="000000" w:sz="4" w:space="0"/>
              <w:right w:val="single" w:color="000000" w:sz="4" w:space="0"/>
            </w:tcBorders>
            <w:noWrap w:val="0"/>
            <w:vAlign w:val="top"/>
          </w:tcPr>
          <w:p w14:paraId="31BB787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863" w:type="dxa"/>
            <w:tcBorders>
              <w:top w:val="double" w:color="000000" w:sz="0" w:space="0"/>
              <w:left w:val="single" w:color="000000" w:sz="4" w:space="0"/>
              <w:bottom w:val="single" w:color="000000" w:sz="4" w:space="0"/>
              <w:right w:val="single" w:color="000000" w:sz="4" w:space="0"/>
            </w:tcBorders>
            <w:noWrap w:val="0"/>
            <w:vAlign w:val="top"/>
          </w:tcPr>
          <w:p w14:paraId="10B66E2F">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98" w:type="dxa"/>
            <w:tcBorders>
              <w:top w:val="double" w:color="000000" w:sz="0" w:space="0"/>
              <w:left w:val="single" w:color="000000" w:sz="4" w:space="0"/>
              <w:bottom w:val="single" w:color="000000" w:sz="4" w:space="0"/>
              <w:right w:val="single" w:color="000000" w:sz="4" w:space="0"/>
            </w:tcBorders>
            <w:noWrap w:val="0"/>
            <w:vAlign w:val="top"/>
          </w:tcPr>
          <w:p w14:paraId="73EF515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080" w:type="dxa"/>
            <w:tcBorders>
              <w:top w:val="double" w:color="000000" w:sz="0" w:space="0"/>
              <w:left w:val="single" w:color="000000" w:sz="4" w:space="0"/>
              <w:bottom w:val="single" w:color="000000" w:sz="4" w:space="0"/>
              <w:right w:val="single" w:color="000000" w:sz="4" w:space="0"/>
            </w:tcBorders>
            <w:noWrap w:val="0"/>
            <w:vAlign w:val="top"/>
          </w:tcPr>
          <w:p w14:paraId="7595AF60">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60" w:type="dxa"/>
            <w:tcBorders>
              <w:top w:val="double" w:color="000000" w:sz="0" w:space="0"/>
              <w:left w:val="single" w:color="000000" w:sz="4" w:space="0"/>
              <w:bottom w:val="single" w:color="000000" w:sz="4" w:space="0"/>
            </w:tcBorders>
            <w:noWrap w:val="0"/>
            <w:vAlign w:val="top"/>
          </w:tcPr>
          <w:p w14:paraId="2A664841">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06D47C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19" w:hRule="atLeast"/>
          <w:jc w:val="center"/>
        </w:trPr>
        <w:tc>
          <w:tcPr>
            <w:tcW w:w="588" w:type="dxa"/>
            <w:tcBorders>
              <w:top w:val="single" w:color="000000" w:sz="4" w:space="0"/>
              <w:bottom w:val="single" w:color="000000" w:sz="4" w:space="0"/>
              <w:right w:val="single" w:color="000000" w:sz="4" w:space="0"/>
            </w:tcBorders>
            <w:noWrap w:val="0"/>
            <w:vAlign w:val="top"/>
          </w:tcPr>
          <w:p w14:paraId="6E381E81">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top"/>
          </w:tcPr>
          <w:p w14:paraId="40A56258">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80" w:type="dxa"/>
            <w:tcBorders>
              <w:top w:val="single" w:color="000000" w:sz="4" w:space="0"/>
              <w:left w:val="single" w:color="000000" w:sz="4" w:space="0"/>
              <w:bottom w:val="single" w:color="000000" w:sz="4" w:space="0"/>
              <w:right w:val="single" w:color="000000" w:sz="4" w:space="0"/>
            </w:tcBorders>
            <w:noWrap w:val="0"/>
            <w:vAlign w:val="top"/>
          </w:tcPr>
          <w:p w14:paraId="5A8D391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14:paraId="4A5BD02F">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0F4861C3">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98" w:type="dxa"/>
            <w:tcBorders>
              <w:top w:val="single" w:color="000000" w:sz="4" w:space="0"/>
              <w:left w:val="single" w:color="000000" w:sz="4" w:space="0"/>
              <w:bottom w:val="single" w:color="000000" w:sz="4" w:space="0"/>
              <w:right w:val="single" w:color="000000" w:sz="4" w:space="0"/>
            </w:tcBorders>
            <w:noWrap w:val="0"/>
            <w:vAlign w:val="top"/>
          </w:tcPr>
          <w:p w14:paraId="792CFACA">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0255BAD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60" w:type="dxa"/>
            <w:tcBorders>
              <w:top w:val="single" w:color="000000" w:sz="4" w:space="0"/>
              <w:left w:val="single" w:color="000000" w:sz="4" w:space="0"/>
              <w:bottom w:val="single" w:color="000000" w:sz="4" w:space="0"/>
            </w:tcBorders>
            <w:noWrap w:val="0"/>
            <w:vAlign w:val="top"/>
          </w:tcPr>
          <w:p w14:paraId="64CFC117">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5165B9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20" w:hRule="atLeast"/>
          <w:jc w:val="center"/>
        </w:trPr>
        <w:tc>
          <w:tcPr>
            <w:tcW w:w="588" w:type="dxa"/>
            <w:tcBorders>
              <w:top w:val="single" w:color="000000" w:sz="4" w:space="0"/>
              <w:bottom w:val="single" w:color="000000" w:sz="4" w:space="0"/>
              <w:right w:val="single" w:color="000000" w:sz="4" w:space="0"/>
            </w:tcBorders>
            <w:noWrap w:val="0"/>
            <w:vAlign w:val="top"/>
          </w:tcPr>
          <w:p w14:paraId="290116E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top"/>
          </w:tcPr>
          <w:p w14:paraId="38D577FD">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80" w:type="dxa"/>
            <w:tcBorders>
              <w:top w:val="single" w:color="000000" w:sz="4" w:space="0"/>
              <w:left w:val="single" w:color="000000" w:sz="4" w:space="0"/>
              <w:bottom w:val="single" w:color="000000" w:sz="4" w:space="0"/>
              <w:right w:val="single" w:color="000000" w:sz="4" w:space="0"/>
            </w:tcBorders>
            <w:noWrap w:val="0"/>
            <w:vAlign w:val="top"/>
          </w:tcPr>
          <w:p w14:paraId="3E980741">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14:paraId="3ADFD5E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3160DE1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98" w:type="dxa"/>
            <w:tcBorders>
              <w:top w:val="single" w:color="000000" w:sz="4" w:space="0"/>
              <w:left w:val="single" w:color="000000" w:sz="4" w:space="0"/>
              <w:bottom w:val="single" w:color="000000" w:sz="4" w:space="0"/>
              <w:right w:val="single" w:color="000000" w:sz="4" w:space="0"/>
            </w:tcBorders>
            <w:noWrap w:val="0"/>
            <w:vAlign w:val="top"/>
          </w:tcPr>
          <w:p w14:paraId="6A4E0C2F">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571E8A14">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60" w:type="dxa"/>
            <w:tcBorders>
              <w:top w:val="single" w:color="000000" w:sz="4" w:space="0"/>
              <w:left w:val="single" w:color="000000" w:sz="4" w:space="0"/>
              <w:bottom w:val="single" w:color="000000" w:sz="4" w:space="0"/>
            </w:tcBorders>
            <w:noWrap w:val="0"/>
            <w:vAlign w:val="top"/>
          </w:tcPr>
          <w:p w14:paraId="47D7ADBB">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6F2DB8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19" w:hRule="atLeast"/>
          <w:jc w:val="center"/>
        </w:trPr>
        <w:tc>
          <w:tcPr>
            <w:tcW w:w="588" w:type="dxa"/>
            <w:tcBorders>
              <w:top w:val="single" w:color="000000" w:sz="4" w:space="0"/>
              <w:bottom w:val="single" w:color="000000" w:sz="4" w:space="0"/>
              <w:right w:val="single" w:color="000000" w:sz="4" w:space="0"/>
            </w:tcBorders>
            <w:noWrap w:val="0"/>
            <w:vAlign w:val="top"/>
          </w:tcPr>
          <w:p w14:paraId="03129DC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top"/>
          </w:tcPr>
          <w:p w14:paraId="3B6D7323">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80" w:type="dxa"/>
            <w:tcBorders>
              <w:top w:val="single" w:color="000000" w:sz="4" w:space="0"/>
              <w:left w:val="single" w:color="000000" w:sz="4" w:space="0"/>
              <w:bottom w:val="single" w:color="000000" w:sz="4" w:space="0"/>
              <w:right w:val="single" w:color="000000" w:sz="4" w:space="0"/>
            </w:tcBorders>
            <w:noWrap w:val="0"/>
            <w:vAlign w:val="top"/>
          </w:tcPr>
          <w:p w14:paraId="42683DFB">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14:paraId="640C9964">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7B2E7331">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98" w:type="dxa"/>
            <w:tcBorders>
              <w:top w:val="single" w:color="000000" w:sz="4" w:space="0"/>
              <w:left w:val="single" w:color="000000" w:sz="4" w:space="0"/>
              <w:bottom w:val="single" w:color="000000" w:sz="4" w:space="0"/>
              <w:right w:val="single" w:color="000000" w:sz="4" w:space="0"/>
            </w:tcBorders>
            <w:noWrap w:val="0"/>
            <w:vAlign w:val="top"/>
          </w:tcPr>
          <w:p w14:paraId="05050FCF">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3F1B4BE1">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60" w:type="dxa"/>
            <w:tcBorders>
              <w:top w:val="single" w:color="000000" w:sz="4" w:space="0"/>
              <w:left w:val="single" w:color="000000" w:sz="4" w:space="0"/>
              <w:bottom w:val="single" w:color="000000" w:sz="4" w:space="0"/>
            </w:tcBorders>
            <w:noWrap w:val="0"/>
            <w:vAlign w:val="top"/>
          </w:tcPr>
          <w:p w14:paraId="08AC789E">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3C28908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19" w:hRule="atLeast"/>
          <w:jc w:val="center"/>
        </w:trPr>
        <w:tc>
          <w:tcPr>
            <w:tcW w:w="588" w:type="dxa"/>
            <w:tcBorders>
              <w:top w:val="single" w:color="000000" w:sz="4" w:space="0"/>
              <w:bottom w:val="single" w:color="000000" w:sz="4" w:space="0"/>
              <w:right w:val="single" w:color="000000" w:sz="4" w:space="0"/>
            </w:tcBorders>
            <w:noWrap w:val="0"/>
            <w:vAlign w:val="top"/>
          </w:tcPr>
          <w:p w14:paraId="3F19132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top"/>
          </w:tcPr>
          <w:p w14:paraId="71C695F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80" w:type="dxa"/>
            <w:tcBorders>
              <w:top w:val="single" w:color="000000" w:sz="4" w:space="0"/>
              <w:left w:val="single" w:color="000000" w:sz="4" w:space="0"/>
              <w:bottom w:val="single" w:color="000000" w:sz="4" w:space="0"/>
              <w:right w:val="single" w:color="000000" w:sz="4" w:space="0"/>
            </w:tcBorders>
            <w:noWrap w:val="0"/>
            <w:vAlign w:val="top"/>
          </w:tcPr>
          <w:p w14:paraId="36C8AC6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14:paraId="765D91C9">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327ABB9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98" w:type="dxa"/>
            <w:tcBorders>
              <w:top w:val="single" w:color="000000" w:sz="4" w:space="0"/>
              <w:left w:val="single" w:color="000000" w:sz="4" w:space="0"/>
              <w:bottom w:val="single" w:color="000000" w:sz="4" w:space="0"/>
              <w:right w:val="single" w:color="000000" w:sz="4" w:space="0"/>
            </w:tcBorders>
            <w:noWrap w:val="0"/>
            <w:vAlign w:val="top"/>
          </w:tcPr>
          <w:p w14:paraId="200F91C0">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2D293C5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60" w:type="dxa"/>
            <w:tcBorders>
              <w:top w:val="single" w:color="000000" w:sz="4" w:space="0"/>
              <w:left w:val="single" w:color="000000" w:sz="4" w:space="0"/>
              <w:bottom w:val="single" w:color="000000" w:sz="4" w:space="0"/>
            </w:tcBorders>
            <w:noWrap w:val="0"/>
            <w:vAlign w:val="top"/>
          </w:tcPr>
          <w:p w14:paraId="60F2313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241082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19" w:hRule="atLeast"/>
          <w:jc w:val="center"/>
        </w:trPr>
        <w:tc>
          <w:tcPr>
            <w:tcW w:w="588" w:type="dxa"/>
            <w:tcBorders>
              <w:top w:val="single" w:color="000000" w:sz="4" w:space="0"/>
              <w:bottom w:val="single" w:color="000000" w:sz="4" w:space="0"/>
              <w:right w:val="single" w:color="000000" w:sz="4" w:space="0"/>
            </w:tcBorders>
            <w:noWrap w:val="0"/>
            <w:vAlign w:val="top"/>
          </w:tcPr>
          <w:p w14:paraId="164B9E58">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top"/>
          </w:tcPr>
          <w:p w14:paraId="4E05EE77">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80" w:type="dxa"/>
            <w:tcBorders>
              <w:top w:val="single" w:color="000000" w:sz="4" w:space="0"/>
              <w:left w:val="single" w:color="000000" w:sz="4" w:space="0"/>
              <w:bottom w:val="single" w:color="000000" w:sz="4" w:space="0"/>
              <w:right w:val="single" w:color="000000" w:sz="4" w:space="0"/>
            </w:tcBorders>
            <w:noWrap w:val="0"/>
            <w:vAlign w:val="top"/>
          </w:tcPr>
          <w:p w14:paraId="71414A6E">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14:paraId="7CA4DDAE">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06970543">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98" w:type="dxa"/>
            <w:tcBorders>
              <w:top w:val="single" w:color="000000" w:sz="4" w:space="0"/>
              <w:left w:val="single" w:color="000000" w:sz="4" w:space="0"/>
              <w:bottom w:val="single" w:color="000000" w:sz="4" w:space="0"/>
              <w:right w:val="single" w:color="000000" w:sz="4" w:space="0"/>
            </w:tcBorders>
            <w:noWrap w:val="0"/>
            <w:vAlign w:val="top"/>
          </w:tcPr>
          <w:p w14:paraId="321541DD">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0C1688D6">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60" w:type="dxa"/>
            <w:tcBorders>
              <w:top w:val="single" w:color="000000" w:sz="4" w:space="0"/>
              <w:left w:val="single" w:color="000000" w:sz="4" w:space="0"/>
              <w:bottom w:val="single" w:color="000000" w:sz="4" w:space="0"/>
            </w:tcBorders>
            <w:noWrap w:val="0"/>
            <w:vAlign w:val="top"/>
          </w:tcPr>
          <w:p w14:paraId="495BB0BA">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1AD0C18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22" w:hRule="atLeast"/>
          <w:jc w:val="center"/>
        </w:trPr>
        <w:tc>
          <w:tcPr>
            <w:tcW w:w="588" w:type="dxa"/>
            <w:tcBorders>
              <w:top w:val="single" w:color="000000" w:sz="4" w:space="0"/>
              <w:bottom w:val="single" w:color="000000" w:sz="4" w:space="0"/>
              <w:right w:val="single" w:color="000000" w:sz="4" w:space="0"/>
            </w:tcBorders>
            <w:noWrap w:val="0"/>
            <w:vAlign w:val="top"/>
          </w:tcPr>
          <w:p w14:paraId="79986886">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top"/>
          </w:tcPr>
          <w:p w14:paraId="4615FECA">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80" w:type="dxa"/>
            <w:tcBorders>
              <w:top w:val="single" w:color="000000" w:sz="4" w:space="0"/>
              <w:left w:val="single" w:color="000000" w:sz="4" w:space="0"/>
              <w:bottom w:val="single" w:color="000000" w:sz="4" w:space="0"/>
              <w:right w:val="single" w:color="000000" w:sz="4" w:space="0"/>
            </w:tcBorders>
            <w:noWrap w:val="0"/>
            <w:vAlign w:val="top"/>
          </w:tcPr>
          <w:p w14:paraId="7296D662">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14:paraId="4B1E6744">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479D2E67">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98" w:type="dxa"/>
            <w:tcBorders>
              <w:top w:val="single" w:color="000000" w:sz="4" w:space="0"/>
              <w:left w:val="single" w:color="000000" w:sz="4" w:space="0"/>
              <w:bottom w:val="single" w:color="000000" w:sz="4" w:space="0"/>
              <w:right w:val="single" w:color="000000" w:sz="4" w:space="0"/>
            </w:tcBorders>
            <w:noWrap w:val="0"/>
            <w:vAlign w:val="top"/>
          </w:tcPr>
          <w:p w14:paraId="127BBC76">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0FF388D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60" w:type="dxa"/>
            <w:tcBorders>
              <w:top w:val="single" w:color="000000" w:sz="4" w:space="0"/>
              <w:left w:val="single" w:color="000000" w:sz="4" w:space="0"/>
              <w:bottom w:val="single" w:color="000000" w:sz="4" w:space="0"/>
            </w:tcBorders>
            <w:noWrap w:val="0"/>
            <w:vAlign w:val="top"/>
          </w:tcPr>
          <w:p w14:paraId="652FAC67">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r w14:paraId="2B719B4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17" w:hRule="atLeast"/>
          <w:jc w:val="center"/>
        </w:trPr>
        <w:tc>
          <w:tcPr>
            <w:tcW w:w="588" w:type="dxa"/>
            <w:tcBorders>
              <w:top w:val="single" w:color="000000" w:sz="4" w:space="0"/>
              <w:right w:val="single" w:color="000000" w:sz="4" w:space="0"/>
            </w:tcBorders>
            <w:noWrap w:val="0"/>
            <w:vAlign w:val="top"/>
          </w:tcPr>
          <w:p w14:paraId="620B6130">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180" w:type="dxa"/>
            <w:tcBorders>
              <w:top w:val="single" w:color="000000" w:sz="4" w:space="0"/>
              <w:left w:val="single" w:color="000000" w:sz="4" w:space="0"/>
              <w:right w:val="single" w:color="000000" w:sz="4" w:space="0"/>
            </w:tcBorders>
            <w:noWrap w:val="0"/>
            <w:vAlign w:val="top"/>
          </w:tcPr>
          <w:p w14:paraId="5E50F055">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80" w:type="dxa"/>
            <w:tcBorders>
              <w:top w:val="single" w:color="000000" w:sz="4" w:space="0"/>
              <w:left w:val="single" w:color="000000" w:sz="4" w:space="0"/>
              <w:right w:val="single" w:color="000000" w:sz="4" w:space="0"/>
            </w:tcBorders>
            <w:noWrap w:val="0"/>
            <w:vAlign w:val="top"/>
          </w:tcPr>
          <w:p w14:paraId="63E3960A">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777" w:type="dxa"/>
            <w:tcBorders>
              <w:top w:val="single" w:color="000000" w:sz="4" w:space="0"/>
              <w:left w:val="single" w:color="000000" w:sz="4" w:space="0"/>
              <w:right w:val="single" w:color="000000" w:sz="4" w:space="0"/>
            </w:tcBorders>
            <w:noWrap w:val="0"/>
            <w:vAlign w:val="top"/>
          </w:tcPr>
          <w:p w14:paraId="743FD2B6">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863" w:type="dxa"/>
            <w:tcBorders>
              <w:top w:val="single" w:color="000000" w:sz="4" w:space="0"/>
              <w:left w:val="single" w:color="000000" w:sz="4" w:space="0"/>
              <w:right w:val="single" w:color="000000" w:sz="4" w:space="0"/>
            </w:tcBorders>
            <w:noWrap w:val="0"/>
            <w:vAlign w:val="top"/>
          </w:tcPr>
          <w:p w14:paraId="52BAF58C">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98" w:type="dxa"/>
            <w:tcBorders>
              <w:top w:val="single" w:color="000000" w:sz="4" w:space="0"/>
              <w:left w:val="single" w:color="000000" w:sz="4" w:space="0"/>
              <w:right w:val="single" w:color="000000" w:sz="4" w:space="0"/>
            </w:tcBorders>
            <w:noWrap w:val="0"/>
            <w:vAlign w:val="top"/>
          </w:tcPr>
          <w:p w14:paraId="59E614AF">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080" w:type="dxa"/>
            <w:tcBorders>
              <w:top w:val="single" w:color="000000" w:sz="4" w:space="0"/>
              <w:left w:val="single" w:color="000000" w:sz="4" w:space="0"/>
              <w:right w:val="single" w:color="000000" w:sz="4" w:space="0"/>
            </w:tcBorders>
            <w:noWrap w:val="0"/>
            <w:vAlign w:val="top"/>
          </w:tcPr>
          <w:p w14:paraId="297F6B81">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c>
          <w:tcPr>
            <w:tcW w:w="1560" w:type="dxa"/>
            <w:tcBorders>
              <w:top w:val="single" w:color="000000" w:sz="4" w:space="0"/>
              <w:left w:val="single" w:color="000000" w:sz="4" w:space="0"/>
            </w:tcBorders>
            <w:noWrap w:val="0"/>
            <w:vAlign w:val="top"/>
          </w:tcPr>
          <w:p w14:paraId="5BEECD59">
            <w:pPr>
              <w:pStyle w:val="27"/>
              <w:keepNext w:val="0"/>
              <w:keepLines w:val="0"/>
              <w:widowControl/>
              <w:suppressLineNumbers w:val="0"/>
              <w:spacing w:before="0" w:beforeAutospacing="0" w:afterAutospacing="0"/>
              <w:ind w:left="0" w:right="0"/>
              <w:rPr>
                <w:rFonts w:ascii="宋体" w:hAnsi="宋体" w:eastAsia="宋体" w:cs="宋体"/>
                <w:color w:val="auto"/>
                <w:sz w:val="20"/>
                <w:highlight w:val="none"/>
              </w:rPr>
            </w:pPr>
          </w:p>
        </w:tc>
      </w:tr>
    </w:tbl>
    <w:p w14:paraId="65E17BC8">
      <w:pPr>
        <w:snapToGrid w:val="0"/>
        <w:spacing w:line="360" w:lineRule="auto"/>
        <w:ind w:firstLine="206"/>
        <w:textAlignment w:val="baseline"/>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注：按附表3</w:t>
      </w:r>
      <w:r>
        <w:rPr>
          <w:rFonts w:ascii="宋体" w:hAnsi="宋体" w:eastAsia="宋体" w:cs="宋体"/>
          <w:b w:val="0"/>
          <w:bCs w:val="0"/>
          <w:color w:val="auto"/>
          <w:sz w:val="22"/>
          <w:szCs w:val="22"/>
          <w:highlight w:val="none"/>
        </w:rPr>
        <w:t>评审标准和方法</w:t>
      </w:r>
      <w:r>
        <w:rPr>
          <w:rFonts w:hint="eastAsia" w:ascii="宋体" w:hAnsi="宋体" w:eastAsia="宋体" w:cs="宋体"/>
          <w:b w:val="0"/>
          <w:bCs w:val="0"/>
          <w:color w:val="auto"/>
          <w:sz w:val="22"/>
          <w:szCs w:val="22"/>
          <w:highlight w:val="none"/>
          <w:lang w:val="en-US" w:eastAsia="zh-CN"/>
        </w:rPr>
        <w:t>有关要求提供材料（如有）。</w:t>
      </w:r>
    </w:p>
    <w:p w14:paraId="4FE9C9E6">
      <w:pPr>
        <w:snapToGrid w:val="0"/>
        <w:rPr>
          <w:rFonts w:ascii="宋体" w:hAnsi="宋体" w:eastAsia="宋体" w:cs="宋体"/>
          <w:color w:val="auto"/>
          <w:highlight w:val="none"/>
        </w:rPr>
      </w:pPr>
    </w:p>
    <w:p w14:paraId="42D94636">
      <w:pPr>
        <w:keepNext w:val="0"/>
        <w:keepLines w:val="0"/>
        <w:pageBreakBefore w:val="0"/>
        <w:kinsoku/>
        <w:wordWrap/>
        <w:overflowPunct/>
        <w:topLinePunct w:val="0"/>
        <w:autoSpaceDE/>
        <w:autoSpaceDN/>
        <w:bidi w:val="0"/>
        <w:adjustRightInd/>
        <w:snapToGrid/>
        <w:spacing w:after="0" w:line="480" w:lineRule="auto"/>
        <w:textAlignment w:val="auto"/>
        <w:rPr>
          <w:rFonts w:ascii="宋体" w:hAnsi="宋体" w:eastAsia="宋体" w:cs="宋体"/>
          <w:color w:val="auto"/>
          <w:highlight w:val="none"/>
        </w:rPr>
      </w:pPr>
    </w:p>
    <w:p w14:paraId="62DFE43A">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zh-TW"/>
        </w:rPr>
        <w:t>供应商名称</w:t>
      </w:r>
      <w:r>
        <w:rPr>
          <w:rFonts w:hint="eastAsia" w:ascii="宋体" w:hAnsi="宋体" w:eastAsia="宋体" w:cs="宋体"/>
          <w:color w:val="auto"/>
          <w:sz w:val="24"/>
          <w:szCs w:val="24"/>
          <w:highlight w:val="none"/>
          <w:lang w:val="zh-TW" w:eastAsia="zh-TW"/>
        </w:rPr>
        <w:t>（盖</w:t>
      </w:r>
      <w:r>
        <w:rPr>
          <w:rFonts w:hint="eastAsia" w:cs="宋体"/>
          <w:color w:val="auto"/>
          <w:sz w:val="24"/>
          <w:szCs w:val="24"/>
          <w:highlight w:val="none"/>
          <w:lang w:val="en-US" w:eastAsia="zh-CN"/>
        </w:rPr>
        <w:t>公</w:t>
      </w:r>
      <w:r>
        <w:rPr>
          <w:rFonts w:hint="eastAsia" w:ascii="宋体" w:hAnsi="宋体" w:eastAsia="宋体" w:cs="宋体"/>
          <w:color w:val="auto"/>
          <w:sz w:val="24"/>
          <w:szCs w:val="24"/>
          <w:highlight w:val="none"/>
          <w:lang w:val="zh-TW" w:eastAsia="zh-TW"/>
        </w:rPr>
        <w:t>章）</w:t>
      </w:r>
      <w:r>
        <w:rPr>
          <w:color w:val="auto"/>
          <w:sz w:val="24"/>
          <w:szCs w:val="24"/>
          <w:highlight w:val="none"/>
          <w:lang w:val="zh-TW" w:eastAsia="zh-TW"/>
        </w:rPr>
        <w:t>：</w:t>
      </w:r>
      <w:r>
        <w:rPr>
          <w:color w:val="auto"/>
          <w:sz w:val="24"/>
          <w:szCs w:val="24"/>
          <w:highlight w:val="none"/>
          <w:u w:val="single"/>
        </w:rPr>
        <w:tab/>
      </w:r>
    </w:p>
    <w:p w14:paraId="0C548822">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textAlignment w:val="auto"/>
        <w:rPr>
          <w:rFonts w:ascii="宋体" w:hAnsi="宋体" w:eastAsia="宋体" w:cs="宋体"/>
          <w:color w:val="auto"/>
          <w:sz w:val="24"/>
          <w:szCs w:val="24"/>
          <w:highlight w:val="none"/>
        </w:rPr>
      </w:pPr>
    </w:p>
    <w:p w14:paraId="272A960E">
      <w:pPr>
        <w:pStyle w:val="10"/>
        <w:keepNext w:val="0"/>
        <w:keepLines w:val="0"/>
        <w:pageBreakBefore w:val="0"/>
        <w:widowControl w:val="0"/>
        <w:tabs>
          <w:tab w:val="left" w:pos="5580"/>
        </w:tabs>
        <w:kinsoku/>
        <w:wordWrap/>
        <w:overflowPunct/>
        <w:topLinePunct w:val="0"/>
        <w:autoSpaceDE/>
        <w:autoSpaceDN/>
        <w:bidi w:val="0"/>
        <w:adjustRightInd/>
        <w:snapToGrid/>
        <w:spacing w:after="0" w:line="360" w:lineRule="auto"/>
        <w:textAlignment w:val="auto"/>
        <w:rPr>
          <w:color w:val="auto"/>
          <w:sz w:val="24"/>
          <w:szCs w:val="24"/>
          <w:highlight w:val="none"/>
        </w:rPr>
      </w:pPr>
      <w:r>
        <w:rPr>
          <w:rFonts w:ascii="宋体" w:hAnsi="宋体" w:eastAsia="宋体" w:cs="宋体"/>
          <w:color w:val="auto"/>
          <w:sz w:val="24"/>
          <w:szCs w:val="24"/>
          <w:highlight w:val="none"/>
        </w:rPr>
        <w:t>法定代表人或授权代表</w:t>
      </w:r>
      <w:r>
        <w:rPr>
          <w:rFonts w:hint="eastAsia" w:cs="宋体"/>
          <w:color w:val="auto"/>
          <w:sz w:val="24"/>
          <w:szCs w:val="24"/>
          <w:highlight w:val="none"/>
          <w:lang w:val="zh-TW" w:eastAsia="zh-CN"/>
        </w:rPr>
        <w:t>（</w:t>
      </w:r>
      <w:r>
        <w:rPr>
          <w:rFonts w:hint="eastAsia" w:cs="宋体"/>
          <w:color w:val="auto"/>
          <w:sz w:val="24"/>
          <w:szCs w:val="24"/>
          <w:highlight w:val="none"/>
          <w:lang w:val="en-US" w:eastAsia="zh-CN"/>
        </w:rPr>
        <w:t>签字或私章）：</w:t>
      </w:r>
      <w:r>
        <w:rPr>
          <w:color w:val="auto"/>
          <w:sz w:val="24"/>
          <w:szCs w:val="24"/>
          <w:highlight w:val="none"/>
          <w:u w:val="single"/>
        </w:rPr>
        <w:tab/>
      </w:r>
    </w:p>
    <w:p w14:paraId="748FB6B5">
      <w:pPr>
        <w:rPr>
          <w:rFonts w:ascii="宋体" w:hAnsi="宋体" w:eastAsia="宋体" w:cs="宋体"/>
          <w:color w:val="auto"/>
          <w:highlight w:val="none"/>
        </w:rPr>
      </w:pPr>
    </w:p>
    <w:p w14:paraId="233BCAEF">
      <w:pPr>
        <w:rPr>
          <w:rFonts w:ascii="宋体" w:hAnsi="宋体" w:eastAsia="宋体" w:cs="宋体"/>
          <w:color w:val="auto"/>
          <w:highlight w:val="none"/>
        </w:rPr>
      </w:pPr>
    </w:p>
    <w:p w14:paraId="5C22E40F">
      <w:pPr>
        <w:rPr>
          <w:rFonts w:ascii="宋体" w:hAnsi="宋体" w:eastAsia="宋体" w:cs="宋体"/>
          <w:color w:val="auto"/>
          <w:highlight w:val="none"/>
        </w:rPr>
      </w:pPr>
    </w:p>
    <w:p w14:paraId="04833A0D">
      <w:pPr>
        <w:spacing w:after="0" w:line="430" w:lineRule="exact"/>
        <w:jc w:val="center"/>
        <w:rPr>
          <w:rFonts w:ascii="宋体" w:hAnsi="宋体" w:eastAsia="宋体" w:cs="宋体"/>
          <w:color w:val="auto"/>
          <w:sz w:val="24"/>
          <w:szCs w:val="24"/>
          <w:highlight w:val="none"/>
          <w:lang w:val="zh-TW" w:eastAsia="zh-TW"/>
        </w:rPr>
      </w:pPr>
      <w:r>
        <w:rPr>
          <w:rFonts w:ascii="宋体" w:hAnsi="宋体" w:cs="宋体"/>
          <w:b/>
          <w:color w:val="auto"/>
          <w:sz w:val="24"/>
          <w:szCs w:val="24"/>
          <w:highlight w:val="none"/>
        </w:rPr>
        <w:br w:type="page"/>
      </w:r>
      <w:r>
        <w:rPr>
          <w:rFonts w:ascii="宋体" w:hAnsi="宋体" w:cs="宋体"/>
          <w:b/>
          <w:bCs/>
          <w:color w:val="auto"/>
          <w:kern w:val="2"/>
          <w:sz w:val="32"/>
          <w:szCs w:val="32"/>
          <w:highlight w:val="none"/>
        </w:rPr>
        <w:t>1</w:t>
      </w:r>
      <w:r>
        <w:rPr>
          <w:rFonts w:hint="eastAsia" w:ascii="宋体" w:hAnsi="宋体" w:cs="宋体"/>
          <w:b/>
          <w:bCs/>
          <w:color w:val="auto"/>
          <w:kern w:val="2"/>
          <w:sz w:val="32"/>
          <w:szCs w:val="32"/>
          <w:highlight w:val="none"/>
          <w:lang w:val="en-US" w:eastAsia="zh-CN"/>
        </w:rPr>
        <w:t>0</w:t>
      </w:r>
      <w:r>
        <w:rPr>
          <w:rFonts w:ascii="宋体" w:hAnsi="宋体" w:cs="宋体"/>
          <w:b/>
          <w:bCs/>
          <w:color w:val="auto"/>
          <w:kern w:val="2"/>
          <w:sz w:val="32"/>
          <w:szCs w:val="32"/>
          <w:highlight w:val="none"/>
        </w:rPr>
        <w:t>.</w:t>
      </w:r>
      <w:r>
        <w:rPr>
          <w:rFonts w:hint="eastAsia" w:ascii="宋体" w:hAnsi="宋体" w:eastAsia="宋体" w:cs="宋体"/>
          <w:b/>
          <w:bCs/>
          <w:color w:val="auto"/>
          <w:sz w:val="32"/>
          <w:szCs w:val="32"/>
          <w:highlight w:val="none"/>
          <w:lang w:val="en-US" w:eastAsia="zh-CN"/>
        </w:rPr>
        <w:t>实施方案（格式自拟）</w:t>
      </w:r>
    </w:p>
    <w:p w14:paraId="69AD1B5F">
      <w:pPr>
        <w:tabs>
          <w:tab w:val="left" w:pos="4680"/>
        </w:tabs>
        <w:snapToGrid w:val="0"/>
        <w:spacing w:line="360" w:lineRule="auto"/>
        <w:ind w:firstLine="480" w:firstLineChars="200"/>
        <w:jc w:val="both"/>
        <w:outlineLvl w:val="0"/>
        <w:rPr>
          <w:rFonts w:ascii="宋体" w:hAnsi="宋体" w:eastAsia="宋体" w:cs="宋体"/>
          <w:color w:val="auto"/>
          <w:sz w:val="24"/>
          <w:szCs w:val="24"/>
          <w:highlight w:val="none"/>
        </w:rPr>
      </w:pPr>
      <w:bookmarkStart w:id="46" w:name="_Toc29825"/>
    </w:p>
    <w:bookmarkEnd w:id="46"/>
    <w:p w14:paraId="6EF50415">
      <w:pPr>
        <w:tabs>
          <w:tab w:val="left" w:pos="7800"/>
        </w:tabs>
        <w:spacing w:after="0" w:line="360" w:lineRule="auto"/>
        <w:jc w:val="center"/>
        <w:rPr>
          <w:rFonts w:ascii="宋体" w:hAnsi="宋体" w:eastAsia="宋体" w:cs="宋体"/>
          <w:b/>
          <w:bCs/>
          <w:color w:val="auto"/>
          <w:sz w:val="24"/>
          <w:szCs w:val="24"/>
          <w:highlight w:val="none"/>
        </w:rPr>
      </w:pPr>
      <w:r>
        <w:rPr>
          <w:rFonts w:ascii="宋体" w:hAnsi="宋体" w:eastAsia="宋体" w:cs="宋体"/>
          <w:color w:val="auto"/>
          <w:sz w:val="24"/>
          <w:szCs w:val="24"/>
          <w:highlight w:val="none"/>
          <w:lang w:val="zh-TW" w:eastAsia="zh-TW"/>
        </w:rPr>
        <w:br w:type="page"/>
      </w:r>
      <w:r>
        <w:rPr>
          <w:rFonts w:hint="eastAsia" w:ascii="宋体" w:hAnsi="宋体" w:eastAsia="宋体" w:cs="宋体"/>
          <w:b/>
          <w:bCs/>
          <w:color w:val="auto"/>
          <w:sz w:val="32"/>
          <w:szCs w:val="32"/>
          <w:highlight w:val="none"/>
          <w:lang w:val="zh-TW" w:eastAsia="zh-TW"/>
        </w:rPr>
        <w:t>1</w:t>
      </w:r>
      <w:r>
        <w:rPr>
          <w:rFonts w:hint="eastAsia" w:ascii="宋体" w:hAnsi="宋体" w:eastAsia="宋体" w:cs="宋体"/>
          <w:b/>
          <w:bCs/>
          <w:color w:val="auto"/>
          <w:sz w:val="32"/>
          <w:szCs w:val="32"/>
          <w:highlight w:val="none"/>
          <w:lang w:val="en-US" w:eastAsia="zh-CN"/>
        </w:rPr>
        <w:t>1</w:t>
      </w:r>
      <w:r>
        <w:rPr>
          <w:rFonts w:hint="eastAsia" w:ascii="宋体" w:hAnsi="宋体" w:eastAsia="宋体" w:cs="宋体"/>
          <w:b/>
          <w:bCs/>
          <w:color w:val="auto"/>
          <w:sz w:val="32"/>
          <w:szCs w:val="32"/>
          <w:highlight w:val="none"/>
          <w:lang w:val="zh-TW" w:eastAsia="zh-TW"/>
        </w:rPr>
        <w:t>.</w:t>
      </w:r>
      <w:r>
        <w:rPr>
          <w:rFonts w:ascii="宋体" w:hAnsi="宋体" w:eastAsia="宋体" w:cs="宋体"/>
          <w:b/>
          <w:bCs/>
          <w:color w:val="auto"/>
          <w:sz w:val="32"/>
          <w:szCs w:val="32"/>
          <w:highlight w:val="none"/>
        </w:rPr>
        <w:t>供应商认为需要提供的用于参与评审其他材料</w:t>
      </w:r>
    </w:p>
    <w:p w14:paraId="7F921644">
      <w:pPr>
        <w:keepNext w:val="0"/>
        <w:keepLines w:val="0"/>
        <w:pageBreakBefore w:val="0"/>
        <w:widowControl/>
        <w:kinsoku/>
        <w:wordWrap/>
        <w:overflowPunct/>
        <w:topLinePunct w:val="0"/>
        <w:autoSpaceDE/>
        <w:autoSpaceDN/>
        <w:bidi w:val="0"/>
        <w:adjustRightInd/>
        <w:snapToGrid/>
        <w:spacing w:before="157" w:beforeLines="50" w:after="157" w:afterLines="50" w:line="360" w:lineRule="auto"/>
        <w:ind w:left="0" w:leftChars="0" w:firstLine="0" w:firstLineChars="0"/>
        <w:jc w:val="center"/>
        <w:textAlignment w:val="auto"/>
        <w:rPr>
          <w:rFonts w:hint="eastAsia" w:ascii="宋体" w:hAnsi="宋体" w:eastAsia="宋体" w:cs="宋体"/>
          <w:b/>
          <w:color w:val="0000FF"/>
          <w:kern w:val="0"/>
          <w:sz w:val="24"/>
          <w:szCs w:val="24"/>
          <w:highlight w:val="none"/>
          <w:lang w:eastAsia="zh-CN"/>
        </w:rPr>
      </w:pPr>
      <w:r>
        <w:rPr>
          <w:rFonts w:ascii="宋体" w:hAnsi="宋体" w:eastAsia="宋体" w:cs="宋体"/>
          <w:b/>
          <w:bCs/>
          <w:color w:val="auto"/>
          <w:sz w:val="24"/>
          <w:szCs w:val="24"/>
          <w:highlight w:val="none"/>
        </w:rPr>
        <w:br w:type="page"/>
      </w:r>
      <w:bookmarkStart w:id="47" w:name="_Toc26928"/>
      <w:r>
        <w:rPr>
          <w:rStyle w:val="23"/>
          <w:color w:val="auto"/>
          <w:highlight w:val="none"/>
        </w:rPr>
        <w:t xml:space="preserve">第六章  </w:t>
      </w:r>
      <w:bookmarkEnd w:id="47"/>
      <w:r>
        <w:rPr>
          <w:rStyle w:val="23"/>
          <w:rFonts w:hint="eastAsia" w:eastAsia="宋体"/>
          <w:color w:val="auto"/>
          <w:highlight w:val="none"/>
          <w:lang w:eastAsia="zh-CN"/>
        </w:rPr>
        <w:t>招租需求</w:t>
      </w:r>
    </w:p>
    <w:p w14:paraId="74CFD8E0">
      <w:pPr>
        <w:keepNext w:val="0"/>
        <w:keepLines w:val="0"/>
        <w:pageBreakBefore w:val="0"/>
        <w:widowControl w:val="0"/>
        <w:kinsoku/>
        <w:wordWrap/>
        <w:overflowPunct/>
        <w:topLinePunct w:val="0"/>
        <w:autoSpaceDE/>
        <w:autoSpaceDN/>
        <w:bidi w:val="0"/>
        <w:adjustRightInd/>
        <w:snapToGrid/>
        <w:spacing w:after="0" w:line="480" w:lineRule="exact"/>
        <w:ind w:firstLine="482" w:firstLineChars="20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一、项目概况</w:t>
      </w:r>
    </w:p>
    <w:p w14:paraId="47CBD21F">
      <w:pPr>
        <w:keepNext w:val="0"/>
        <w:keepLines w:val="0"/>
        <w:pageBreakBefore w:val="0"/>
        <w:widowControl w:val="0"/>
        <w:kinsoku/>
        <w:wordWrap/>
        <w:overflowPunct/>
        <w:topLinePunct w:val="0"/>
        <w:autoSpaceDE/>
        <w:autoSpaceDN/>
        <w:bidi w:val="0"/>
        <w:adjustRightInd/>
        <w:snapToGrid/>
        <w:spacing w:after="0" w:line="48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1.项目编号：HNPC2026-003。</w:t>
      </w:r>
    </w:p>
    <w:p w14:paraId="2CB5B4E8">
      <w:pPr>
        <w:keepNext w:val="0"/>
        <w:keepLines w:val="0"/>
        <w:pageBreakBefore w:val="0"/>
        <w:widowControl w:val="0"/>
        <w:kinsoku/>
        <w:wordWrap/>
        <w:overflowPunct/>
        <w:topLinePunct w:val="0"/>
        <w:autoSpaceDE/>
        <w:autoSpaceDN/>
        <w:bidi w:val="0"/>
        <w:adjustRightInd/>
        <w:snapToGrid/>
        <w:spacing w:after="0" w:line="48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2.项目名称：橡胶林地改种榴莲及红毛丹等高效农业招租项目二期。</w:t>
      </w:r>
    </w:p>
    <w:p w14:paraId="6B227741">
      <w:pPr>
        <w:keepNext w:val="0"/>
        <w:keepLines w:val="0"/>
        <w:pageBreakBefore w:val="0"/>
        <w:widowControl w:val="0"/>
        <w:kinsoku/>
        <w:wordWrap/>
        <w:overflowPunct/>
        <w:topLinePunct w:val="0"/>
        <w:autoSpaceDE/>
        <w:autoSpaceDN/>
        <w:bidi w:val="0"/>
        <w:adjustRightInd/>
        <w:snapToGrid/>
        <w:spacing w:after="0" w:line="48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3.采购方式：竞争性磋商。</w:t>
      </w:r>
    </w:p>
    <w:p w14:paraId="0F0DC5E4">
      <w:pPr>
        <w:keepNext w:val="0"/>
        <w:keepLines w:val="0"/>
        <w:pageBreakBefore w:val="0"/>
        <w:widowControl w:val="0"/>
        <w:kinsoku/>
        <w:wordWrap/>
        <w:overflowPunct/>
        <w:topLinePunct w:val="0"/>
        <w:autoSpaceDE/>
        <w:autoSpaceDN/>
        <w:bidi w:val="0"/>
        <w:adjustRightInd/>
        <w:snapToGrid/>
        <w:spacing w:after="0" w:line="48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4.林地范围：采购人名下涉及的两类橡胶林地（含已部分承租及未承租地块）</w:t>
      </w:r>
    </w:p>
    <w:p w14:paraId="14F8E165">
      <w:pPr>
        <w:keepNext w:val="0"/>
        <w:keepLines w:val="0"/>
        <w:pageBreakBefore w:val="0"/>
        <w:widowControl w:val="0"/>
        <w:kinsoku/>
        <w:wordWrap/>
        <w:overflowPunct/>
        <w:topLinePunct w:val="0"/>
        <w:autoSpaceDE/>
        <w:autoSpaceDN/>
        <w:bidi w:val="0"/>
        <w:adjustRightInd/>
        <w:snapToGrid/>
        <w:spacing w:after="0" w:line="48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5.种植要求：成交供应商需在承租地内统一种植榴莲、红毛丹等高效农业作物，不得擅自更改种植品种。</w:t>
      </w:r>
    </w:p>
    <w:p w14:paraId="633273B8">
      <w:pPr>
        <w:keepNext w:val="0"/>
        <w:keepLines w:val="0"/>
        <w:pageBreakBefore w:val="0"/>
        <w:widowControl w:val="0"/>
        <w:kinsoku/>
        <w:wordWrap/>
        <w:overflowPunct/>
        <w:topLinePunct w:val="0"/>
        <w:autoSpaceDE/>
        <w:autoSpaceDN/>
        <w:bidi w:val="0"/>
        <w:adjustRightInd/>
        <w:snapToGrid/>
        <w:spacing w:after="0" w:line="48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6.赔付标准：</w:t>
      </w:r>
      <w:r>
        <w:rPr>
          <w:rFonts w:hint="eastAsia" w:ascii="宋体" w:hAnsi="宋体" w:eastAsia="宋体" w:cs="宋体"/>
          <w:bCs/>
          <w:color w:val="auto"/>
          <w:sz w:val="24"/>
          <w:szCs w:val="24"/>
          <w:highlight w:val="none"/>
          <w:lang w:eastAsia="zh-CN"/>
        </w:rPr>
        <w:t>目前项目地上有海胶金江分公司部分橡胶林，</w:t>
      </w:r>
      <w:r>
        <w:rPr>
          <w:rFonts w:hint="eastAsia" w:ascii="宋体" w:hAnsi="宋体" w:eastAsia="宋体" w:cs="宋体"/>
          <w:bCs/>
          <w:color w:val="auto"/>
          <w:sz w:val="24"/>
          <w:szCs w:val="24"/>
          <w:highlight w:val="none"/>
          <w:lang w:val="en-US" w:eastAsia="zh-CN"/>
        </w:rPr>
        <w:t>成交供应商</w:t>
      </w:r>
      <w:r>
        <w:rPr>
          <w:rFonts w:hint="eastAsia" w:ascii="宋体" w:hAnsi="宋体" w:eastAsia="宋体" w:cs="宋体"/>
          <w:bCs/>
          <w:color w:val="auto"/>
          <w:sz w:val="24"/>
          <w:szCs w:val="24"/>
          <w:highlight w:val="none"/>
          <w:lang w:eastAsia="zh-CN"/>
        </w:rPr>
        <w:t>进场，</w:t>
      </w:r>
      <w:r>
        <w:rPr>
          <w:rFonts w:hint="eastAsia" w:ascii="宋体" w:hAnsi="宋体" w:eastAsia="宋体" w:cs="宋体"/>
          <w:bCs/>
          <w:color w:val="auto"/>
          <w:sz w:val="24"/>
          <w:szCs w:val="24"/>
          <w:highlight w:val="none"/>
          <w:lang w:val="en-US" w:eastAsia="zh-CN"/>
        </w:rPr>
        <w:t>须</w:t>
      </w:r>
      <w:r>
        <w:rPr>
          <w:rFonts w:hint="eastAsia" w:ascii="宋体" w:hAnsi="宋体" w:eastAsia="宋体" w:cs="宋体"/>
          <w:bCs/>
          <w:color w:val="auto"/>
          <w:sz w:val="24"/>
          <w:szCs w:val="24"/>
          <w:highlight w:val="none"/>
          <w:lang w:eastAsia="zh-CN"/>
        </w:rPr>
        <w:t>按15000元/亩的标准支付（包含橡胶补偿款、橡胶材积款、安置费等）</w:t>
      </w:r>
      <w:r>
        <w:rPr>
          <w:rFonts w:hint="eastAsia" w:ascii="宋体" w:hAnsi="宋体" w:eastAsia="宋体" w:cs="宋体"/>
          <w:bCs/>
          <w:color w:val="auto"/>
          <w:sz w:val="24"/>
          <w:szCs w:val="24"/>
          <w:highlight w:val="none"/>
          <w:lang w:val="en-US" w:eastAsia="zh-CN"/>
        </w:rPr>
        <w:t>赔偿费用</w:t>
      </w:r>
      <w:r>
        <w:rPr>
          <w:rFonts w:hint="eastAsia" w:ascii="宋体" w:hAnsi="宋体" w:eastAsia="宋体" w:cs="宋体"/>
          <w:bCs/>
          <w:color w:val="auto"/>
          <w:sz w:val="24"/>
          <w:szCs w:val="24"/>
          <w:highlight w:val="none"/>
          <w:lang w:eastAsia="zh-CN"/>
        </w:rPr>
        <w:t>；除上述橡胶林外，地块内其他附着物（含槟榔树、水果树等各类经济作物）的迁移、砍伐、清理及对应赔偿款，均由供应商自行承担并负责完成；地块内</w:t>
      </w:r>
      <w:r>
        <w:rPr>
          <w:rFonts w:hint="eastAsia" w:ascii="宋体" w:hAnsi="宋体" w:eastAsia="宋体" w:cs="宋体"/>
          <w:bCs/>
          <w:color w:val="auto"/>
          <w:sz w:val="24"/>
          <w:szCs w:val="24"/>
          <w:highlight w:val="none"/>
          <w:lang w:val="en-US" w:eastAsia="zh-CN"/>
        </w:rPr>
        <w:t>如</w:t>
      </w:r>
      <w:r>
        <w:rPr>
          <w:rFonts w:hint="eastAsia" w:ascii="宋体" w:hAnsi="宋体" w:eastAsia="宋体" w:cs="宋体"/>
          <w:bCs/>
          <w:color w:val="auto"/>
          <w:sz w:val="24"/>
          <w:szCs w:val="24"/>
          <w:highlight w:val="none"/>
          <w:lang w:eastAsia="zh-CN"/>
        </w:rPr>
        <w:t>涉及迁坟工作</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lang w:eastAsia="zh-CN"/>
        </w:rPr>
        <w:t>，由供应商按海南省现行迁坟补偿政策标准支付赔偿款，并负责完成迁坟相关工作</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lang w:eastAsia="zh-CN"/>
        </w:rPr>
        <w:t>赔付完成后方可与</w:t>
      </w:r>
      <w:r>
        <w:rPr>
          <w:rFonts w:hint="eastAsia" w:ascii="宋体" w:hAnsi="宋体" w:eastAsia="宋体" w:cs="宋体"/>
          <w:bCs/>
          <w:color w:val="auto"/>
          <w:sz w:val="24"/>
          <w:szCs w:val="24"/>
          <w:highlight w:val="none"/>
          <w:lang w:val="en-US" w:eastAsia="zh-CN"/>
        </w:rPr>
        <w:t>采购人</w:t>
      </w:r>
      <w:r>
        <w:rPr>
          <w:rFonts w:hint="eastAsia" w:ascii="宋体" w:hAnsi="宋体" w:eastAsia="宋体" w:cs="宋体"/>
          <w:bCs/>
          <w:color w:val="auto"/>
          <w:sz w:val="24"/>
          <w:szCs w:val="24"/>
          <w:highlight w:val="none"/>
          <w:lang w:eastAsia="zh-CN"/>
        </w:rPr>
        <w:t>签订承包合同</w:t>
      </w:r>
      <w:r>
        <w:rPr>
          <w:rFonts w:hint="eastAsia" w:ascii="宋体" w:hAnsi="宋体" w:eastAsia="宋体" w:cs="宋体"/>
          <w:b w:val="0"/>
          <w:bCs w:val="0"/>
          <w:color w:val="auto"/>
          <w:sz w:val="24"/>
          <w:szCs w:val="24"/>
          <w:highlight w:val="none"/>
          <w:lang w:val="en-US" w:eastAsia="zh-CN"/>
        </w:rPr>
        <w:t>。</w:t>
      </w:r>
    </w:p>
    <w:p w14:paraId="0E8E2F45">
      <w:pPr>
        <w:spacing w:after="0" w:line="360" w:lineRule="auto"/>
        <w:ind w:firstLine="480" w:firstLineChars="200"/>
        <w:jc w:val="both"/>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7.控制价（最低限价）：</w:t>
      </w:r>
      <w:r>
        <w:rPr>
          <w:rFonts w:hint="eastAsia" w:ascii="宋体" w:hAnsi="宋体" w:eastAsia="宋体" w:cs="宋体"/>
          <w:bCs/>
          <w:color w:val="auto"/>
          <w:sz w:val="24"/>
          <w:szCs w:val="24"/>
          <w:highlight w:val="none"/>
          <w:lang w:val="en-US" w:eastAsia="zh-CN"/>
        </w:rPr>
        <w:t>7标段最低限价500元/亩每年，租赁单价每五年上调5%。</w:t>
      </w:r>
    </w:p>
    <w:p w14:paraId="377AD338">
      <w:pPr>
        <w:keepNext w:val="0"/>
        <w:keepLines w:val="0"/>
        <w:pageBreakBefore w:val="0"/>
        <w:widowControl w:val="0"/>
        <w:kinsoku/>
        <w:wordWrap/>
        <w:overflowPunct/>
        <w:topLinePunct w:val="0"/>
        <w:autoSpaceDE/>
        <w:autoSpaceDN/>
        <w:bidi w:val="0"/>
        <w:adjustRightInd/>
        <w:snapToGrid/>
        <w:spacing w:after="0" w:line="48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8.招租地块需求：本项目按地块划分，分为7个标段。其中，</w:t>
      </w:r>
      <w:r>
        <w:rPr>
          <w:rFonts w:hint="eastAsia" w:ascii="宋体" w:hAnsi="宋体" w:eastAsia="宋体" w:cs="宋体"/>
          <w:color w:val="auto"/>
          <w:sz w:val="24"/>
          <w:szCs w:val="24"/>
          <w:highlight w:val="none"/>
          <w:lang w:val="en-US" w:eastAsia="zh-CN"/>
        </w:rPr>
        <w:t>7标段：四区三队地块四至范围：东至果园，西至橡胶、果园，南至果园，北至果园</w:t>
      </w:r>
      <w:r>
        <w:rPr>
          <w:rFonts w:hint="eastAsia" w:ascii="宋体" w:hAnsi="宋体" w:eastAsia="宋体" w:cs="宋体"/>
          <w:b w:val="0"/>
          <w:bCs w:val="0"/>
          <w:color w:val="auto"/>
          <w:sz w:val="24"/>
          <w:szCs w:val="24"/>
          <w:highlight w:val="none"/>
          <w:lang w:val="en-US" w:eastAsia="zh-CN"/>
        </w:rPr>
        <w:t>。</w:t>
      </w:r>
    </w:p>
    <w:p w14:paraId="0A24EF00">
      <w:pPr>
        <w:keepNext w:val="0"/>
        <w:keepLines w:val="0"/>
        <w:pageBreakBefore w:val="0"/>
        <w:widowControl w:val="0"/>
        <w:kinsoku/>
        <w:wordWrap/>
        <w:overflowPunct/>
        <w:topLinePunct w:val="0"/>
        <w:autoSpaceDE/>
        <w:autoSpaceDN/>
        <w:bidi w:val="0"/>
        <w:adjustRightInd/>
        <w:snapToGrid/>
        <w:spacing w:after="0" w:line="48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9.租赁期限：租赁年限为20年起租，后续视经营情况，经双方充分协商后决定是否续租。</w:t>
      </w:r>
    </w:p>
    <w:p w14:paraId="2611E69F">
      <w:pPr>
        <w:keepNext w:val="0"/>
        <w:keepLines w:val="0"/>
        <w:pageBreakBefore w:val="0"/>
        <w:widowControl w:val="0"/>
        <w:kinsoku/>
        <w:wordWrap/>
        <w:overflowPunct/>
        <w:topLinePunct w:val="0"/>
        <w:autoSpaceDE/>
        <w:autoSpaceDN/>
        <w:bidi w:val="0"/>
        <w:adjustRightInd/>
        <w:snapToGrid/>
        <w:spacing w:after="0" w:line="48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履约担保：成交供应商确定为承租人后，双方签订合同前除缴纳第一年租金外还必须预交1年的租金作为履约保证金，第二年租期开始付第二年租金。若在承租期间有拖欠租金的情形，履约保证金将作为当年的租金，在合同期满不续租的情形下不退还保证金。若每年按时缴纳租金，在合同期满不续租的情形下保证金原路返还。</w:t>
      </w:r>
    </w:p>
    <w:p w14:paraId="05F79444">
      <w:pPr>
        <w:keepNext w:val="0"/>
        <w:keepLines w:val="0"/>
        <w:pageBreakBefore w:val="0"/>
        <w:widowControl w:val="0"/>
        <w:kinsoku/>
        <w:wordWrap/>
        <w:overflowPunct/>
        <w:topLinePunct w:val="0"/>
        <w:autoSpaceDE/>
        <w:autoSpaceDN/>
        <w:bidi w:val="0"/>
        <w:adjustRightInd/>
        <w:snapToGrid/>
        <w:spacing w:after="0" w:line="480" w:lineRule="exact"/>
        <w:ind w:firstLine="482" w:firstLineChars="200"/>
        <w:jc w:val="both"/>
        <w:textAlignment w:val="auto"/>
        <w:rPr>
          <w:rFonts w:hint="eastAsia" w:ascii="宋体" w:hAnsi="宋体" w:eastAsia="宋体" w:cs="宋体"/>
          <w:b/>
          <w:bCs/>
          <w:color w:val="auto"/>
          <w:sz w:val="24"/>
          <w:szCs w:val="24"/>
          <w:highlight w:val="none"/>
          <w:lang w:val="en-US" w:eastAsia="zh-CN"/>
        </w:rPr>
        <w:sectPr>
          <w:headerReference r:id="rId9" w:type="default"/>
          <w:footerReference r:id="rId10" w:type="default"/>
          <w:pgSz w:w="11906" w:h="16838"/>
          <w:pgMar w:top="1440" w:right="1800" w:bottom="1440" w:left="1800" w:header="851" w:footer="992" w:gutter="0"/>
          <w:pgNumType w:fmt="decimal"/>
          <w:cols w:space="720" w:num="1"/>
          <w:docGrid w:type="lines" w:linePitch="312" w:charSpace="0"/>
        </w:sectPr>
      </w:pPr>
    </w:p>
    <w:p w14:paraId="4AFB5A28">
      <w:pPr>
        <w:keepNext w:val="0"/>
        <w:keepLines w:val="0"/>
        <w:pageBreakBefore w:val="0"/>
        <w:widowControl w:val="0"/>
        <w:kinsoku/>
        <w:wordWrap/>
        <w:overflowPunct/>
        <w:topLinePunct w:val="0"/>
        <w:autoSpaceDE/>
        <w:autoSpaceDN/>
        <w:bidi w:val="0"/>
        <w:adjustRightInd/>
        <w:snapToGrid/>
        <w:spacing w:after="0" w:line="480" w:lineRule="exact"/>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二、技术标准与要求</w:t>
      </w:r>
    </w:p>
    <w:p w14:paraId="6C91F7F9">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7标段基本情况：</w:t>
      </w:r>
    </w:p>
    <w:p w14:paraId="05322FFA">
      <w:pPr>
        <w:keepNext w:val="0"/>
        <w:keepLines w:val="0"/>
        <w:pageBreakBefore w:val="0"/>
        <w:widowControl/>
        <w:tabs>
          <w:tab w:val="left" w:pos="1582"/>
        </w:tabs>
        <w:kinsoku/>
        <w:wordWrap/>
        <w:overflowPunct/>
        <w:topLinePunct w:val="0"/>
        <w:autoSpaceDE/>
        <w:autoSpaceDN/>
        <w:bidi w:val="0"/>
        <w:adjustRightInd/>
        <w:snapToGrid/>
        <w:spacing w:after="0" w:line="360" w:lineRule="auto"/>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sz w:val="24"/>
          <w:szCs w:val="24"/>
          <w:lang w:val="en-US" w:eastAsia="zh-CN"/>
        </w:rPr>
        <w:object>
          <v:shape id="_x0000_i1025" o:spt="75" type="#_x0000_t75" style="height:557.05pt;width:484.35pt;" o:ole="t" filled="f" o:preferrelative="t" stroked="f" coordsize="21600,21600">
            <v:path/>
            <v:fill on="f" focussize="0,0"/>
            <v:stroke on="f"/>
            <v:imagedata r:id="rId14" cropleft="15611f" croptop="5140f" cropright="26620f" cropbottom="16775f" o:title=""/>
            <o:lock v:ext="edit" aspectratio="f"/>
            <w10:wrap type="none"/>
            <w10:anchorlock/>
          </v:shape>
          <o:OLEObject Type="Embed" ProgID="AutoCAD.Drawing.20" ShapeID="_x0000_i1025" DrawAspect="Content" ObjectID="_1468075725" r:id="rId13">
            <o:LockedField>false</o:LockedField>
          </o:OLEObject>
        </w:object>
      </w:r>
      <w:r>
        <w:rPr>
          <w:rFonts w:hint="eastAsia" w:ascii="宋体" w:hAnsi="宋体" w:eastAsia="宋体" w:cs="宋体"/>
          <w:sz w:val="24"/>
          <w:szCs w:val="24"/>
          <w:lang w:val="en-US" w:eastAsia="zh-CN"/>
        </w:rPr>
        <w:t>四区三队地块四至范围：东至果园，西至橡胶、果园，南至果园，北至果园；面积约25.21亩（以实测为准）、橡胶林25.21亩（含槟榔、菠萝蜜、益智约3亩、坟墓地约1亩）。</w:t>
      </w:r>
    </w:p>
    <w:p w14:paraId="33129AB8">
      <w:pPr>
        <w:tabs>
          <w:tab w:val="left" w:pos="1582"/>
        </w:tabs>
        <w:bidi w:val="0"/>
        <w:jc w:val="left"/>
        <w:rPr>
          <w:rFonts w:hint="eastAsia" w:ascii="仿宋" w:hAnsi="仿宋" w:eastAsia="仿宋" w:cs="仿宋"/>
          <w:sz w:val="28"/>
          <w:szCs w:val="28"/>
          <w:lang w:val="en-US" w:eastAsia="zh-CN"/>
        </w:rPr>
      </w:pPr>
    </w:p>
    <w:p w14:paraId="271DEFCE">
      <w:pPr>
        <w:keepNext w:val="0"/>
        <w:keepLines w:val="0"/>
        <w:pageBreakBefore w:val="0"/>
        <w:widowControl w:val="0"/>
        <w:kinsoku/>
        <w:wordWrap/>
        <w:overflowPunct/>
        <w:topLinePunct w:val="0"/>
        <w:autoSpaceDE/>
        <w:autoSpaceDN/>
        <w:bidi w:val="0"/>
        <w:adjustRightInd/>
        <w:snapToGrid/>
        <w:spacing w:after="0" w:line="560" w:lineRule="exact"/>
        <w:ind w:firstLine="482" w:firstLineChars="20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三、商务要求</w:t>
      </w:r>
    </w:p>
    <w:p w14:paraId="7FE052BC">
      <w:pPr>
        <w:keepNext w:val="0"/>
        <w:keepLines w:val="0"/>
        <w:pageBreakBefore w:val="0"/>
        <w:widowControl w:val="0"/>
        <w:kinsoku/>
        <w:wordWrap/>
        <w:overflowPunct/>
        <w:topLinePunct w:val="0"/>
        <w:autoSpaceDE/>
        <w:autoSpaceDN/>
        <w:bidi w:val="0"/>
        <w:adjustRightInd/>
        <w:snapToGrid/>
        <w:spacing w:after="0" w:line="560" w:lineRule="exact"/>
        <w:ind w:firstLine="480" w:firstLineChars="200"/>
        <w:jc w:val="both"/>
        <w:textAlignment w:val="auto"/>
        <w:rPr>
          <w:rFonts w:hint="default" w:ascii="宋体" w:hAnsi="宋体" w:eastAsia="宋体" w:cs="宋体"/>
          <w:b w:val="0"/>
          <w:bCs w:val="0"/>
          <w:color w:val="auto"/>
          <w:sz w:val="24"/>
          <w:szCs w:val="24"/>
          <w:highlight w:val="none"/>
          <w:lang w:val="en-US" w:eastAsia="zh-CN"/>
        </w:rPr>
      </w:pPr>
      <w:bookmarkStart w:id="48" w:name="_Toc13747"/>
      <w:r>
        <w:rPr>
          <w:rFonts w:hint="eastAsia" w:ascii="宋体" w:hAnsi="宋体" w:eastAsia="宋体" w:cs="宋体"/>
          <w:b w:val="0"/>
          <w:bCs w:val="0"/>
          <w:color w:val="auto"/>
          <w:sz w:val="24"/>
          <w:szCs w:val="24"/>
          <w:highlight w:val="none"/>
          <w:lang w:val="en-US" w:eastAsia="zh-CN"/>
        </w:rPr>
        <w:t>（一）其他要求</w:t>
      </w:r>
    </w:p>
    <w:p w14:paraId="6D992EE7">
      <w:pPr>
        <w:keepNext w:val="0"/>
        <w:keepLines w:val="0"/>
        <w:pageBreakBefore w:val="0"/>
        <w:widowControl w:val="0"/>
        <w:kinsoku/>
        <w:wordWrap/>
        <w:overflowPunct/>
        <w:topLinePunct w:val="0"/>
        <w:autoSpaceDE/>
        <w:autoSpaceDN/>
        <w:bidi w:val="0"/>
        <w:adjustRightInd/>
        <w:snapToGrid/>
        <w:spacing w:after="0" w:line="560" w:lineRule="exact"/>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1.涉及到橡胶保护区的需要成交供应商自行调规，地块内种植的槟榔、水果树等需要成交供应商进行赔偿，地块内有需要迁移的坟墓由成交供应商进行赔偿。</w:t>
      </w:r>
    </w:p>
    <w:p w14:paraId="059722D5">
      <w:pPr>
        <w:keepNext w:val="0"/>
        <w:keepLines w:val="0"/>
        <w:pageBreakBefore w:val="0"/>
        <w:widowControl w:val="0"/>
        <w:kinsoku/>
        <w:wordWrap/>
        <w:overflowPunct/>
        <w:topLinePunct w:val="0"/>
        <w:autoSpaceDE/>
        <w:autoSpaceDN/>
        <w:bidi w:val="0"/>
        <w:adjustRightInd/>
        <w:snapToGrid/>
        <w:spacing w:after="0" w:line="560" w:lineRule="exact"/>
        <w:ind w:left="0" w:firstLine="480" w:firstLineChars="200"/>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2.涉及到橡胶树更新砍伐及橡胶保护区用地规划调整应由供应商具体负责。</w:t>
      </w:r>
    </w:p>
    <w:p w14:paraId="4EEE7BF2">
      <w:pPr>
        <w:keepNext w:val="0"/>
        <w:keepLines w:val="0"/>
        <w:pageBreakBefore w:val="0"/>
        <w:widowControl w:val="0"/>
        <w:kinsoku/>
        <w:wordWrap/>
        <w:overflowPunct/>
        <w:topLinePunct w:val="0"/>
        <w:autoSpaceDE/>
        <w:autoSpaceDN/>
        <w:bidi w:val="0"/>
        <w:adjustRightInd/>
        <w:snapToGrid/>
        <w:spacing w:after="0" w:line="56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3.成交供应商需在签订承包合同前完成对海胶金江分公司的赔付。</w:t>
      </w:r>
    </w:p>
    <w:p w14:paraId="0A6E5D1A">
      <w:pPr>
        <w:keepNext w:val="0"/>
        <w:keepLines w:val="0"/>
        <w:pageBreakBefore w:val="0"/>
        <w:widowControl w:val="0"/>
        <w:kinsoku/>
        <w:wordWrap/>
        <w:overflowPunct/>
        <w:topLinePunct w:val="0"/>
        <w:autoSpaceDE/>
        <w:autoSpaceDN/>
        <w:bidi w:val="0"/>
        <w:adjustRightInd/>
        <w:snapToGrid/>
        <w:spacing w:after="0" w:line="56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4.成交供应商需严格按照采购文件及承包合同约定开展种植、管护工作，违反约定将按合同条款承担违约责任。</w:t>
      </w:r>
    </w:p>
    <w:p w14:paraId="35322DFF">
      <w:pPr>
        <w:keepNext w:val="0"/>
        <w:keepLines w:val="0"/>
        <w:pageBreakBefore w:val="0"/>
        <w:widowControl w:val="0"/>
        <w:kinsoku/>
        <w:wordWrap/>
        <w:overflowPunct/>
        <w:topLinePunct w:val="0"/>
        <w:autoSpaceDE/>
        <w:autoSpaceDN/>
        <w:bidi w:val="0"/>
        <w:adjustRightInd/>
        <w:snapToGrid/>
        <w:spacing w:after="0" w:line="560" w:lineRule="exact"/>
        <w:ind w:left="0" w:firstLine="480" w:firstLineChars="200"/>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5.成交供应商在承租期间负责项目的日常维护和管理，租赁期满后保证完好归还。</w:t>
      </w:r>
    </w:p>
    <w:p w14:paraId="0E935A37">
      <w:pPr>
        <w:keepNext w:val="0"/>
        <w:keepLines w:val="0"/>
        <w:pageBreakBefore w:val="0"/>
        <w:widowControl w:val="0"/>
        <w:kinsoku/>
        <w:wordWrap/>
        <w:overflowPunct/>
        <w:topLinePunct w:val="0"/>
        <w:autoSpaceDE/>
        <w:autoSpaceDN/>
        <w:bidi w:val="0"/>
        <w:adjustRightInd/>
        <w:snapToGrid/>
        <w:spacing w:after="0" w:line="56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（二）付款条件：以双方签订的正式合同约定执行。</w:t>
      </w:r>
    </w:p>
    <w:p w14:paraId="0F5D5E53">
      <w:pPr>
        <w:keepNext w:val="0"/>
        <w:keepLines w:val="0"/>
        <w:pageBreakBefore w:val="0"/>
        <w:widowControl w:val="0"/>
        <w:kinsoku/>
        <w:wordWrap/>
        <w:overflowPunct/>
        <w:topLinePunct w:val="0"/>
        <w:autoSpaceDE/>
        <w:autoSpaceDN/>
        <w:bidi w:val="0"/>
        <w:adjustRightInd/>
        <w:snapToGrid/>
        <w:spacing w:after="0" w:line="56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（三）验收要求：按竞争性磋商文件第六章“招租需求”中内容及要求和国家行业标准进行验收。</w:t>
      </w:r>
    </w:p>
    <w:p w14:paraId="6802AC96">
      <w:pPr>
        <w:keepNext w:val="0"/>
        <w:keepLines w:val="0"/>
        <w:pageBreakBefore w:val="0"/>
        <w:widowControl w:val="0"/>
        <w:kinsoku/>
        <w:wordWrap/>
        <w:overflowPunct/>
        <w:topLinePunct w:val="0"/>
        <w:autoSpaceDE/>
        <w:autoSpaceDN/>
        <w:bidi w:val="0"/>
        <w:adjustRightInd/>
        <w:snapToGrid/>
        <w:spacing w:after="0" w:line="560" w:lineRule="exact"/>
        <w:ind w:left="0" w:firstLine="480" w:firstLineChars="200"/>
        <w:jc w:val="both"/>
        <w:textAlignment w:val="auto"/>
        <w:rPr>
          <w:rFonts w:hint="eastAsia" w:ascii="宋体" w:hAnsi="宋体" w:eastAsia="宋体" w:cs="宋体"/>
          <w:b w:val="0"/>
          <w:bCs w:val="0"/>
          <w:color w:val="auto"/>
          <w:sz w:val="24"/>
          <w:szCs w:val="24"/>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val="0"/>
          <w:bCs w:val="0"/>
          <w:color w:val="auto"/>
          <w:sz w:val="24"/>
          <w:szCs w:val="24"/>
          <w:highlight w:val="none"/>
          <w:lang w:val="en-US" w:eastAsia="zh-CN"/>
        </w:rPr>
        <w:t>（四）未尽事宜在合同中详细约定。</w:t>
      </w:r>
    </w:p>
    <w:p w14:paraId="47B1480A">
      <w:pPr>
        <w:spacing w:after="0" w:line="360" w:lineRule="auto"/>
        <w:jc w:val="center"/>
        <w:rPr>
          <w:rFonts w:ascii="宋体" w:hAnsi="宋体" w:eastAsia="宋体" w:cs="宋体"/>
          <w:color w:val="auto"/>
          <w:sz w:val="24"/>
          <w:szCs w:val="24"/>
          <w:highlight w:val="none"/>
        </w:rPr>
      </w:pPr>
      <w:r>
        <w:rPr>
          <w:rStyle w:val="23"/>
          <w:rFonts w:ascii="宋体" w:hAnsi="宋体" w:eastAsia="宋体" w:cs="宋体"/>
          <w:color w:val="auto"/>
          <w:highlight w:val="none"/>
        </w:rPr>
        <w:t>第七章  评审办法和程序</w:t>
      </w:r>
      <w:bookmarkEnd w:id="48"/>
    </w:p>
    <w:p w14:paraId="24893109">
      <w:pPr>
        <w:pStyle w:val="3"/>
        <w:spacing w:before="0" w:after="0" w:line="360" w:lineRule="auto"/>
        <w:ind w:firstLine="562" w:firstLineChars="200"/>
        <w:rPr>
          <w:rFonts w:ascii="宋体" w:hAnsi="宋体" w:cs="宋体"/>
          <w:color w:val="auto"/>
          <w:highlight w:val="none"/>
        </w:rPr>
      </w:pPr>
      <w:r>
        <w:rPr>
          <w:rFonts w:ascii="宋体" w:hAnsi="宋体" w:cs="宋体"/>
          <w:b/>
          <w:bCs/>
          <w:color w:val="auto"/>
          <w:sz w:val="28"/>
          <w:szCs w:val="28"/>
          <w:highlight w:val="none"/>
          <w:lang w:val="zh-TW" w:eastAsia="zh-TW"/>
        </w:rPr>
        <w:t>一、评审原则</w:t>
      </w:r>
    </w:p>
    <w:p w14:paraId="433433A0">
      <w:pPr>
        <w:tabs>
          <w:tab w:val="left" w:pos="360"/>
          <w:tab w:val="left" w:pos="720"/>
        </w:tabs>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 xml:space="preserve">1. </w:t>
      </w:r>
      <w:r>
        <w:rPr>
          <w:rStyle w:val="25"/>
          <w:rFonts w:ascii="宋体" w:hAnsi="宋体" w:eastAsia="宋体" w:cs="宋体"/>
          <w:color w:val="auto"/>
          <w:highlight w:val="none"/>
        </w:rPr>
        <w:t>本次采购采用竞争性磋商方式进行，评审由依法组成的磋商小组负责完成。评审基本原则：评审工作应依据《中华人民共和国政府采购法</w:t>
      </w:r>
      <w:r>
        <w:rPr>
          <w:rStyle w:val="25"/>
          <w:rFonts w:hint="eastAsia" w:ascii="宋体" w:hAnsi="宋体" w:eastAsia="宋体" w:cs="宋体"/>
          <w:color w:val="auto"/>
          <w:highlight w:val="none"/>
          <w:lang w:eastAsia="zh-CN"/>
        </w:rPr>
        <w:t>》《</w:t>
      </w:r>
      <w:r>
        <w:rPr>
          <w:rStyle w:val="25"/>
          <w:rFonts w:ascii="宋体" w:hAnsi="宋体" w:eastAsia="宋体" w:cs="宋体"/>
          <w:color w:val="auto"/>
          <w:highlight w:val="none"/>
        </w:rPr>
        <w:t>政府采购竞争性磋商采购方式管理暂行办法》以及国家和地方政府采购的有关规定，遵循</w:t>
      </w:r>
      <w:r>
        <w:rPr>
          <w:rFonts w:ascii="宋体" w:hAnsi="宋体" w:eastAsia="宋体" w:cs="宋体"/>
          <w:color w:val="auto"/>
          <w:sz w:val="24"/>
          <w:szCs w:val="24"/>
          <w:highlight w:val="none"/>
        </w:rPr>
        <w:t>“</w:t>
      </w:r>
      <w:r>
        <w:rPr>
          <w:rStyle w:val="25"/>
          <w:rFonts w:ascii="宋体" w:hAnsi="宋体" w:eastAsia="宋体" w:cs="宋体"/>
          <w:color w:val="auto"/>
          <w:highlight w:val="none"/>
        </w:rPr>
        <w:t>公开、公平、公正、择优、诚实信用</w:t>
      </w:r>
      <w:r>
        <w:rPr>
          <w:rFonts w:ascii="宋体" w:hAnsi="宋体" w:eastAsia="宋体" w:cs="宋体"/>
          <w:color w:val="auto"/>
          <w:sz w:val="24"/>
          <w:szCs w:val="24"/>
          <w:highlight w:val="none"/>
        </w:rPr>
        <w:t>”</w:t>
      </w:r>
      <w:r>
        <w:rPr>
          <w:rStyle w:val="25"/>
          <w:rFonts w:ascii="宋体" w:hAnsi="宋体" w:eastAsia="宋体" w:cs="宋体"/>
          <w:color w:val="auto"/>
          <w:highlight w:val="none"/>
        </w:rPr>
        <w:t>的原则。</w:t>
      </w:r>
    </w:p>
    <w:p w14:paraId="454C0798">
      <w:pPr>
        <w:tabs>
          <w:tab w:val="left" w:pos="360"/>
          <w:tab w:val="left" w:pos="720"/>
        </w:tabs>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 xml:space="preserve">2. </w:t>
      </w:r>
      <w:r>
        <w:rPr>
          <w:rStyle w:val="25"/>
          <w:rFonts w:ascii="宋体" w:hAnsi="宋体" w:eastAsia="宋体" w:cs="宋体"/>
          <w:color w:val="auto"/>
          <w:highlight w:val="none"/>
        </w:rPr>
        <w:t>本次评审是以磋商文件，磋商响应文件和磋商承诺文件和最终报价为依据，按公正、科学、客观、平等竞争的要求，推荐技术先进、报价合理、经验丰富、信誉良好、售后服务好</w:t>
      </w:r>
      <w:r>
        <w:rPr>
          <w:rStyle w:val="25"/>
          <w:rFonts w:ascii="宋体" w:hAnsi="宋体" w:eastAsia="宋体" w:cs="宋体"/>
          <w:color w:val="auto"/>
          <w:highlight w:val="none"/>
          <w:lang w:eastAsia="zh-CN"/>
        </w:rPr>
        <w:t>及</w:t>
      </w:r>
      <w:r>
        <w:rPr>
          <w:rStyle w:val="25"/>
          <w:rFonts w:ascii="宋体" w:hAnsi="宋体" w:eastAsia="宋体" w:cs="宋体"/>
          <w:color w:val="auto"/>
          <w:highlight w:val="none"/>
        </w:rPr>
        <w:t>综合实力强的成交供应商。</w:t>
      </w:r>
    </w:p>
    <w:p w14:paraId="14C0E294">
      <w:pPr>
        <w:tabs>
          <w:tab w:val="left" w:pos="360"/>
          <w:tab w:val="left" w:pos="720"/>
        </w:tabs>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 xml:space="preserve">3. </w:t>
      </w:r>
      <w:r>
        <w:rPr>
          <w:rStyle w:val="25"/>
          <w:rFonts w:ascii="宋体" w:hAnsi="宋体" w:eastAsia="宋体" w:cs="宋体"/>
          <w:color w:val="auto"/>
          <w:highlight w:val="none"/>
        </w:rPr>
        <w:t>参加磋商工作的所有人员应遵守《中华人民共和国政府采购法》以及国家和地方政府采购的有关规定，严格保密，确保竞争性磋商工作公平、公正，任何单位和个人不得无理干预磋商小组的正常工作。</w:t>
      </w:r>
    </w:p>
    <w:p w14:paraId="33CBE1A6">
      <w:pPr>
        <w:tabs>
          <w:tab w:val="left" w:pos="360"/>
          <w:tab w:val="left" w:pos="720"/>
        </w:tabs>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 xml:space="preserve">4. </w:t>
      </w:r>
      <w:r>
        <w:rPr>
          <w:rStyle w:val="25"/>
          <w:rFonts w:ascii="宋体" w:hAnsi="宋体" w:eastAsia="宋体" w:cs="宋体"/>
          <w:color w:val="auto"/>
          <w:highlight w:val="none"/>
        </w:rPr>
        <w:t>本次</w:t>
      </w:r>
      <w:r>
        <w:rPr>
          <w:rStyle w:val="25"/>
          <w:rFonts w:ascii="宋体" w:hAnsi="宋体" w:eastAsia="宋体" w:cs="宋体"/>
          <w:color w:val="auto"/>
          <w:highlight w:val="none"/>
          <w:lang w:eastAsia="zh-CN"/>
        </w:rPr>
        <w:t>采购</w:t>
      </w:r>
      <w:r>
        <w:rPr>
          <w:rStyle w:val="25"/>
          <w:rFonts w:ascii="宋体" w:hAnsi="宋体" w:eastAsia="宋体" w:cs="宋体"/>
          <w:color w:val="auto"/>
          <w:highlight w:val="none"/>
        </w:rPr>
        <w:t>采用综合评分法，是指响应文件满足磋商文件全部实质性要求且按评审因素的量化指标评审得分最高的供应商为成交候选供应商的评审方法。</w:t>
      </w:r>
    </w:p>
    <w:p w14:paraId="1BE15CF9">
      <w:pPr>
        <w:pStyle w:val="3"/>
        <w:spacing w:before="0" w:after="0" w:line="360" w:lineRule="auto"/>
        <w:ind w:firstLine="562" w:firstLineChars="200"/>
        <w:rPr>
          <w:rFonts w:ascii="宋体" w:hAnsi="宋体" w:cs="宋体"/>
          <w:color w:val="auto"/>
          <w:highlight w:val="none"/>
        </w:rPr>
      </w:pPr>
      <w:r>
        <w:rPr>
          <w:rFonts w:ascii="宋体" w:hAnsi="宋体" w:cs="宋体"/>
          <w:b/>
          <w:bCs/>
          <w:color w:val="auto"/>
          <w:sz w:val="28"/>
          <w:szCs w:val="28"/>
          <w:highlight w:val="none"/>
          <w:lang w:val="zh-TW" w:eastAsia="zh-TW"/>
        </w:rPr>
        <w:t>二、评审程序和评审方法</w:t>
      </w:r>
    </w:p>
    <w:p w14:paraId="50E62C42">
      <w:pPr>
        <w:tabs>
          <w:tab w:val="left" w:pos="720"/>
        </w:tabs>
        <w:spacing w:after="0" w:line="360" w:lineRule="auto"/>
        <w:ind w:firstLine="480" w:firstLineChars="200"/>
        <w:rPr>
          <w:rFonts w:ascii="宋体" w:hAnsi="宋体" w:eastAsia="宋体" w:cs="宋体"/>
          <w:color w:val="auto"/>
          <w:highlight w:val="none"/>
        </w:rPr>
      </w:pPr>
      <w:r>
        <w:rPr>
          <w:rStyle w:val="25"/>
          <w:rFonts w:ascii="宋体" w:hAnsi="宋体" w:eastAsia="宋体" w:cs="宋体"/>
          <w:color w:val="auto"/>
          <w:highlight w:val="none"/>
        </w:rPr>
        <w:t>评审流程如下：</w:t>
      </w:r>
    </w:p>
    <w:p w14:paraId="4B6D2CFE">
      <w:pPr>
        <w:tabs>
          <w:tab w:val="left" w:pos="720"/>
        </w:tabs>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 xml:space="preserve">1. </w:t>
      </w:r>
      <w:r>
        <w:rPr>
          <w:rStyle w:val="25"/>
          <w:rFonts w:ascii="宋体" w:hAnsi="宋体" w:eastAsia="宋体" w:cs="宋体"/>
          <w:color w:val="auto"/>
          <w:highlight w:val="none"/>
        </w:rPr>
        <w:t>评标准备</w:t>
      </w:r>
    </w:p>
    <w:p w14:paraId="1BDB128C">
      <w:pPr>
        <w:tabs>
          <w:tab w:val="left" w:pos="720"/>
        </w:tabs>
        <w:spacing w:after="0" w:line="360" w:lineRule="auto"/>
        <w:ind w:firstLine="480" w:firstLineChars="200"/>
        <w:rPr>
          <w:rFonts w:ascii="宋体" w:hAnsi="宋体" w:eastAsia="宋体" w:cs="宋体"/>
          <w:color w:val="auto"/>
          <w:highlight w:val="none"/>
        </w:rPr>
      </w:pPr>
      <w:r>
        <w:rPr>
          <w:rStyle w:val="25"/>
          <w:rFonts w:ascii="宋体" w:hAnsi="宋体" w:eastAsia="宋体" w:cs="宋体"/>
          <w:color w:val="auto"/>
          <w:highlight w:val="none"/>
          <w:lang w:eastAsia="zh-CN"/>
        </w:rPr>
        <w:t>磋商小组</w:t>
      </w:r>
      <w:r>
        <w:rPr>
          <w:rStyle w:val="25"/>
          <w:rFonts w:ascii="宋体" w:hAnsi="宋体" w:eastAsia="宋体" w:cs="宋体"/>
          <w:color w:val="auto"/>
          <w:highlight w:val="none"/>
        </w:rPr>
        <w:t>成员阅读竞争性磋商文件，了解本次</w:t>
      </w:r>
      <w:r>
        <w:rPr>
          <w:rStyle w:val="25"/>
          <w:rFonts w:ascii="宋体" w:hAnsi="宋体" w:eastAsia="宋体" w:cs="宋体"/>
          <w:color w:val="auto"/>
          <w:highlight w:val="none"/>
          <w:lang w:eastAsia="zh-CN"/>
        </w:rPr>
        <w:t>采购</w:t>
      </w:r>
      <w:r>
        <w:rPr>
          <w:rStyle w:val="25"/>
          <w:rFonts w:ascii="宋体" w:hAnsi="宋体" w:eastAsia="宋体" w:cs="宋体"/>
          <w:color w:val="auto"/>
          <w:highlight w:val="none"/>
        </w:rPr>
        <w:t>的范围和需求，熟悉评标方法；</w:t>
      </w:r>
    </w:p>
    <w:p w14:paraId="367CFC59">
      <w:pPr>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 xml:space="preserve">2. </w:t>
      </w:r>
      <w:r>
        <w:rPr>
          <w:rStyle w:val="25"/>
          <w:rFonts w:ascii="宋体" w:hAnsi="宋体" w:eastAsia="宋体" w:cs="宋体"/>
          <w:color w:val="auto"/>
          <w:highlight w:val="none"/>
        </w:rPr>
        <w:t>磋商响应文件初步评审</w:t>
      </w:r>
    </w:p>
    <w:p w14:paraId="5794CEE9">
      <w:pPr>
        <w:spacing w:after="0" w:line="360" w:lineRule="auto"/>
        <w:ind w:firstLine="480" w:firstLineChars="200"/>
        <w:rPr>
          <w:rFonts w:ascii="宋体" w:hAnsi="宋体" w:eastAsia="宋体" w:cs="宋体"/>
          <w:color w:val="auto"/>
          <w:highlight w:val="none"/>
        </w:rPr>
      </w:pPr>
      <w:r>
        <w:rPr>
          <w:rStyle w:val="25"/>
          <w:rFonts w:ascii="宋体" w:hAnsi="宋体" w:eastAsia="宋体" w:cs="宋体"/>
          <w:color w:val="auto"/>
          <w:highlight w:val="none"/>
        </w:rPr>
        <w:t>进入评审程序后，磋商小组先对供应商的磋商响应文件进行初步评审。磋商小组将根据评审办法的规定和附表</w:t>
      </w:r>
      <w:r>
        <w:rPr>
          <w:rFonts w:ascii="宋体" w:hAnsi="宋体" w:eastAsia="宋体" w:cs="宋体"/>
          <w:color w:val="auto"/>
          <w:sz w:val="24"/>
          <w:szCs w:val="24"/>
          <w:highlight w:val="none"/>
        </w:rPr>
        <w:t>1</w:t>
      </w:r>
      <w:r>
        <w:rPr>
          <w:rStyle w:val="25"/>
          <w:rFonts w:ascii="宋体" w:hAnsi="宋体" w:eastAsia="宋体" w:cs="宋体"/>
          <w:color w:val="auto"/>
          <w:highlight w:val="none"/>
        </w:rPr>
        <w:t>的内容，对磋商响应文件进行初步评审。</w:t>
      </w:r>
    </w:p>
    <w:p w14:paraId="0C25E0B1">
      <w:pPr>
        <w:spacing w:after="0" w:line="360" w:lineRule="auto"/>
        <w:ind w:firstLine="480" w:firstLineChars="200"/>
        <w:rPr>
          <w:rFonts w:ascii="宋体" w:hAnsi="宋体" w:eastAsia="宋体" w:cs="宋体"/>
          <w:color w:val="auto"/>
          <w:highlight w:val="none"/>
        </w:rPr>
      </w:pPr>
      <w:r>
        <w:rPr>
          <w:rStyle w:val="25"/>
          <w:rFonts w:ascii="宋体" w:hAnsi="宋体" w:eastAsia="宋体" w:cs="宋体"/>
          <w:color w:val="auto"/>
          <w:highlight w:val="none"/>
        </w:rPr>
        <w:t>若出现以下情况，则磋商响应文件将被认定为不满足</w:t>
      </w:r>
      <w:r>
        <w:rPr>
          <w:rStyle w:val="25"/>
          <w:rFonts w:hint="eastAsia" w:ascii="宋体" w:hAnsi="宋体" w:eastAsia="宋体" w:cs="宋体"/>
          <w:color w:val="auto"/>
          <w:highlight w:val="none"/>
          <w:lang w:eastAsia="zh-CN"/>
        </w:rPr>
        <w:t>招租需求</w:t>
      </w:r>
      <w:r>
        <w:rPr>
          <w:rStyle w:val="25"/>
          <w:rFonts w:ascii="宋体" w:hAnsi="宋体" w:eastAsia="宋体" w:cs="宋体"/>
          <w:color w:val="auto"/>
          <w:highlight w:val="none"/>
        </w:rPr>
        <w:t>而不能通过初步审查：</w:t>
      </w:r>
    </w:p>
    <w:p w14:paraId="22F812AC">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rPr>
        <w:t>1</w:t>
      </w:r>
      <w:r>
        <w:rPr>
          <w:rFonts w:ascii="宋体" w:hAnsi="宋体" w:eastAsia="宋体" w:cs="宋体"/>
          <w:color w:val="auto"/>
          <w:sz w:val="24"/>
          <w:szCs w:val="24"/>
          <w:highlight w:val="none"/>
          <w:lang w:val="zh-TW"/>
        </w:rPr>
        <w:t>）</w:t>
      </w:r>
      <w:r>
        <w:rPr>
          <w:rFonts w:hint="eastAsia" w:ascii="宋体" w:hAnsi="宋体" w:eastAsia="宋体" w:cs="宋体"/>
          <w:color w:val="auto"/>
          <w:sz w:val="24"/>
          <w:szCs w:val="24"/>
          <w:highlight w:val="none"/>
          <w:lang w:val="zh-TW"/>
        </w:rPr>
        <w:t>磋商响应文件无法定代表人签字或盖私章，或被授权签字人未经法定代表人授权的</w:t>
      </w:r>
      <w:r>
        <w:rPr>
          <w:rFonts w:ascii="宋体" w:hAnsi="宋体" w:eastAsia="宋体" w:cs="宋体"/>
          <w:color w:val="auto"/>
          <w:sz w:val="24"/>
          <w:szCs w:val="24"/>
          <w:highlight w:val="none"/>
          <w:lang w:val="zh-TW" w:eastAsia="zh-TW"/>
        </w:rPr>
        <w:t>；</w:t>
      </w:r>
    </w:p>
    <w:p w14:paraId="3B6F70C0">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rPr>
        <w:t>2</w:t>
      </w: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lang w:val="zh-TW" w:eastAsia="zh-TW"/>
        </w:rPr>
        <w:t>供应商未按磋商文件要求的金额提交磋商保证金的；</w:t>
      </w:r>
    </w:p>
    <w:p w14:paraId="4E8A3529">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rPr>
        <w:t>3</w:t>
      </w: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lang w:val="zh-TW" w:eastAsia="zh-TW"/>
        </w:rPr>
        <w:t>超出经营范围报价的；</w:t>
      </w:r>
    </w:p>
    <w:p w14:paraId="3345638B">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lang w:val="zh-TW" w:eastAsia="zh-TW"/>
        </w:rPr>
        <w:t>投标有效期不足的；</w:t>
      </w:r>
    </w:p>
    <w:p w14:paraId="46D3306C">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 xml:space="preserve">5） </w:t>
      </w:r>
      <w:r>
        <w:rPr>
          <w:rFonts w:ascii="宋体" w:hAnsi="宋体" w:eastAsia="宋体" w:cs="宋体"/>
          <w:color w:val="auto"/>
          <w:sz w:val="24"/>
          <w:szCs w:val="24"/>
          <w:highlight w:val="none"/>
          <w:lang w:val="zh-TW" w:eastAsia="zh-TW"/>
        </w:rPr>
        <w:t>磋商小组根据磋商文件</w:t>
      </w:r>
      <w:r>
        <w:rPr>
          <w:rFonts w:hint="eastAsia" w:ascii="宋体" w:hAnsi="宋体" w:eastAsia="宋体" w:cs="宋体"/>
          <w:color w:val="auto"/>
          <w:sz w:val="24"/>
          <w:szCs w:val="24"/>
          <w:highlight w:val="none"/>
          <w:lang w:val="en-US" w:eastAsia="zh-CN"/>
        </w:rPr>
        <w:t>要求</w:t>
      </w:r>
      <w:r>
        <w:rPr>
          <w:rFonts w:ascii="宋体" w:hAnsi="宋体" w:eastAsia="宋体" w:cs="宋体"/>
          <w:color w:val="auto"/>
          <w:sz w:val="24"/>
          <w:szCs w:val="24"/>
          <w:highlight w:val="none"/>
          <w:lang w:val="zh-TW" w:eastAsia="zh-TW"/>
        </w:rPr>
        <w:t>检查</w:t>
      </w:r>
      <w:r>
        <w:rPr>
          <w:rFonts w:hint="eastAsia" w:ascii="宋体" w:hAnsi="宋体" w:eastAsia="宋体" w:cs="宋体"/>
          <w:color w:val="auto"/>
          <w:sz w:val="24"/>
          <w:szCs w:val="24"/>
          <w:highlight w:val="none"/>
          <w:lang w:val="en-US" w:eastAsia="zh-CN"/>
        </w:rPr>
        <w:t>到</w:t>
      </w:r>
      <w:r>
        <w:rPr>
          <w:rFonts w:ascii="宋体" w:hAnsi="宋体" w:eastAsia="宋体" w:cs="宋体"/>
          <w:color w:val="auto"/>
          <w:sz w:val="24"/>
          <w:szCs w:val="24"/>
          <w:highlight w:val="none"/>
          <w:lang w:val="zh-TW" w:eastAsia="zh-TW"/>
        </w:rPr>
        <w:t>磋商响应文件提供的资格证明材料不齐全、不满足磋商文件的要求，并在磋商小组规定的时间未能补充齐全的；</w:t>
      </w:r>
    </w:p>
    <w:p w14:paraId="0D347AE8">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rPr>
        <w:t>6</w:t>
      </w: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lang w:val="zh-TW" w:eastAsia="zh-TW"/>
        </w:rPr>
        <w:t>磋商小组根据磋商文件对磋商响应文件的商务和技术部分进行初步审查，检查</w:t>
      </w:r>
      <w:r>
        <w:rPr>
          <w:rFonts w:hint="eastAsia" w:ascii="宋体" w:hAnsi="宋体" w:eastAsia="宋体" w:cs="宋体"/>
          <w:color w:val="auto"/>
          <w:sz w:val="24"/>
          <w:szCs w:val="24"/>
          <w:highlight w:val="none"/>
          <w:lang w:val="en-US" w:eastAsia="zh-CN"/>
        </w:rPr>
        <w:t>到</w:t>
      </w:r>
      <w:r>
        <w:rPr>
          <w:rFonts w:ascii="宋体" w:hAnsi="宋体" w:eastAsia="宋体" w:cs="宋体"/>
          <w:color w:val="auto"/>
          <w:sz w:val="24"/>
          <w:szCs w:val="24"/>
          <w:highlight w:val="none"/>
          <w:lang w:val="zh-TW" w:eastAsia="zh-TW"/>
        </w:rPr>
        <w:t>磋商响应文件提交的内容不齐全、不能证明有能力承担本项目的任务、未按磋商文件的要求作出相应的承诺的；</w:t>
      </w:r>
    </w:p>
    <w:p w14:paraId="64D78E5F">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rPr>
        <w:t>7</w:t>
      </w: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lang w:val="zh-TW" w:eastAsia="zh-TW"/>
        </w:rPr>
        <w:t>主要技术规格和参数不满足技术参数的要求以及商务有重大负偏离的；</w:t>
      </w:r>
    </w:p>
    <w:p w14:paraId="488265AD">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hint="eastAsia" w:ascii="宋体" w:hAnsi="宋体" w:eastAsia="宋体" w:cs="宋体"/>
          <w:color w:val="auto"/>
          <w:sz w:val="24"/>
          <w:szCs w:val="24"/>
          <w:highlight w:val="none"/>
          <w:lang w:val="en-US" w:eastAsia="zh-CN"/>
        </w:rPr>
        <w:t>8</w:t>
      </w: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lang w:val="zh-TW" w:eastAsia="zh-TW"/>
        </w:rPr>
        <w:t>磋商小组认为报价未实质性响应磋商文件的要求的；</w:t>
      </w:r>
    </w:p>
    <w:p w14:paraId="0EBAF5D2">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hint="eastAsia" w:ascii="宋体" w:hAnsi="宋体" w:eastAsia="宋体" w:cs="宋体"/>
          <w:color w:val="auto"/>
          <w:sz w:val="24"/>
          <w:szCs w:val="24"/>
          <w:highlight w:val="none"/>
          <w:lang w:val="en-US" w:eastAsia="zh-CN"/>
        </w:rPr>
        <w:t>9</w:t>
      </w: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lang w:val="zh-TW" w:eastAsia="zh-TW"/>
        </w:rPr>
        <w:t>没有按时</w:t>
      </w:r>
      <w:r>
        <w:rPr>
          <w:rFonts w:hint="eastAsia" w:ascii="宋体" w:hAnsi="宋体" w:eastAsia="宋体" w:cs="宋体"/>
          <w:color w:val="auto"/>
          <w:sz w:val="24"/>
          <w:szCs w:val="24"/>
          <w:highlight w:val="none"/>
          <w:lang w:val="zh-TW" w:eastAsia="zh-CN"/>
        </w:rPr>
        <w:t>做</w:t>
      </w:r>
      <w:r>
        <w:rPr>
          <w:rFonts w:ascii="宋体" w:hAnsi="宋体" w:eastAsia="宋体" w:cs="宋体"/>
          <w:color w:val="auto"/>
          <w:sz w:val="24"/>
          <w:szCs w:val="24"/>
          <w:highlight w:val="none"/>
          <w:lang w:val="zh-TW" w:eastAsia="zh-TW"/>
        </w:rPr>
        <w:t>最终报价或最终报价</w:t>
      </w:r>
      <w:r>
        <w:rPr>
          <w:rFonts w:hint="eastAsia" w:ascii="宋体" w:hAnsi="宋体" w:eastAsia="宋体" w:cs="宋体"/>
          <w:color w:val="auto"/>
          <w:sz w:val="24"/>
          <w:szCs w:val="24"/>
          <w:highlight w:val="none"/>
          <w:lang w:val="en-US" w:eastAsia="zh-CN"/>
        </w:rPr>
        <w:t>低于控制价</w:t>
      </w:r>
      <w:r>
        <w:rPr>
          <w:rFonts w:ascii="宋体" w:hAnsi="宋体" w:eastAsia="宋体" w:cs="宋体"/>
          <w:color w:val="auto"/>
          <w:sz w:val="24"/>
          <w:szCs w:val="24"/>
          <w:highlight w:val="none"/>
          <w:lang w:val="zh-TW" w:eastAsia="zh-TW"/>
        </w:rPr>
        <w:t>且采购人无法接受的；</w:t>
      </w:r>
    </w:p>
    <w:p w14:paraId="0B4C4F82">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0</w:t>
      </w: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lang w:val="zh-TW" w:eastAsia="zh-TW"/>
        </w:rPr>
        <w:t>违反国家和地方政府采购法律法规的；</w:t>
      </w:r>
    </w:p>
    <w:p w14:paraId="7A4AC3EB">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ascii="宋体" w:hAnsi="宋体" w:eastAsia="宋体" w:cs="宋体"/>
          <w:color w:val="auto"/>
          <w:sz w:val="24"/>
          <w:szCs w:val="24"/>
          <w:highlight w:val="none"/>
          <w:lang w:val="zh-TW"/>
        </w:rPr>
        <w:t>）</w:t>
      </w:r>
      <w:r>
        <w:rPr>
          <w:rFonts w:ascii="宋体" w:hAnsi="宋体" w:eastAsia="宋体" w:cs="宋体"/>
          <w:color w:val="auto"/>
          <w:sz w:val="24"/>
          <w:szCs w:val="24"/>
          <w:highlight w:val="none"/>
          <w:lang w:val="zh-TW" w:eastAsia="zh-TW"/>
        </w:rPr>
        <w:t>不满足磋商文件规定的其它条件的。</w:t>
      </w:r>
    </w:p>
    <w:p w14:paraId="61D39860">
      <w:pPr>
        <w:spacing w:after="0" w:line="360" w:lineRule="auto"/>
        <w:ind w:firstLine="480" w:firstLineChars="200"/>
        <w:rPr>
          <w:rFonts w:ascii="宋体" w:hAnsi="宋体" w:eastAsia="宋体" w:cs="宋体"/>
          <w:color w:val="auto"/>
          <w:highlight w:val="none"/>
        </w:rPr>
      </w:pPr>
      <w:r>
        <w:rPr>
          <w:rStyle w:val="25"/>
          <w:rFonts w:ascii="宋体" w:hAnsi="宋体" w:eastAsia="宋体" w:cs="宋体"/>
          <w:color w:val="auto"/>
          <w:highlight w:val="none"/>
        </w:rPr>
        <w:t>初步评审采用</w:t>
      </w:r>
      <w:r>
        <w:rPr>
          <w:rFonts w:ascii="宋体" w:hAnsi="宋体" w:eastAsia="宋体" w:cs="宋体"/>
          <w:color w:val="auto"/>
          <w:sz w:val="24"/>
          <w:szCs w:val="24"/>
          <w:highlight w:val="none"/>
        </w:rPr>
        <w:t>“</w:t>
      </w:r>
      <w:r>
        <w:rPr>
          <w:rStyle w:val="25"/>
          <w:rFonts w:ascii="宋体" w:hAnsi="宋体" w:eastAsia="宋体" w:cs="宋体"/>
          <w:color w:val="auto"/>
          <w:highlight w:val="none"/>
        </w:rPr>
        <w:t>一项否决</w:t>
      </w:r>
      <w:r>
        <w:rPr>
          <w:rFonts w:ascii="宋体" w:hAnsi="宋体" w:eastAsia="宋体" w:cs="宋体"/>
          <w:color w:val="auto"/>
          <w:sz w:val="24"/>
          <w:szCs w:val="24"/>
          <w:highlight w:val="none"/>
        </w:rPr>
        <w:t>”</w:t>
      </w:r>
      <w:r>
        <w:rPr>
          <w:rStyle w:val="25"/>
          <w:rFonts w:ascii="宋体" w:hAnsi="宋体" w:eastAsia="宋体" w:cs="宋体"/>
          <w:color w:val="auto"/>
          <w:highlight w:val="none"/>
        </w:rPr>
        <w:t>的原则，只有全部符合要求的才能通过初步评审。</w:t>
      </w:r>
    </w:p>
    <w:p w14:paraId="7D68BA56">
      <w:pPr>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 xml:space="preserve">3. </w:t>
      </w:r>
      <w:r>
        <w:rPr>
          <w:rStyle w:val="25"/>
          <w:rFonts w:ascii="宋体" w:hAnsi="宋体" w:eastAsia="宋体" w:cs="宋体"/>
          <w:color w:val="auto"/>
          <w:highlight w:val="none"/>
        </w:rPr>
        <w:t>磋商</w:t>
      </w:r>
    </w:p>
    <w:p w14:paraId="4493B9E0">
      <w:pPr>
        <w:spacing w:after="0" w:line="360" w:lineRule="auto"/>
        <w:ind w:firstLine="480" w:firstLineChars="200"/>
        <w:rPr>
          <w:rFonts w:ascii="宋体" w:hAnsi="宋体" w:eastAsia="宋体" w:cs="宋体"/>
          <w:color w:val="auto"/>
          <w:highlight w:val="none"/>
        </w:rPr>
      </w:pPr>
      <w:r>
        <w:rPr>
          <w:rStyle w:val="25"/>
          <w:rFonts w:ascii="宋体" w:hAnsi="宋体" w:eastAsia="宋体" w:cs="宋体"/>
          <w:color w:val="auto"/>
          <w:highlight w:val="none"/>
        </w:rPr>
        <w:t>磋商小组所有成员应当集中与单一供应商分别进行磋商，并给予所有参加磋商的供应商平等的磋商机会。在磋商过程中，磋商小组可以根据磋商文件和磋商情况实质性变动</w:t>
      </w:r>
      <w:r>
        <w:rPr>
          <w:rStyle w:val="25"/>
          <w:rFonts w:hint="eastAsia" w:ascii="宋体" w:hAnsi="宋体" w:eastAsia="宋体" w:cs="宋体"/>
          <w:color w:val="auto"/>
          <w:highlight w:val="none"/>
          <w:lang w:eastAsia="zh-CN"/>
        </w:rPr>
        <w:t>招租需求</w:t>
      </w:r>
      <w:r>
        <w:rPr>
          <w:rStyle w:val="25"/>
          <w:rFonts w:ascii="宋体" w:hAnsi="宋体" w:eastAsia="宋体" w:cs="宋体"/>
          <w:color w:val="auto"/>
          <w:highlight w:val="none"/>
        </w:rPr>
        <w:t>中的技术、服务要求以及合同草案条款，但不得变动磋商文件中的其他内容。实质性变动的内容，须经采购人代表确认。</w:t>
      </w:r>
    </w:p>
    <w:p w14:paraId="47E60A47">
      <w:pPr>
        <w:spacing w:after="0" w:line="360" w:lineRule="auto"/>
        <w:ind w:firstLine="480" w:firstLineChars="200"/>
        <w:rPr>
          <w:rFonts w:ascii="宋体" w:hAnsi="宋体" w:eastAsia="宋体" w:cs="宋体"/>
          <w:color w:val="auto"/>
          <w:highlight w:val="none"/>
        </w:rPr>
      </w:pPr>
      <w:r>
        <w:rPr>
          <w:rStyle w:val="25"/>
          <w:rFonts w:ascii="宋体" w:hAnsi="宋体" w:eastAsia="宋体" w:cs="宋体"/>
          <w:color w:val="auto"/>
          <w:highlight w:val="none"/>
        </w:rPr>
        <w:t>对磋商文件作出的实质性变动是磋商文件的有效组成部分，磋商小组应当及时以书面形式同时通知所有参加磋商的供应商。</w:t>
      </w:r>
    </w:p>
    <w:p w14:paraId="44838748">
      <w:pPr>
        <w:spacing w:after="0" w:line="360" w:lineRule="auto"/>
        <w:ind w:firstLine="480" w:firstLineChars="200"/>
        <w:rPr>
          <w:rFonts w:ascii="宋体" w:hAnsi="宋体" w:eastAsia="宋体" w:cs="宋体"/>
          <w:color w:val="auto"/>
          <w:highlight w:val="none"/>
        </w:rPr>
      </w:pPr>
      <w:r>
        <w:rPr>
          <w:rStyle w:val="25"/>
          <w:rFonts w:ascii="宋体" w:hAnsi="宋体" w:eastAsia="宋体" w:cs="宋体"/>
          <w:color w:val="auto"/>
          <w:highlight w:val="none"/>
        </w:rPr>
        <w:t>供应商应当按照磋商文件的变动情况和磋商小组的要求重新提交响应文件，并由其法定代表人或负责人及授权代表签字或者加盖公章。由授权代表签字的，应当附法定代表人或负责人授权书。</w:t>
      </w:r>
    </w:p>
    <w:p w14:paraId="64A91781">
      <w:pPr>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 xml:space="preserve">4. </w:t>
      </w:r>
      <w:r>
        <w:rPr>
          <w:rStyle w:val="25"/>
          <w:rFonts w:ascii="宋体" w:hAnsi="宋体" w:eastAsia="宋体" w:cs="宋体"/>
          <w:color w:val="auto"/>
          <w:highlight w:val="none"/>
        </w:rPr>
        <w:t>最后报价</w:t>
      </w:r>
    </w:p>
    <w:p w14:paraId="2191B928">
      <w:pPr>
        <w:spacing w:after="0" w:line="360" w:lineRule="auto"/>
        <w:ind w:firstLine="480" w:firstLineChars="200"/>
        <w:rPr>
          <w:rFonts w:ascii="宋体" w:hAnsi="宋体" w:eastAsia="宋体" w:cs="宋体"/>
          <w:color w:val="auto"/>
          <w:highlight w:val="none"/>
        </w:rPr>
      </w:pPr>
      <w:r>
        <w:rPr>
          <w:rStyle w:val="25"/>
          <w:rFonts w:ascii="宋体" w:hAnsi="宋体" w:eastAsia="宋体" w:cs="宋体"/>
          <w:color w:val="auto"/>
          <w:highlight w:val="none"/>
        </w:rPr>
        <w:t>磋商结束后，磋商小组应当要求所有实质性响应的供应商在规定时间内提交最后报价，提交最后报价的供应商不得少于</w:t>
      </w:r>
      <w:r>
        <w:rPr>
          <w:rFonts w:ascii="宋体" w:hAnsi="宋体" w:eastAsia="宋体" w:cs="宋体"/>
          <w:color w:val="auto"/>
          <w:sz w:val="24"/>
          <w:szCs w:val="24"/>
          <w:highlight w:val="none"/>
        </w:rPr>
        <w:t>3</w:t>
      </w:r>
      <w:r>
        <w:rPr>
          <w:rStyle w:val="25"/>
          <w:rFonts w:ascii="宋体" w:hAnsi="宋体" w:eastAsia="宋体" w:cs="宋体"/>
          <w:color w:val="auto"/>
          <w:highlight w:val="none"/>
        </w:rPr>
        <w:t>家。已提交响应文件的供应商，在提交最后报价之前，可以根据磋商情况退出磋商。采购人、采购代理机构应当退还退出磋商的供应商的磋商保证金。（最终报价表格式见附表</w:t>
      </w:r>
      <w:r>
        <w:rPr>
          <w:rFonts w:ascii="宋体" w:hAnsi="宋体" w:eastAsia="宋体" w:cs="宋体"/>
          <w:color w:val="auto"/>
          <w:sz w:val="24"/>
          <w:szCs w:val="24"/>
          <w:highlight w:val="none"/>
        </w:rPr>
        <w:t>2</w:t>
      </w:r>
      <w:r>
        <w:rPr>
          <w:rStyle w:val="25"/>
          <w:rFonts w:ascii="宋体" w:hAnsi="宋体" w:eastAsia="宋体" w:cs="宋体"/>
          <w:color w:val="auto"/>
          <w:highlight w:val="none"/>
        </w:rPr>
        <w:t>）</w:t>
      </w:r>
    </w:p>
    <w:p w14:paraId="35917AA1">
      <w:pPr>
        <w:spacing w:after="0"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按照财政部关于政府采购竞争性磋商采购方式管理暂行办法有关问题的补充通知（财库〔2015〕124号）：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546D4DEB">
      <w:pPr>
        <w:spacing w:after="0" w:line="360" w:lineRule="auto"/>
        <w:ind w:firstLine="480" w:firstLineChars="200"/>
        <w:rPr>
          <w:rFonts w:ascii="宋体" w:hAnsi="宋体" w:eastAsia="宋体" w:cs="宋体"/>
          <w:color w:val="auto"/>
          <w:highlight w:val="none"/>
        </w:rPr>
      </w:pPr>
      <w:r>
        <w:rPr>
          <w:rFonts w:ascii="宋体" w:hAnsi="宋体" w:eastAsia="宋体" w:cs="宋体"/>
          <w:color w:val="auto"/>
          <w:sz w:val="24"/>
          <w:szCs w:val="24"/>
          <w:highlight w:val="none"/>
        </w:rPr>
        <w:t xml:space="preserve">5. </w:t>
      </w:r>
      <w:r>
        <w:rPr>
          <w:rStyle w:val="25"/>
          <w:rFonts w:ascii="宋体" w:hAnsi="宋体" w:eastAsia="宋体" w:cs="宋体"/>
          <w:color w:val="auto"/>
          <w:highlight w:val="none"/>
        </w:rPr>
        <w:t>综合评审</w:t>
      </w:r>
    </w:p>
    <w:p w14:paraId="6E22810D">
      <w:pPr>
        <w:spacing w:after="0" w:line="360" w:lineRule="auto"/>
        <w:ind w:firstLine="480" w:firstLineChars="200"/>
        <w:rPr>
          <w:rFonts w:ascii="宋体" w:hAnsi="宋体" w:eastAsia="宋体" w:cs="宋体"/>
          <w:color w:val="auto"/>
          <w:sz w:val="24"/>
          <w:szCs w:val="24"/>
          <w:highlight w:val="none"/>
        </w:rPr>
      </w:pPr>
      <w:r>
        <w:rPr>
          <w:rStyle w:val="25"/>
          <w:rFonts w:ascii="宋体" w:hAnsi="宋体" w:eastAsia="宋体" w:cs="宋体"/>
          <w:color w:val="auto"/>
          <w:highlight w:val="none"/>
        </w:rPr>
        <w:t>经磋商确定最终</w:t>
      </w:r>
      <w:r>
        <w:rPr>
          <w:rStyle w:val="25"/>
          <w:rFonts w:hint="eastAsia" w:ascii="宋体" w:hAnsi="宋体" w:eastAsia="宋体" w:cs="宋体"/>
          <w:color w:val="auto"/>
          <w:highlight w:val="none"/>
          <w:lang w:eastAsia="zh-CN"/>
        </w:rPr>
        <w:t>招租需求</w:t>
      </w:r>
      <w:r>
        <w:rPr>
          <w:rStyle w:val="25"/>
          <w:rFonts w:ascii="宋体" w:hAnsi="宋体" w:eastAsia="宋体" w:cs="宋体"/>
          <w:color w:val="auto"/>
          <w:highlight w:val="none"/>
        </w:rPr>
        <w:t>，由磋商小组采用综合评分法对供应商的响应文件</w:t>
      </w:r>
      <w:r>
        <w:rPr>
          <w:rStyle w:val="25"/>
          <w:rFonts w:ascii="宋体" w:hAnsi="宋体" w:eastAsia="宋体" w:cs="宋体"/>
          <w:color w:val="auto"/>
          <w:highlight w:val="none"/>
          <w:lang w:eastAsia="zh-CN"/>
        </w:rPr>
        <w:t>进行</w:t>
      </w:r>
      <w:r>
        <w:rPr>
          <w:rStyle w:val="25"/>
          <w:rFonts w:ascii="宋体" w:hAnsi="宋体" w:eastAsia="宋体" w:cs="宋体"/>
          <w:color w:val="auto"/>
          <w:highlight w:val="none"/>
        </w:rPr>
        <w:t>综合评分。（评审标准详见附表</w:t>
      </w:r>
      <w:r>
        <w:rPr>
          <w:rFonts w:ascii="宋体" w:hAnsi="宋体" w:eastAsia="宋体" w:cs="宋体"/>
          <w:color w:val="auto"/>
          <w:sz w:val="24"/>
          <w:szCs w:val="24"/>
          <w:highlight w:val="none"/>
        </w:rPr>
        <w:t>3</w:t>
      </w:r>
      <w:r>
        <w:rPr>
          <w:rStyle w:val="25"/>
          <w:rFonts w:ascii="宋体" w:hAnsi="宋体" w:eastAsia="宋体" w:cs="宋体"/>
          <w:color w:val="auto"/>
          <w:highlight w:val="none"/>
        </w:rPr>
        <w:t>）</w:t>
      </w:r>
    </w:p>
    <w:p w14:paraId="6F243A0D">
      <w:pPr>
        <w:spacing w:after="0" w:line="360" w:lineRule="auto"/>
        <w:ind w:firstLine="480" w:firstLineChars="200"/>
        <w:rPr>
          <w:rFonts w:ascii="宋体" w:hAnsi="宋体" w:eastAsia="宋体" w:cs="宋体"/>
          <w:color w:val="auto"/>
          <w:highlight w:val="none"/>
        </w:rPr>
      </w:pPr>
      <w:r>
        <w:rPr>
          <w:rFonts w:hint="eastAsia" w:ascii="宋体" w:hAnsi="宋体" w:eastAsia="宋体" w:cs="宋体"/>
          <w:color w:val="auto"/>
          <w:sz w:val="24"/>
          <w:szCs w:val="24"/>
          <w:highlight w:val="none"/>
          <w:lang w:val="en-US" w:eastAsia="zh-CN"/>
        </w:rPr>
        <w:t>6</w:t>
      </w:r>
      <w:r>
        <w:rPr>
          <w:rFonts w:ascii="宋体" w:hAnsi="宋体" w:eastAsia="宋体" w:cs="宋体"/>
          <w:color w:val="auto"/>
          <w:sz w:val="24"/>
          <w:szCs w:val="24"/>
          <w:highlight w:val="none"/>
        </w:rPr>
        <w:t xml:space="preserve">. </w:t>
      </w:r>
      <w:r>
        <w:rPr>
          <w:rStyle w:val="25"/>
          <w:rFonts w:ascii="宋体" w:hAnsi="宋体" w:eastAsia="宋体" w:cs="宋体"/>
          <w:color w:val="auto"/>
          <w:highlight w:val="none"/>
        </w:rPr>
        <w:t>推荐成交供应商</w:t>
      </w:r>
    </w:p>
    <w:p w14:paraId="5C43F4E3">
      <w:pPr>
        <w:numPr>
          <w:ilvl w:val="0"/>
          <w:numId w:val="0"/>
        </w:numPr>
        <w:spacing w:after="0" w:line="360" w:lineRule="auto"/>
        <w:ind w:firstLine="480" w:firstLineChars="200"/>
        <w:rPr>
          <w:rFonts w:ascii="宋体" w:hAnsi="宋体" w:eastAsia="宋体" w:cs="宋体"/>
          <w:color w:val="auto"/>
          <w:sz w:val="24"/>
          <w:szCs w:val="24"/>
          <w:highlight w:val="none"/>
          <w:lang w:val="zh-TW" w:eastAsia="zh-TW"/>
        </w:rPr>
      </w:pPr>
      <w:r>
        <w:rPr>
          <w:rStyle w:val="25"/>
          <w:rFonts w:ascii="宋体" w:hAnsi="宋体" w:eastAsia="宋体" w:cs="宋体"/>
          <w:color w:val="auto"/>
          <w:highlight w:val="none"/>
        </w:rPr>
        <w:t>磋商小组应当根据综合评分情况，按照评审得分由高到低顺序推荐</w:t>
      </w:r>
      <w:r>
        <w:rPr>
          <w:rFonts w:ascii="宋体" w:hAnsi="宋体" w:eastAsia="宋体" w:cs="宋体"/>
          <w:color w:val="auto"/>
          <w:sz w:val="24"/>
          <w:szCs w:val="24"/>
          <w:highlight w:val="none"/>
        </w:rPr>
        <w:t>3</w:t>
      </w:r>
      <w:r>
        <w:rPr>
          <w:rStyle w:val="25"/>
          <w:rFonts w:ascii="宋体" w:hAnsi="宋体" w:eastAsia="宋体" w:cs="宋体"/>
          <w:color w:val="auto"/>
          <w:highlight w:val="none"/>
        </w:rPr>
        <w:t>名成交候选供应商，并编写评审报告。评审得分相同的，按照技术指标优劣顺序推荐。</w:t>
      </w:r>
    </w:p>
    <w:p w14:paraId="193E0EEE">
      <w:pPr>
        <w:pStyle w:val="3"/>
        <w:spacing w:before="0" w:after="0" w:line="360" w:lineRule="auto"/>
        <w:ind w:firstLine="562" w:firstLineChars="200"/>
        <w:rPr>
          <w:rFonts w:ascii="宋体" w:hAnsi="宋体" w:cs="宋体"/>
          <w:color w:val="auto"/>
          <w:highlight w:val="none"/>
        </w:rPr>
      </w:pPr>
      <w:r>
        <w:rPr>
          <w:rFonts w:ascii="宋体" w:hAnsi="宋体" w:cs="宋体"/>
          <w:b/>
          <w:bCs/>
          <w:color w:val="auto"/>
          <w:sz w:val="28"/>
          <w:szCs w:val="28"/>
          <w:highlight w:val="none"/>
          <w:lang w:val="zh-TW" w:eastAsia="zh-TW"/>
        </w:rPr>
        <w:t>三、磋商、评审过程的保密性</w:t>
      </w:r>
    </w:p>
    <w:p w14:paraId="791D10C2">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lang w:val="zh-TW" w:eastAsia="zh-TW"/>
        </w:rPr>
        <w:t>接受报价后，直至成交供应商与</w:t>
      </w:r>
      <w:r>
        <w:rPr>
          <w:rFonts w:hint="eastAsia" w:ascii="宋体" w:hAnsi="宋体" w:eastAsia="宋体" w:cs="宋体"/>
          <w:color w:val="auto"/>
          <w:sz w:val="24"/>
          <w:szCs w:val="24"/>
          <w:highlight w:val="none"/>
          <w:lang w:val="en-US" w:eastAsia="zh-CN"/>
        </w:rPr>
        <w:t>采购人</w:t>
      </w:r>
      <w:r>
        <w:rPr>
          <w:rFonts w:ascii="宋体" w:hAnsi="宋体" w:eastAsia="宋体" w:cs="宋体"/>
          <w:color w:val="auto"/>
          <w:sz w:val="24"/>
          <w:szCs w:val="24"/>
          <w:highlight w:val="none"/>
          <w:lang w:val="zh-TW" w:eastAsia="zh-TW"/>
        </w:rPr>
        <w:t>签订合同后止，凡与磋商、审查、澄清、评价、比较、确定成交人意见有关的内容，任何人均不得向供应商及与磋商评审无关的其他人透露。</w:t>
      </w:r>
    </w:p>
    <w:p w14:paraId="593F03F7">
      <w:pPr>
        <w:widowControl w:val="0"/>
        <w:spacing w:after="0" w:line="360" w:lineRule="auto"/>
        <w:ind w:firstLine="480" w:firstLineChars="200"/>
        <w:rPr>
          <w:rFonts w:ascii="宋体" w:hAnsi="宋体" w:eastAsia="宋体" w:cs="宋体"/>
          <w:color w:val="auto"/>
          <w:sz w:val="24"/>
          <w:szCs w:val="24"/>
          <w:highlight w:val="none"/>
          <w:lang w:val="zh-TW" w:eastAsia="zh-TW"/>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lang w:val="zh-TW" w:eastAsia="zh-TW"/>
        </w:rPr>
        <w:t>从磋商响应文件递交截止时间起到确定成交供应商之日止，供应商不得与参加磋商、评审的有关人员私下接触。在磋商评审过程中，如果供应商试图在磋商响应文件审查、澄清、比较及推荐成交供应商方面向参与磋商评审的有关人员和采购人施加任何影响，其磋商响应文件将被拒绝。</w:t>
      </w:r>
    </w:p>
    <w:p w14:paraId="042992A7">
      <w:pPr>
        <w:pStyle w:val="3"/>
        <w:spacing w:before="0" w:after="0" w:line="360" w:lineRule="auto"/>
        <w:ind w:firstLine="562" w:firstLineChars="200"/>
        <w:rPr>
          <w:rFonts w:ascii="宋体" w:hAnsi="宋体" w:cs="宋体"/>
          <w:color w:val="auto"/>
          <w:highlight w:val="none"/>
        </w:rPr>
      </w:pPr>
      <w:r>
        <w:rPr>
          <w:rFonts w:ascii="宋体" w:hAnsi="宋体" w:cs="宋体"/>
          <w:b/>
          <w:bCs/>
          <w:color w:val="auto"/>
          <w:sz w:val="28"/>
          <w:szCs w:val="28"/>
          <w:highlight w:val="none"/>
          <w:lang w:val="zh-TW" w:eastAsia="zh-TW"/>
        </w:rPr>
        <w:t>四、接受和拒绝任何或所有报价的权利</w:t>
      </w:r>
    </w:p>
    <w:p w14:paraId="3F26964E">
      <w:pPr>
        <w:tabs>
          <w:tab w:val="left" w:pos="180"/>
          <w:tab w:val="left" w:pos="360"/>
        </w:tabs>
        <w:spacing w:after="0" w:line="360" w:lineRule="auto"/>
        <w:ind w:right="33" w:firstLine="480" w:firstLineChars="200"/>
        <w:rPr>
          <w:rFonts w:ascii="宋体" w:hAnsi="宋体" w:eastAsia="宋体" w:cs="宋体"/>
          <w:color w:val="auto"/>
          <w:highlight w:val="none"/>
        </w:rPr>
      </w:pPr>
      <w:r>
        <w:rPr>
          <w:rStyle w:val="25"/>
          <w:rFonts w:ascii="宋体" w:hAnsi="宋体" w:eastAsia="宋体" w:cs="宋体"/>
          <w:color w:val="auto"/>
          <w:highlight w:val="none"/>
        </w:rPr>
        <w:t>采购人保留在成交之前任何时候接受或拒绝任何报价，以及宣布竞争性磋商无效或拒绝所有磋商响应文件的权力，对受影响的供应商不承担任何责任。</w:t>
      </w:r>
    </w:p>
    <w:p w14:paraId="43EFA0C6">
      <w:pPr>
        <w:pStyle w:val="3"/>
        <w:spacing w:before="0" w:after="0" w:line="360" w:lineRule="auto"/>
        <w:ind w:firstLine="562" w:firstLineChars="200"/>
        <w:rPr>
          <w:rFonts w:ascii="宋体" w:hAnsi="宋体" w:cs="宋体"/>
          <w:color w:val="auto"/>
          <w:highlight w:val="none"/>
        </w:rPr>
      </w:pPr>
      <w:r>
        <w:rPr>
          <w:rFonts w:ascii="宋体" w:hAnsi="宋体" w:cs="宋体"/>
          <w:b/>
          <w:bCs/>
          <w:color w:val="auto"/>
          <w:sz w:val="28"/>
          <w:szCs w:val="28"/>
          <w:highlight w:val="none"/>
          <w:lang w:val="zh-TW" w:eastAsia="zh-TW"/>
        </w:rPr>
        <w:t>五、变更技术方案的权利</w:t>
      </w:r>
    </w:p>
    <w:p w14:paraId="56A4A218">
      <w:pPr>
        <w:spacing w:line="360" w:lineRule="auto"/>
        <w:ind w:right="440" w:firstLine="480" w:firstLineChars="200"/>
        <w:rPr>
          <w:rFonts w:ascii="宋体" w:hAnsi="宋体" w:eastAsia="宋体" w:cs="宋体"/>
          <w:color w:val="auto"/>
          <w:highlight w:val="none"/>
        </w:rPr>
      </w:pPr>
      <w:r>
        <w:rPr>
          <w:rStyle w:val="25"/>
          <w:rFonts w:ascii="宋体" w:hAnsi="宋体" w:eastAsia="宋体" w:cs="宋体"/>
          <w:color w:val="auto"/>
          <w:highlight w:val="none"/>
        </w:rPr>
        <w:t>在竞争性磋商过程中，采购人有权变更技术方案或采购数量，但不超过原合同采购金额的百分之十，如果供应商根据采购人提出的变更要求调整方案或价格后未能获得合同，采购人和采购代理机构不承担任何责任。</w:t>
      </w:r>
    </w:p>
    <w:p w14:paraId="4A2A47FE">
      <w:pPr>
        <w:pStyle w:val="3"/>
        <w:pageBreakBefore/>
        <w:tabs>
          <w:tab w:val="left" w:pos="5580"/>
        </w:tabs>
        <w:spacing w:before="0" w:after="0" w:line="22" w:lineRule="atLeast"/>
        <w:rPr>
          <w:rFonts w:ascii="宋体" w:hAnsi="宋体" w:cs="宋体"/>
          <w:color w:val="auto"/>
          <w:sz w:val="36"/>
          <w:szCs w:val="36"/>
          <w:highlight w:val="none"/>
        </w:rPr>
      </w:pPr>
      <w:r>
        <w:rPr>
          <w:rFonts w:ascii="宋体" w:hAnsi="宋体" w:cs="宋体"/>
          <w:b/>
          <w:bCs/>
          <w:color w:val="auto"/>
          <w:sz w:val="28"/>
          <w:szCs w:val="28"/>
          <w:highlight w:val="none"/>
          <w:lang w:val="zh-TW" w:eastAsia="zh-TW"/>
        </w:rPr>
        <w:t>附表</w:t>
      </w:r>
      <w:r>
        <w:rPr>
          <w:rFonts w:ascii="宋体" w:hAnsi="宋体" w:cs="宋体"/>
          <w:b/>
          <w:bCs/>
          <w:color w:val="auto"/>
          <w:sz w:val="28"/>
          <w:szCs w:val="28"/>
          <w:highlight w:val="none"/>
        </w:rPr>
        <w:t xml:space="preserve">1 </w:t>
      </w:r>
    </w:p>
    <w:p w14:paraId="525AE220">
      <w:pPr>
        <w:ind w:left="0" w:leftChars="0" w:firstLine="0" w:firstLineChars="0"/>
        <w:jc w:val="center"/>
        <w:rPr>
          <w:rFonts w:hint="eastAsia" w:ascii="宋体" w:hAnsi="宋体" w:eastAsia="宋体" w:cs="宋体"/>
          <w:color w:val="auto"/>
          <w:sz w:val="36"/>
          <w:szCs w:val="36"/>
          <w:highlight w:val="none"/>
          <w:lang w:eastAsia="zh-CN"/>
        </w:rPr>
      </w:pPr>
      <w:r>
        <w:rPr>
          <w:rFonts w:ascii="宋体" w:hAnsi="宋体" w:eastAsia="宋体" w:cs="宋体"/>
          <w:b/>
          <w:bCs/>
          <w:color w:val="auto"/>
          <w:sz w:val="36"/>
          <w:szCs w:val="36"/>
          <w:highlight w:val="none"/>
          <w:lang w:val="zh-TW" w:eastAsia="zh-TW"/>
        </w:rPr>
        <w:t>初步评审表</w:t>
      </w:r>
    </w:p>
    <w:tbl>
      <w:tblPr>
        <w:tblStyle w:val="17"/>
        <w:tblW w:w="9031"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07"/>
        <w:gridCol w:w="2366"/>
        <w:gridCol w:w="4777"/>
        <w:gridCol w:w="1181"/>
      </w:tblGrid>
      <w:tr w14:paraId="6AB9DDE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33" w:hRule="atLeast"/>
          <w:jc w:val="center"/>
        </w:trPr>
        <w:tc>
          <w:tcPr>
            <w:tcW w:w="70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4A12DEB0">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序号</w:t>
            </w:r>
          </w:p>
        </w:tc>
        <w:tc>
          <w:tcPr>
            <w:tcW w:w="2366"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7906D49E">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审查项目</w:t>
            </w:r>
          </w:p>
        </w:tc>
        <w:tc>
          <w:tcPr>
            <w:tcW w:w="477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156E1D76">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评议内容</w:t>
            </w:r>
          </w:p>
        </w:tc>
        <w:tc>
          <w:tcPr>
            <w:tcW w:w="1181"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27690DBB">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供应商</w:t>
            </w:r>
          </w:p>
        </w:tc>
      </w:tr>
      <w:tr w14:paraId="124735C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33" w:hRule="atLeast"/>
          <w:jc w:val="center"/>
        </w:trPr>
        <w:tc>
          <w:tcPr>
            <w:tcW w:w="70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5A84DF7C">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2366"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7E51761E">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供应商资格要求</w:t>
            </w:r>
          </w:p>
        </w:tc>
        <w:tc>
          <w:tcPr>
            <w:tcW w:w="477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0D53F978">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是否满足磋商文件供应商资格要求</w:t>
            </w:r>
          </w:p>
        </w:tc>
        <w:tc>
          <w:tcPr>
            <w:tcW w:w="1181"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2D36D84F">
            <w:pPr>
              <w:keepNext w:val="0"/>
              <w:keepLines w:val="0"/>
              <w:widowControl/>
              <w:suppressLineNumbers w:val="0"/>
              <w:spacing w:before="0" w:beforeAutospacing="0" w:after="0" w:afterAutospacing="0"/>
              <w:ind w:left="0" w:right="0"/>
              <w:rPr>
                <w:rFonts w:ascii="宋体" w:hAnsi="宋体" w:eastAsia="宋体" w:cs="宋体"/>
                <w:color w:val="auto"/>
                <w:sz w:val="24"/>
                <w:szCs w:val="24"/>
                <w:highlight w:val="none"/>
              </w:rPr>
            </w:pPr>
          </w:p>
        </w:tc>
      </w:tr>
      <w:tr w14:paraId="6A1EBFB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33" w:hRule="atLeast"/>
          <w:jc w:val="center"/>
        </w:trPr>
        <w:tc>
          <w:tcPr>
            <w:tcW w:w="70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2CA8393C">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2</w:t>
            </w:r>
          </w:p>
        </w:tc>
        <w:tc>
          <w:tcPr>
            <w:tcW w:w="2366"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74745475">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响应报价</w:t>
            </w:r>
          </w:p>
        </w:tc>
        <w:tc>
          <w:tcPr>
            <w:tcW w:w="477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35B2375F">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是否未</w:t>
            </w:r>
            <w:r>
              <w:rPr>
                <w:rFonts w:hint="eastAsia" w:ascii="宋体" w:hAnsi="宋体" w:eastAsia="宋体" w:cs="宋体"/>
                <w:color w:val="auto"/>
                <w:sz w:val="24"/>
                <w:szCs w:val="24"/>
                <w:highlight w:val="none"/>
                <w:lang w:val="en-US" w:eastAsia="zh-CN"/>
              </w:rPr>
              <w:t>低于</w:t>
            </w:r>
            <w:r>
              <w:rPr>
                <w:rFonts w:hint="eastAsia" w:ascii="宋体" w:hAnsi="宋体" w:eastAsia="宋体" w:cs="宋体"/>
                <w:color w:val="auto"/>
                <w:sz w:val="24"/>
                <w:szCs w:val="24"/>
                <w:highlight w:val="none"/>
              </w:rPr>
              <w:t>磋商文件规定的</w:t>
            </w:r>
            <w:r>
              <w:rPr>
                <w:rFonts w:hint="eastAsia" w:ascii="宋体" w:hAnsi="宋体" w:eastAsia="宋体" w:cs="宋体"/>
                <w:color w:val="auto"/>
                <w:sz w:val="24"/>
                <w:szCs w:val="24"/>
                <w:highlight w:val="none"/>
                <w:lang w:val="en-US" w:eastAsia="zh-CN"/>
              </w:rPr>
              <w:t>控制价</w:t>
            </w:r>
            <w:r>
              <w:rPr>
                <w:rFonts w:hint="eastAsia" w:ascii="宋体" w:hAnsi="宋体" w:eastAsia="宋体" w:cs="宋体"/>
                <w:color w:val="auto"/>
                <w:sz w:val="24"/>
                <w:szCs w:val="24"/>
                <w:highlight w:val="none"/>
              </w:rPr>
              <w:t>，并且符合其他报价规定</w:t>
            </w:r>
          </w:p>
        </w:tc>
        <w:tc>
          <w:tcPr>
            <w:tcW w:w="1181"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1778E9F9">
            <w:pPr>
              <w:keepNext w:val="0"/>
              <w:keepLines w:val="0"/>
              <w:widowControl/>
              <w:suppressLineNumbers w:val="0"/>
              <w:spacing w:before="0" w:beforeAutospacing="0" w:after="0" w:afterAutospacing="0"/>
              <w:ind w:left="0" w:right="0"/>
              <w:rPr>
                <w:rFonts w:ascii="宋体" w:hAnsi="宋体" w:eastAsia="宋体" w:cs="宋体"/>
                <w:color w:val="auto"/>
                <w:sz w:val="24"/>
                <w:szCs w:val="24"/>
                <w:highlight w:val="none"/>
              </w:rPr>
            </w:pPr>
          </w:p>
        </w:tc>
      </w:tr>
      <w:tr w14:paraId="6CC6A33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33" w:hRule="atLeast"/>
          <w:jc w:val="center"/>
        </w:trPr>
        <w:tc>
          <w:tcPr>
            <w:tcW w:w="70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36E73419">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3</w:t>
            </w:r>
          </w:p>
        </w:tc>
        <w:tc>
          <w:tcPr>
            <w:tcW w:w="2366"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684A6A6B">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响应文件投标</w:t>
            </w:r>
            <w:r>
              <w:rPr>
                <w:rFonts w:ascii="宋体" w:hAnsi="宋体" w:eastAsia="宋体" w:cs="宋体"/>
                <w:color w:val="auto"/>
                <w:sz w:val="24"/>
                <w:szCs w:val="24"/>
                <w:highlight w:val="none"/>
              </w:rPr>
              <w:t>有效期</w:t>
            </w:r>
          </w:p>
        </w:tc>
        <w:tc>
          <w:tcPr>
            <w:tcW w:w="477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769FC5A2">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是否满足磋商文件要求</w:t>
            </w:r>
          </w:p>
        </w:tc>
        <w:tc>
          <w:tcPr>
            <w:tcW w:w="1181"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79EDC93F">
            <w:pPr>
              <w:keepNext w:val="0"/>
              <w:keepLines w:val="0"/>
              <w:widowControl/>
              <w:suppressLineNumbers w:val="0"/>
              <w:spacing w:before="0" w:beforeAutospacing="0" w:after="0" w:afterAutospacing="0"/>
              <w:ind w:left="0" w:right="0"/>
              <w:rPr>
                <w:rFonts w:ascii="宋体" w:hAnsi="宋体" w:eastAsia="宋体" w:cs="宋体"/>
                <w:color w:val="auto"/>
                <w:sz w:val="24"/>
                <w:szCs w:val="24"/>
                <w:highlight w:val="none"/>
              </w:rPr>
            </w:pPr>
          </w:p>
        </w:tc>
      </w:tr>
      <w:tr w14:paraId="0FF9ED9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33" w:hRule="atLeast"/>
          <w:jc w:val="center"/>
        </w:trPr>
        <w:tc>
          <w:tcPr>
            <w:tcW w:w="70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3485E5B4">
            <w:pPr>
              <w:keepNext w:val="0"/>
              <w:keepLines w:val="0"/>
              <w:widowControl/>
              <w:suppressLineNumbers w:val="0"/>
              <w:spacing w:before="0" w:beforeAutospacing="0" w:after="0" w:afterAutospacing="0"/>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2366"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1063A062">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响应文件的</w:t>
            </w:r>
            <w:r>
              <w:rPr>
                <w:rFonts w:hint="eastAsia" w:ascii="宋体" w:hAnsi="宋体" w:eastAsia="宋体" w:cs="宋体"/>
                <w:color w:val="auto"/>
                <w:sz w:val="24"/>
                <w:szCs w:val="24"/>
                <w:highlight w:val="none"/>
                <w:lang w:val="en-US" w:eastAsia="zh-CN"/>
              </w:rPr>
              <w:t>式样、</w:t>
            </w:r>
            <w:r>
              <w:rPr>
                <w:rFonts w:ascii="宋体" w:hAnsi="宋体" w:eastAsia="宋体" w:cs="宋体"/>
                <w:color w:val="auto"/>
                <w:sz w:val="24"/>
                <w:szCs w:val="24"/>
                <w:highlight w:val="none"/>
              </w:rPr>
              <w:t>签署和盖章</w:t>
            </w:r>
          </w:p>
        </w:tc>
        <w:tc>
          <w:tcPr>
            <w:tcW w:w="477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07D2AD76">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是否符合竞争性磋商文件规定要求的</w:t>
            </w:r>
            <w:r>
              <w:rPr>
                <w:rFonts w:hint="eastAsia" w:ascii="宋体" w:hAnsi="宋体" w:eastAsia="宋体" w:cs="宋体"/>
                <w:color w:val="auto"/>
                <w:sz w:val="24"/>
                <w:szCs w:val="24"/>
                <w:highlight w:val="none"/>
                <w:lang w:val="en-US" w:eastAsia="zh-CN"/>
              </w:rPr>
              <w:t>式样、</w:t>
            </w:r>
            <w:r>
              <w:rPr>
                <w:rFonts w:ascii="宋体" w:hAnsi="宋体" w:eastAsia="宋体" w:cs="宋体"/>
                <w:color w:val="auto"/>
                <w:sz w:val="24"/>
                <w:szCs w:val="24"/>
                <w:highlight w:val="none"/>
              </w:rPr>
              <w:t>签署和盖章，内容基本完整，无实质性缺漏</w:t>
            </w:r>
          </w:p>
        </w:tc>
        <w:tc>
          <w:tcPr>
            <w:tcW w:w="1181"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13C99052">
            <w:pPr>
              <w:keepNext w:val="0"/>
              <w:keepLines w:val="0"/>
              <w:widowControl/>
              <w:suppressLineNumbers w:val="0"/>
              <w:spacing w:before="0" w:beforeAutospacing="0" w:after="0" w:afterAutospacing="0"/>
              <w:ind w:left="0" w:right="0"/>
              <w:rPr>
                <w:rFonts w:ascii="宋体" w:hAnsi="宋体" w:eastAsia="宋体" w:cs="宋体"/>
                <w:color w:val="auto"/>
                <w:sz w:val="24"/>
                <w:szCs w:val="24"/>
                <w:highlight w:val="none"/>
              </w:rPr>
            </w:pPr>
          </w:p>
        </w:tc>
      </w:tr>
      <w:tr w14:paraId="3540502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33" w:hRule="atLeast"/>
          <w:jc w:val="center"/>
        </w:trPr>
        <w:tc>
          <w:tcPr>
            <w:tcW w:w="70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6566F63B">
            <w:pPr>
              <w:keepNext w:val="0"/>
              <w:keepLines w:val="0"/>
              <w:widowControl/>
              <w:suppressLineNumbers w:val="0"/>
              <w:spacing w:before="0" w:beforeAutospacing="0" w:after="0" w:afterAutospacing="0"/>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2366"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3472191A">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租赁期限</w:t>
            </w:r>
            <w:r>
              <w:rPr>
                <w:rFonts w:hint="eastAsia" w:ascii="宋体" w:hAnsi="宋体" w:eastAsia="宋体" w:cs="宋体"/>
                <w:color w:val="auto"/>
                <w:sz w:val="24"/>
                <w:szCs w:val="24"/>
                <w:highlight w:val="none"/>
                <w:lang w:val="en-US" w:eastAsia="zh-CN"/>
              </w:rPr>
              <w:t xml:space="preserve">     </w:t>
            </w:r>
          </w:p>
        </w:tc>
        <w:tc>
          <w:tcPr>
            <w:tcW w:w="477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60AED3AF">
            <w:pPr>
              <w:keepNext w:val="0"/>
              <w:keepLines w:val="0"/>
              <w:widowControl/>
              <w:suppressLineNumbers w:val="0"/>
              <w:spacing w:before="0" w:beforeAutospacing="0" w:after="0" w:afterAutospacing="0"/>
              <w:ind w:left="0" w:right="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是否满足磋商文件要求</w:t>
            </w:r>
          </w:p>
        </w:tc>
        <w:tc>
          <w:tcPr>
            <w:tcW w:w="1181"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7013870A">
            <w:pPr>
              <w:keepNext w:val="0"/>
              <w:keepLines w:val="0"/>
              <w:widowControl/>
              <w:suppressLineNumbers w:val="0"/>
              <w:spacing w:before="0" w:beforeAutospacing="0" w:after="0" w:afterAutospacing="0"/>
              <w:ind w:left="0" w:right="0"/>
              <w:rPr>
                <w:rFonts w:ascii="宋体" w:hAnsi="宋体" w:eastAsia="宋体" w:cs="宋体"/>
                <w:color w:val="auto"/>
                <w:sz w:val="24"/>
                <w:szCs w:val="24"/>
                <w:highlight w:val="none"/>
              </w:rPr>
            </w:pPr>
          </w:p>
        </w:tc>
      </w:tr>
      <w:tr w14:paraId="06282E9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33" w:hRule="atLeast"/>
          <w:jc w:val="center"/>
        </w:trPr>
        <w:tc>
          <w:tcPr>
            <w:tcW w:w="70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18DB8440">
            <w:pPr>
              <w:keepNext w:val="0"/>
              <w:keepLines w:val="0"/>
              <w:widowControl/>
              <w:suppressLineNumbers w:val="0"/>
              <w:spacing w:before="0" w:beforeAutospacing="0" w:after="0" w:afterAutospacing="0"/>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c>
          <w:tcPr>
            <w:tcW w:w="2366"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2E044946">
            <w:pPr>
              <w:keepNext w:val="0"/>
              <w:keepLines w:val="0"/>
              <w:widowControl/>
              <w:suppressLineNumbers w:val="0"/>
              <w:spacing w:before="0" w:beforeAutospacing="0" w:after="0" w:afterAutospacing="0"/>
              <w:ind w:left="0" w:right="0"/>
              <w:jc w:val="center"/>
              <w:rPr>
                <w:rFonts w:ascii="宋体" w:hAnsi="宋体" w:eastAsia="宋体" w:cs="宋体"/>
                <w:color w:val="FF0000"/>
                <w:sz w:val="24"/>
                <w:szCs w:val="24"/>
                <w:highlight w:val="none"/>
              </w:rPr>
            </w:pPr>
            <w:r>
              <w:rPr>
                <w:rFonts w:ascii="宋体" w:hAnsi="宋体" w:eastAsia="宋体" w:cs="宋体"/>
                <w:color w:val="auto"/>
                <w:sz w:val="24"/>
                <w:szCs w:val="24"/>
                <w:highlight w:val="none"/>
              </w:rPr>
              <w:t>其他</w:t>
            </w:r>
          </w:p>
        </w:tc>
        <w:tc>
          <w:tcPr>
            <w:tcW w:w="4777"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05CB9C09">
            <w:pPr>
              <w:keepNext w:val="0"/>
              <w:keepLines w:val="0"/>
              <w:widowControl/>
              <w:suppressLineNumbers w:val="0"/>
              <w:spacing w:before="0" w:beforeAutospacing="0" w:after="0" w:afterAutospacing="0"/>
              <w:ind w:left="0" w:right="0"/>
              <w:jc w:val="center"/>
              <w:rPr>
                <w:rFonts w:ascii="宋体" w:hAnsi="宋体" w:eastAsia="宋体" w:cs="宋体"/>
                <w:color w:val="FF0000"/>
                <w:sz w:val="24"/>
                <w:szCs w:val="24"/>
                <w:highlight w:val="none"/>
              </w:rPr>
            </w:pPr>
            <w:r>
              <w:rPr>
                <w:rFonts w:ascii="宋体" w:hAnsi="宋体" w:eastAsia="宋体" w:cs="宋体"/>
                <w:color w:val="auto"/>
                <w:sz w:val="24"/>
                <w:szCs w:val="24"/>
                <w:highlight w:val="none"/>
              </w:rPr>
              <w:t>无其他无效投标认定条件</w:t>
            </w:r>
          </w:p>
        </w:tc>
        <w:tc>
          <w:tcPr>
            <w:tcW w:w="1181"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4ED92C52">
            <w:pPr>
              <w:keepNext w:val="0"/>
              <w:keepLines w:val="0"/>
              <w:widowControl/>
              <w:suppressLineNumbers w:val="0"/>
              <w:spacing w:before="0" w:beforeAutospacing="0" w:after="0" w:afterAutospacing="0"/>
              <w:ind w:left="0" w:right="0"/>
              <w:rPr>
                <w:rFonts w:ascii="宋体" w:hAnsi="宋体" w:eastAsia="宋体" w:cs="宋体"/>
                <w:color w:val="auto"/>
                <w:sz w:val="24"/>
                <w:szCs w:val="24"/>
                <w:highlight w:val="none"/>
              </w:rPr>
            </w:pPr>
          </w:p>
        </w:tc>
      </w:tr>
      <w:tr w14:paraId="7B7CBB4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33" w:hRule="atLeast"/>
          <w:jc w:val="center"/>
        </w:trPr>
        <w:tc>
          <w:tcPr>
            <w:tcW w:w="7850" w:type="dxa"/>
            <w:gridSpan w:val="3"/>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5223F89C">
            <w:pPr>
              <w:keepNext w:val="0"/>
              <w:keepLines w:val="0"/>
              <w:widowControl/>
              <w:suppressLineNumbers w:val="0"/>
              <w:spacing w:before="0" w:beforeAutospacing="0" w:after="0" w:afterAutospacing="0"/>
              <w:ind w:left="0" w:right="0" w:firstLine="482" w:firstLineChars="200"/>
              <w:jc w:val="center"/>
              <w:rPr>
                <w:rFonts w:ascii="宋体" w:hAnsi="宋体" w:eastAsia="宋体" w:cs="宋体"/>
                <w:b/>
                <w:color w:val="auto"/>
                <w:sz w:val="24"/>
                <w:szCs w:val="24"/>
                <w:highlight w:val="none"/>
              </w:rPr>
            </w:pPr>
            <w:r>
              <w:rPr>
                <w:rFonts w:ascii="宋体" w:hAnsi="宋体" w:eastAsia="宋体" w:cs="宋体"/>
                <w:b/>
                <w:color w:val="auto"/>
                <w:sz w:val="24"/>
                <w:szCs w:val="24"/>
                <w:highlight w:val="none"/>
                <w:lang w:val="zh-TW" w:eastAsia="zh-TW"/>
              </w:rPr>
              <w:t>结论</w:t>
            </w:r>
          </w:p>
        </w:tc>
        <w:tc>
          <w:tcPr>
            <w:tcW w:w="1181" w:type="dxa"/>
            <w:tcBorders>
              <w:top w:val="single" w:color="auto" w:sz="4" w:space="0"/>
              <w:left w:val="single" w:color="auto" w:sz="4" w:space="0"/>
              <w:bottom w:val="single" w:color="auto" w:sz="4" w:space="0"/>
              <w:right w:val="single" w:color="auto" w:sz="4" w:space="0"/>
            </w:tcBorders>
            <w:shd w:val="clear" w:color="auto" w:fill="FFFFFF"/>
            <w:noWrap w:val="0"/>
            <w:tcMar>
              <w:top w:w="80" w:type="dxa"/>
              <w:left w:w="80" w:type="dxa"/>
              <w:bottom w:w="80" w:type="dxa"/>
              <w:right w:w="80" w:type="dxa"/>
            </w:tcMar>
            <w:vAlign w:val="center"/>
          </w:tcPr>
          <w:p w14:paraId="1879C716">
            <w:pPr>
              <w:keepNext w:val="0"/>
              <w:keepLines w:val="0"/>
              <w:widowControl/>
              <w:suppressLineNumbers w:val="0"/>
              <w:spacing w:before="0" w:beforeAutospacing="0" w:after="0" w:afterAutospacing="0"/>
              <w:ind w:left="0" w:right="0" w:firstLine="480" w:firstLineChars="200"/>
              <w:rPr>
                <w:rFonts w:ascii="宋体" w:hAnsi="宋体" w:eastAsia="宋体" w:cs="宋体"/>
                <w:color w:val="auto"/>
                <w:sz w:val="24"/>
                <w:szCs w:val="24"/>
                <w:highlight w:val="none"/>
              </w:rPr>
            </w:pPr>
          </w:p>
        </w:tc>
      </w:tr>
    </w:tbl>
    <w:p w14:paraId="724F5547">
      <w:pPr>
        <w:pStyle w:val="10"/>
        <w:tabs>
          <w:tab w:val="left" w:pos="5580"/>
        </w:tabs>
        <w:ind w:left="108" w:firstLine="440" w:firstLineChars="200"/>
        <w:jc w:val="center"/>
        <w:rPr>
          <w:color w:val="auto"/>
          <w:highlight w:val="none"/>
        </w:rPr>
      </w:pPr>
    </w:p>
    <w:p w14:paraId="315AE19E">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Style w:val="25"/>
          <w:rFonts w:ascii="宋体" w:hAnsi="宋体" w:eastAsia="宋体" w:cs="宋体"/>
          <w:color w:val="auto"/>
          <w:highlight w:val="none"/>
        </w:rPr>
        <w:t>、表中只需填写</w:t>
      </w:r>
      <w:r>
        <w:rPr>
          <w:rFonts w:ascii="宋体" w:hAnsi="宋体" w:eastAsia="宋体" w:cs="宋体"/>
          <w:color w:val="auto"/>
          <w:sz w:val="24"/>
          <w:szCs w:val="24"/>
          <w:highlight w:val="none"/>
        </w:rPr>
        <w:t>“√/</w:t>
      </w:r>
      <w:r>
        <w:rPr>
          <w:rStyle w:val="25"/>
          <w:rFonts w:ascii="宋体" w:hAnsi="宋体" w:eastAsia="宋体" w:cs="宋体"/>
          <w:color w:val="auto"/>
          <w:highlight w:val="none"/>
        </w:rPr>
        <w:t>通过</w:t>
      </w:r>
      <w:r>
        <w:rPr>
          <w:rFonts w:ascii="宋体" w:hAnsi="宋体" w:eastAsia="宋体" w:cs="宋体"/>
          <w:color w:val="auto"/>
          <w:sz w:val="24"/>
          <w:szCs w:val="24"/>
          <w:highlight w:val="none"/>
        </w:rPr>
        <w:t>”</w:t>
      </w:r>
      <w:r>
        <w:rPr>
          <w:rStyle w:val="25"/>
          <w:rFonts w:ascii="宋体" w:hAnsi="宋体" w:eastAsia="宋体" w:cs="宋体"/>
          <w:color w:val="auto"/>
          <w:highlight w:val="none"/>
        </w:rPr>
        <w:t>或</w:t>
      </w:r>
      <w:r>
        <w:rPr>
          <w:rFonts w:ascii="宋体" w:hAnsi="宋体" w:eastAsia="宋体" w:cs="宋体"/>
          <w:color w:val="auto"/>
          <w:sz w:val="24"/>
          <w:szCs w:val="24"/>
          <w:highlight w:val="none"/>
        </w:rPr>
        <w:t>“×/</w:t>
      </w:r>
      <w:r>
        <w:rPr>
          <w:rStyle w:val="25"/>
          <w:rFonts w:ascii="宋体" w:hAnsi="宋体" w:eastAsia="宋体" w:cs="宋体"/>
          <w:color w:val="auto"/>
          <w:highlight w:val="none"/>
        </w:rPr>
        <w:t>不通过</w:t>
      </w:r>
      <w:r>
        <w:rPr>
          <w:rFonts w:ascii="宋体" w:hAnsi="宋体" w:eastAsia="宋体" w:cs="宋体"/>
          <w:color w:val="auto"/>
          <w:sz w:val="24"/>
          <w:szCs w:val="24"/>
          <w:highlight w:val="none"/>
        </w:rPr>
        <w:t>”</w:t>
      </w:r>
      <w:r>
        <w:rPr>
          <w:rStyle w:val="25"/>
          <w:rFonts w:ascii="宋体" w:hAnsi="宋体" w:eastAsia="宋体" w:cs="宋体"/>
          <w:color w:val="auto"/>
          <w:highlight w:val="none"/>
        </w:rPr>
        <w:t>。</w:t>
      </w:r>
    </w:p>
    <w:p w14:paraId="4A77EC5E">
      <w:pPr>
        <w:spacing w:after="0" w:line="360" w:lineRule="auto"/>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Style w:val="25"/>
          <w:rFonts w:ascii="宋体" w:hAnsi="宋体" w:eastAsia="宋体" w:cs="宋体"/>
          <w:color w:val="auto"/>
          <w:highlight w:val="none"/>
        </w:rPr>
        <w:t>、在结论中按</w:t>
      </w:r>
      <w:r>
        <w:rPr>
          <w:rFonts w:ascii="宋体" w:hAnsi="宋体" w:eastAsia="宋体" w:cs="宋体"/>
          <w:color w:val="auto"/>
          <w:sz w:val="24"/>
          <w:szCs w:val="24"/>
          <w:highlight w:val="none"/>
        </w:rPr>
        <w:t>“</w:t>
      </w:r>
      <w:r>
        <w:rPr>
          <w:rStyle w:val="25"/>
          <w:rFonts w:ascii="宋体" w:hAnsi="宋体" w:eastAsia="宋体" w:cs="宋体"/>
          <w:color w:val="auto"/>
          <w:highlight w:val="none"/>
        </w:rPr>
        <w:t>一项否决</w:t>
      </w:r>
      <w:r>
        <w:rPr>
          <w:rFonts w:ascii="宋体" w:hAnsi="宋体" w:eastAsia="宋体" w:cs="宋体"/>
          <w:color w:val="auto"/>
          <w:sz w:val="24"/>
          <w:szCs w:val="24"/>
          <w:highlight w:val="none"/>
        </w:rPr>
        <w:t>”</w:t>
      </w:r>
      <w:r>
        <w:rPr>
          <w:rStyle w:val="25"/>
          <w:rFonts w:ascii="宋体" w:hAnsi="宋体" w:eastAsia="宋体" w:cs="宋体"/>
          <w:color w:val="auto"/>
          <w:highlight w:val="none"/>
        </w:rPr>
        <w:t>的原则，只有全部是</w:t>
      </w:r>
      <w:r>
        <w:rPr>
          <w:rFonts w:ascii="宋体" w:hAnsi="宋体" w:eastAsia="宋体" w:cs="宋体"/>
          <w:color w:val="auto"/>
          <w:sz w:val="24"/>
          <w:szCs w:val="24"/>
          <w:highlight w:val="none"/>
        </w:rPr>
        <w:t>√/</w:t>
      </w:r>
      <w:r>
        <w:rPr>
          <w:rStyle w:val="25"/>
          <w:rFonts w:ascii="宋体" w:hAnsi="宋体" w:eastAsia="宋体" w:cs="宋体"/>
          <w:color w:val="auto"/>
          <w:highlight w:val="none"/>
        </w:rPr>
        <w:t>通过的，填写</w:t>
      </w:r>
      <w:r>
        <w:rPr>
          <w:rFonts w:ascii="宋体" w:hAnsi="宋体" w:eastAsia="宋体" w:cs="宋体"/>
          <w:color w:val="auto"/>
          <w:sz w:val="24"/>
          <w:szCs w:val="24"/>
          <w:highlight w:val="none"/>
        </w:rPr>
        <w:t>“</w:t>
      </w:r>
      <w:r>
        <w:rPr>
          <w:rStyle w:val="25"/>
          <w:rFonts w:ascii="宋体" w:hAnsi="宋体" w:eastAsia="宋体" w:cs="宋体"/>
          <w:color w:val="auto"/>
          <w:highlight w:val="none"/>
        </w:rPr>
        <w:t>合格</w:t>
      </w:r>
      <w:r>
        <w:rPr>
          <w:rFonts w:ascii="宋体" w:hAnsi="宋体" w:eastAsia="宋体" w:cs="宋体"/>
          <w:color w:val="auto"/>
          <w:sz w:val="24"/>
          <w:szCs w:val="24"/>
          <w:highlight w:val="none"/>
        </w:rPr>
        <w:t>”</w:t>
      </w:r>
      <w:r>
        <w:rPr>
          <w:rStyle w:val="25"/>
          <w:rFonts w:ascii="宋体" w:hAnsi="宋体" w:eastAsia="宋体" w:cs="宋体"/>
          <w:color w:val="auto"/>
          <w:highlight w:val="none"/>
        </w:rPr>
        <w:t>；只要其中有一项是</w:t>
      </w:r>
      <w:r>
        <w:rPr>
          <w:rFonts w:ascii="宋体" w:hAnsi="宋体" w:eastAsia="宋体" w:cs="宋体"/>
          <w:color w:val="auto"/>
          <w:sz w:val="24"/>
          <w:szCs w:val="24"/>
          <w:highlight w:val="none"/>
        </w:rPr>
        <w:t>×/</w:t>
      </w:r>
      <w:r>
        <w:rPr>
          <w:rStyle w:val="25"/>
          <w:rFonts w:ascii="宋体" w:hAnsi="宋体" w:eastAsia="宋体" w:cs="宋体"/>
          <w:color w:val="auto"/>
          <w:highlight w:val="none"/>
        </w:rPr>
        <w:t>不通过的，填写</w:t>
      </w:r>
      <w:r>
        <w:rPr>
          <w:rFonts w:ascii="宋体" w:hAnsi="宋体" w:eastAsia="宋体" w:cs="宋体"/>
          <w:color w:val="auto"/>
          <w:sz w:val="24"/>
          <w:szCs w:val="24"/>
          <w:highlight w:val="none"/>
        </w:rPr>
        <w:t>“</w:t>
      </w:r>
      <w:r>
        <w:rPr>
          <w:rStyle w:val="25"/>
          <w:rFonts w:ascii="宋体" w:hAnsi="宋体" w:eastAsia="宋体" w:cs="宋体"/>
          <w:color w:val="auto"/>
          <w:highlight w:val="none"/>
        </w:rPr>
        <w:t>不合格</w:t>
      </w:r>
      <w:r>
        <w:rPr>
          <w:rFonts w:ascii="宋体" w:hAnsi="宋体" w:eastAsia="宋体" w:cs="宋体"/>
          <w:color w:val="auto"/>
          <w:sz w:val="24"/>
          <w:szCs w:val="24"/>
          <w:highlight w:val="none"/>
        </w:rPr>
        <w:t>”</w:t>
      </w:r>
      <w:r>
        <w:rPr>
          <w:rStyle w:val="25"/>
          <w:rFonts w:ascii="宋体" w:hAnsi="宋体" w:eastAsia="宋体" w:cs="宋体"/>
          <w:color w:val="auto"/>
          <w:highlight w:val="none"/>
        </w:rPr>
        <w:t>。</w:t>
      </w:r>
    </w:p>
    <w:p w14:paraId="4D42CD1B">
      <w:pPr>
        <w:spacing w:after="0" w:line="360" w:lineRule="auto"/>
        <w:ind w:firstLine="480" w:firstLineChars="200"/>
        <w:jc w:val="both"/>
        <w:rPr>
          <w:rStyle w:val="25"/>
          <w:rFonts w:ascii="宋体" w:hAnsi="宋体" w:eastAsia="宋体" w:cs="宋体"/>
          <w:color w:val="auto"/>
          <w:highlight w:val="none"/>
        </w:rPr>
      </w:pPr>
      <w:r>
        <w:rPr>
          <w:rFonts w:ascii="宋体" w:hAnsi="宋体" w:eastAsia="宋体" w:cs="宋体"/>
          <w:color w:val="auto"/>
          <w:sz w:val="24"/>
          <w:szCs w:val="24"/>
          <w:highlight w:val="none"/>
        </w:rPr>
        <w:t>3</w:t>
      </w:r>
      <w:r>
        <w:rPr>
          <w:rStyle w:val="25"/>
          <w:rFonts w:ascii="宋体" w:hAnsi="宋体" w:eastAsia="宋体" w:cs="宋体"/>
          <w:color w:val="auto"/>
          <w:highlight w:val="none"/>
        </w:rPr>
        <w:t>、结论是合格的，才能通过初步评审。</w:t>
      </w:r>
    </w:p>
    <w:p w14:paraId="50FEDBC1">
      <w:pPr>
        <w:spacing w:after="0" w:line="360" w:lineRule="auto"/>
        <w:rPr>
          <w:rFonts w:ascii="宋体" w:hAnsi="宋体" w:eastAsia="宋体" w:cs="宋体"/>
          <w:color w:val="auto"/>
          <w:highlight w:val="none"/>
        </w:rPr>
      </w:pPr>
      <w:r>
        <w:rPr>
          <w:rStyle w:val="25"/>
          <w:rFonts w:ascii="宋体" w:hAnsi="宋体" w:eastAsia="宋体" w:cs="宋体"/>
          <w:color w:val="auto"/>
          <w:highlight w:val="none"/>
        </w:rPr>
        <w:br w:type="page"/>
      </w:r>
      <w:r>
        <w:rPr>
          <w:rFonts w:ascii="宋体" w:hAnsi="宋体" w:eastAsia="宋体" w:cs="宋体"/>
          <w:b/>
          <w:bCs/>
          <w:color w:val="auto"/>
          <w:sz w:val="28"/>
          <w:szCs w:val="28"/>
          <w:highlight w:val="none"/>
          <w:lang w:val="zh-TW" w:eastAsia="zh-TW"/>
        </w:rPr>
        <w:t>附表</w:t>
      </w:r>
      <w:r>
        <w:rPr>
          <w:rFonts w:ascii="宋体" w:hAnsi="宋体" w:eastAsia="宋体" w:cs="宋体"/>
          <w:b/>
          <w:bCs/>
          <w:color w:val="auto"/>
          <w:sz w:val="28"/>
          <w:szCs w:val="28"/>
          <w:highlight w:val="none"/>
        </w:rPr>
        <w:t>2</w:t>
      </w:r>
    </w:p>
    <w:p w14:paraId="0444DC9B">
      <w:pPr>
        <w:keepNext w:val="0"/>
        <w:keepLines w:val="0"/>
        <w:pageBreakBefore w:val="0"/>
        <w:widowControl/>
        <w:kinsoku/>
        <w:wordWrap/>
        <w:overflowPunct/>
        <w:topLinePunct w:val="0"/>
        <w:autoSpaceDE/>
        <w:autoSpaceDN/>
        <w:bidi w:val="0"/>
        <w:adjustRightInd/>
        <w:snapToGrid/>
        <w:spacing w:after="0" w:afterLines="0" w:line="360" w:lineRule="auto"/>
        <w:ind w:firstLine="0" w:firstLineChars="0"/>
        <w:jc w:val="center"/>
        <w:textAlignment w:val="auto"/>
        <w:rPr>
          <w:rFonts w:hint="eastAsia" w:ascii="宋体" w:hAnsi="宋体" w:eastAsia="宋体" w:cs="宋体"/>
          <w:b/>
          <w:bCs/>
          <w:color w:val="auto"/>
          <w:spacing w:val="0"/>
          <w:sz w:val="36"/>
          <w:szCs w:val="36"/>
          <w:highlight w:val="none"/>
        </w:rPr>
      </w:pPr>
      <w:bookmarkStart w:id="49" w:name="_Toc10584"/>
      <w:r>
        <w:rPr>
          <w:rFonts w:hint="eastAsia" w:ascii="宋体" w:hAnsi="宋体" w:eastAsia="宋体" w:cs="宋体"/>
          <w:b/>
          <w:bCs/>
          <w:color w:val="auto"/>
          <w:spacing w:val="0"/>
          <w:sz w:val="36"/>
          <w:szCs w:val="36"/>
          <w:highlight w:val="none"/>
        </w:rPr>
        <w:t>最终报价表</w:t>
      </w:r>
      <w:bookmarkEnd w:id="49"/>
    </w:p>
    <w:tbl>
      <w:tblPr>
        <w:tblStyle w:val="1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12"/>
        <w:gridCol w:w="6007"/>
      </w:tblGrid>
      <w:tr w14:paraId="55CFF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2" w:hRule="atLeast"/>
          <w:jc w:val="center"/>
        </w:trPr>
        <w:tc>
          <w:tcPr>
            <w:tcW w:w="1474" w:type="pct"/>
            <w:tcBorders>
              <w:top w:val="double" w:color="000000" w:sz="4" w:space="0"/>
              <w:left w:val="double" w:color="000000" w:sz="4" w:space="0"/>
              <w:bottom w:val="single" w:color="000000" w:sz="8" w:space="0"/>
              <w:right w:val="single" w:color="000000" w:sz="8" w:space="0"/>
            </w:tcBorders>
            <w:shd w:val="clear" w:color="auto" w:fill="auto"/>
            <w:vAlign w:val="center"/>
          </w:tcPr>
          <w:p w14:paraId="31BF31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top"/>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项目名称</w:t>
            </w:r>
          </w:p>
        </w:tc>
        <w:tc>
          <w:tcPr>
            <w:tcW w:w="3525" w:type="pct"/>
            <w:tcBorders>
              <w:top w:val="double" w:color="000000" w:sz="4" w:space="0"/>
              <w:left w:val="single" w:color="000000" w:sz="8" w:space="0"/>
              <w:bottom w:val="single" w:color="000000" w:sz="8" w:space="0"/>
              <w:right w:val="double" w:color="000000" w:sz="4" w:space="0"/>
            </w:tcBorders>
            <w:shd w:val="clear" w:color="auto" w:fill="auto"/>
            <w:vAlign w:val="center"/>
          </w:tcPr>
          <w:p w14:paraId="6485B611">
            <w:pPr>
              <w:keepNext w:val="0"/>
              <w:keepLines w:val="0"/>
              <w:widowControl/>
              <w:suppressLineNumbers w:val="0"/>
              <w:spacing w:before="0" w:beforeAutospacing="0" w:afterAutospacing="0"/>
              <w:ind w:left="0" w:right="0"/>
              <w:jc w:val="center"/>
              <w:textAlignment w:val="center"/>
              <w:rPr>
                <w:rFonts w:hint="eastAsia" w:ascii="宋体" w:hAnsi="宋体" w:eastAsia="宋体" w:cs="宋体"/>
                <w:b/>
                <w:bCs/>
                <w:i w:val="0"/>
                <w:iCs w:val="0"/>
                <w:color w:val="000000"/>
                <w:sz w:val="24"/>
                <w:szCs w:val="24"/>
                <w:highlight w:val="none"/>
                <w:u w:val="none"/>
              </w:rPr>
            </w:pPr>
          </w:p>
        </w:tc>
      </w:tr>
      <w:tr w14:paraId="3F219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1474" w:type="pct"/>
            <w:tcBorders>
              <w:top w:val="double" w:color="000000" w:sz="4" w:space="0"/>
              <w:left w:val="double" w:color="000000" w:sz="4" w:space="0"/>
              <w:bottom w:val="single" w:color="000000" w:sz="8" w:space="0"/>
              <w:right w:val="single" w:color="000000" w:sz="8" w:space="0"/>
            </w:tcBorders>
            <w:shd w:val="clear" w:color="auto" w:fill="auto"/>
            <w:vAlign w:val="center"/>
          </w:tcPr>
          <w:p w14:paraId="467B5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top"/>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项目编号</w:t>
            </w:r>
          </w:p>
        </w:tc>
        <w:tc>
          <w:tcPr>
            <w:tcW w:w="3525" w:type="pct"/>
            <w:tcBorders>
              <w:top w:val="double" w:color="000000" w:sz="4" w:space="0"/>
              <w:left w:val="single" w:color="000000" w:sz="8" w:space="0"/>
              <w:bottom w:val="single" w:color="000000" w:sz="8" w:space="0"/>
              <w:right w:val="double" w:color="000000" w:sz="4" w:space="0"/>
            </w:tcBorders>
            <w:shd w:val="clear" w:color="auto" w:fill="auto"/>
            <w:vAlign w:val="center"/>
          </w:tcPr>
          <w:p w14:paraId="66D65C3D">
            <w:pPr>
              <w:keepNext w:val="0"/>
              <w:keepLines w:val="0"/>
              <w:widowControl/>
              <w:suppressLineNumbers w:val="0"/>
              <w:spacing w:before="0" w:beforeAutospacing="0" w:afterAutospacing="0"/>
              <w:ind w:left="0" w:right="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tc>
      </w:tr>
      <w:tr w14:paraId="21E2D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1474" w:type="pct"/>
            <w:tcBorders>
              <w:top w:val="double" w:color="000000" w:sz="4" w:space="0"/>
              <w:left w:val="double" w:color="000000" w:sz="4" w:space="0"/>
              <w:bottom w:val="single" w:color="000000" w:sz="8" w:space="0"/>
              <w:right w:val="single" w:color="000000" w:sz="8" w:space="0"/>
            </w:tcBorders>
            <w:shd w:val="clear" w:color="auto" w:fill="auto"/>
            <w:vAlign w:val="center"/>
          </w:tcPr>
          <w:p w14:paraId="6D52B0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top"/>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标段</w:t>
            </w:r>
          </w:p>
        </w:tc>
        <w:tc>
          <w:tcPr>
            <w:tcW w:w="3525" w:type="pct"/>
            <w:tcBorders>
              <w:top w:val="double" w:color="000000" w:sz="4" w:space="0"/>
              <w:left w:val="single" w:color="000000" w:sz="8" w:space="0"/>
              <w:bottom w:val="single" w:color="000000" w:sz="8" w:space="0"/>
              <w:right w:val="double" w:color="000000" w:sz="4" w:space="0"/>
            </w:tcBorders>
            <w:shd w:val="clear" w:color="auto" w:fill="auto"/>
            <w:vAlign w:val="center"/>
          </w:tcPr>
          <w:p w14:paraId="47F721EE">
            <w:pPr>
              <w:keepNext w:val="0"/>
              <w:keepLines w:val="0"/>
              <w:widowControl/>
              <w:suppressLineNumbers w:val="0"/>
              <w:spacing w:before="0" w:beforeAutospacing="0" w:afterAutospacing="0"/>
              <w:ind w:left="0" w:right="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tc>
      </w:tr>
      <w:tr w14:paraId="12A9B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1474" w:type="pct"/>
            <w:tcBorders>
              <w:top w:val="nil"/>
              <w:left w:val="double" w:color="000000" w:sz="4" w:space="0"/>
              <w:bottom w:val="single" w:color="000000" w:sz="8" w:space="0"/>
              <w:right w:val="single" w:color="000000" w:sz="8" w:space="0"/>
            </w:tcBorders>
            <w:shd w:val="clear" w:color="auto" w:fill="auto"/>
            <w:vAlign w:val="center"/>
          </w:tcPr>
          <w:p w14:paraId="09DF5C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top"/>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最终投标报价（元）</w:t>
            </w:r>
          </w:p>
        </w:tc>
        <w:tc>
          <w:tcPr>
            <w:tcW w:w="3525" w:type="pct"/>
            <w:tcBorders>
              <w:top w:val="nil"/>
              <w:left w:val="single" w:color="000000" w:sz="8" w:space="0"/>
              <w:bottom w:val="single" w:color="000000" w:sz="8" w:space="0"/>
              <w:right w:val="double" w:color="000000" w:sz="4" w:space="0"/>
            </w:tcBorders>
            <w:shd w:val="clear" w:color="auto" w:fill="auto"/>
            <w:vAlign w:val="center"/>
          </w:tcPr>
          <w:p w14:paraId="67AA3721">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大写：人民币</w:t>
            </w:r>
            <w:r>
              <w:rPr>
                <w:rFonts w:hint="eastAsia" w:ascii="宋体" w:hAnsi="宋体" w:eastAsia="宋体" w:cs="宋体"/>
                <w:i w:val="0"/>
                <w:iCs w:val="0"/>
                <w:color w:val="000000"/>
                <w:sz w:val="24"/>
                <w:szCs w:val="24"/>
                <w:u w:val="single"/>
                <w:lang w:val="en-US" w:eastAsia="zh-CN"/>
              </w:rPr>
              <w:t xml:space="preserve">                           </w:t>
            </w:r>
            <w:r>
              <w:rPr>
                <w:rFonts w:hint="eastAsia" w:ascii="宋体" w:hAnsi="宋体" w:eastAsia="宋体" w:cs="宋体"/>
                <w:i w:val="0"/>
                <w:iCs w:val="0"/>
                <w:color w:val="000000"/>
                <w:sz w:val="24"/>
                <w:szCs w:val="24"/>
                <w:u w:val="none"/>
              </w:rPr>
              <w:t>/亩每年</w:t>
            </w:r>
          </w:p>
          <w:p w14:paraId="386AA206">
            <w:pPr>
              <w:keepNext w:val="0"/>
              <w:keepLines w:val="0"/>
              <w:widowControl/>
              <w:suppressLineNumbers w:val="0"/>
              <w:spacing w:before="0" w:beforeAutospacing="0" w:afterAutospacing="0"/>
              <w:ind w:left="0" w:right="0"/>
              <w:jc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w:t>
            </w:r>
            <w:r>
              <w:rPr>
                <w:rFonts w:hint="eastAsia" w:ascii="宋体" w:hAnsi="宋体" w:eastAsia="宋体" w:cs="宋体"/>
                <w:i w:val="0"/>
                <w:iCs w:val="0"/>
                <w:color w:val="000000"/>
                <w:sz w:val="24"/>
                <w:szCs w:val="24"/>
                <w:u w:val="none"/>
                <w:lang w:val="en-US" w:eastAsia="zh-CN"/>
              </w:rPr>
              <w:t>小写：</w:t>
            </w:r>
            <w:r>
              <w:rPr>
                <w:rFonts w:hint="default" w:ascii="Arial" w:hAnsi="Arial" w:eastAsia="宋体" w:cs="Arial"/>
                <w:i w:val="0"/>
                <w:iCs w:val="0"/>
                <w:color w:val="000000"/>
                <w:sz w:val="24"/>
                <w:szCs w:val="24"/>
                <w:u w:val="none"/>
                <w:lang w:val="en-US" w:eastAsia="zh-CN"/>
              </w:rPr>
              <w:t>¥</w:t>
            </w:r>
            <w:r>
              <w:rPr>
                <w:rFonts w:hint="eastAsia" w:ascii="Arial" w:hAnsi="Arial" w:eastAsia="宋体" w:cs="Arial"/>
                <w:i w:val="0"/>
                <w:iCs w:val="0"/>
                <w:color w:val="000000"/>
                <w:sz w:val="24"/>
                <w:szCs w:val="24"/>
                <w:u w:val="none"/>
                <w:lang w:val="en-US" w:eastAsia="zh-CN"/>
              </w:rPr>
              <w:t xml:space="preserve"> </w:t>
            </w:r>
            <w:r>
              <w:rPr>
                <w:rFonts w:hint="eastAsia" w:ascii="宋体" w:hAnsi="宋体" w:eastAsia="宋体" w:cs="宋体"/>
                <w:i w:val="0"/>
                <w:iCs w:val="0"/>
                <w:color w:val="000000"/>
                <w:sz w:val="24"/>
                <w:szCs w:val="24"/>
                <w:u w:val="single"/>
                <w:lang w:val="en-US" w:eastAsia="zh-CN"/>
              </w:rPr>
              <w:t xml:space="preserve">                </w:t>
            </w:r>
            <w:r>
              <w:rPr>
                <w:rFonts w:hint="eastAsia" w:ascii="宋体" w:hAnsi="宋体" w:eastAsia="宋体" w:cs="宋体"/>
                <w:i w:val="0"/>
                <w:iCs w:val="0"/>
                <w:color w:val="000000"/>
                <w:sz w:val="24"/>
                <w:szCs w:val="24"/>
                <w:u w:val="none"/>
              </w:rPr>
              <w:t>元/亩每年</w:t>
            </w:r>
            <w:r>
              <w:rPr>
                <w:rFonts w:hint="eastAsia" w:ascii="宋体" w:hAnsi="宋体" w:eastAsia="宋体" w:cs="宋体"/>
                <w:i w:val="0"/>
                <w:iCs w:val="0"/>
                <w:color w:val="000000"/>
                <w:sz w:val="24"/>
                <w:szCs w:val="24"/>
                <w:u w:val="none"/>
                <w:lang w:eastAsia="zh-CN"/>
              </w:rPr>
              <w:t>）</w:t>
            </w:r>
            <w:r>
              <w:rPr>
                <w:rFonts w:hint="eastAsia" w:ascii="宋体" w:hAnsi="宋体" w:eastAsia="宋体" w:cs="宋体"/>
                <w:bCs/>
                <w:color w:val="auto"/>
                <w:sz w:val="24"/>
                <w:szCs w:val="24"/>
                <w:highlight w:val="none"/>
                <w:lang w:val="en-US" w:eastAsia="zh-CN"/>
              </w:rPr>
              <w:t>，租赁单价每五年上调5%</w:t>
            </w:r>
          </w:p>
        </w:tc>
      </w:tr>
      <w:tr w14:paraId="3754F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2" w:hRule="atLeast"/>
          <w:jc w:val="center"/>
        </w:trPr>
        <w:tc>
          <w:tcPr>
            <w:tcW w:w="1474" w:type="pct"/>
            <w:tcBorders>
              <w:top w:val="single" w:color="000000" w:sz="8" w:space="0"/>
              <w:left w:val="double" w:color="000000" w:sz="4" w:space="0"/>
              <w:bottom w:val="single" w:color="000000" w:sz="8" w:space="0"/>
              <w:right w:val="single" w:color="000000" w:sz="8" w:space="0"/>
            </w:tcBorders>
            <w:shd w:val="clear" w:color="auto" w:fill="auto"/>
            <w:vAlign w:val="center"/>
          </w:tcPr>
          <w:p w14:paraId="28182F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top"/>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租赁期限</w:t>
            </w:r>
          </w:p>
        </w:tc>
        <w:tc>
          <w:tcPr>
            <w:tcW w:w="3525" w:type="pct"/>
            <w:tcBorders>
              <w:top w:val="single" w:color="000000" w:sz="8" w:space="0"/>
              <w:left w:val="single" w:color="000000" w:sz="8" w:space="0"/>
              <w:bottom w:val="single" w:color="000000" w:sz="8" w:space="0"/>
              <w:right w:val="double" w:color="000000" w:sz="4" w:space="0"/>
            </w:tcBorders>
            <w:shd w:val="clear" w:color="auto" w:fill="auto"/>
            <w:vAlign w:val="center"/>
          </w:tcPr>
          <w:p w14:paraId="367B0A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租赁年限为20年起租，后续视经营情况，经双方充分协商后决定是否续租</w:t>
            </w:r>
          </w:p>
        </w:tc>
      </w:tr>
      <w:tr w14:paraId="1B3C8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2" w:hRule="atLeast"/>
          <w:jc w:val="center"/>
        </w:trPr>
        <w:tc>
          <w:tcPr>
            <w:tcW w:w="1474" w:type="pct"/>
            <w:tcBorders>
              <w:top w:val="single" w:color="000000" w:sz="8" w:space="0"/>
              <w:left w:val="double" w:color="000000" w:sz="4" w:space="0"/>
              <w:bottom w:val="single" w:color="000000" w:sz="8" w:space="0"/>
              <w:right w:val="single" w:color="000000" w:sz="8" w:space="0"/>
            </w:tcBorders>
            <w:shd w:val="clear" w:color="auto" w:fill="auto"/>
            <w:vAlign w:val="center"/>
          </w:tcPr>
          <w:p w14:paraId="44A6DC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top"/>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租赁地点</w:t>
            </w:r>
          </w:p>
        </w:tc>
        <w:tc>
          <w:tcPr>
            <w:tcW w:w="3525" w:type="pct"/>
            <w:tcBorders>
              <w:top w:val="single" w:color="000000" w:sz="8" w:space="0"/>
              <w:left w:val="single" w:color="000000" w:sz="8" w:space="0"/>
              <w:bottom w:val="single" w:color="000000" w:sz="8" w:space="0"/>
              <w:right w:val="double" w:color="000000" w:sz="4" w:space="0"/>
            </w:tcBorders>
            <w:shd w:val="clear" w:color="auto" w:fill="auto"/>
            <w:vAlign w:val="center"/>
          </w:tcPr>
          <w:p w14:paraId="655538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left"/>
              <w:textAlignment w:val="center"/>
              <w:rPr>
                <w:rFonts w:hint="eastAsia" w:ascii="宋体" w:hAnsi="宋体" w:eastAsia="宋体" w:cs="宋体"/>
                <w:i w:val="0"/>
                <w:iCs w:val="0"/>
                <w:color w:val="000000"/>
                <w:sz w:val="24"/>
                <w:szCs w:val="24"/>
                <w:u w:val="none"/>
              </w:rPr>
            </w:pPr>
          </w:p>
        </w:tc>
      </w:tr>
      <w:tr w14:paraId="4BA57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1474" w:type="pct"/>
            <w:tcBorders>
              <w:top w:val="single" w:color="000000" w:sz="8" w:space="0"/>
              <w:left w:val="double" w:color="000000" w:sz="4" w:space="0"/>
              <w:bottom w:val="double" w:color="000000" w:sz="4" w:space="0"/>
              <w:right w:val="single" w:color="000000" w:sz="8" w:space="0"/>
            </w:tcBorders>
            <w:shd w:val="clear" w:color="auto" w:fill="auto"/>
            <w:vAlign w:val="center"/>
          </w:tcPr>
          <w:p w14:paraId="5DBA54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top"/>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其他补充说明</w:t>
            </w:r>
          </w:p>
        </w:tc>
        <w:tc>
          <w:tcPr>
            <w:tcW w:w="3525" w:type="pct"/>
            <w:tcBorders>
              <w:top w:val="single" w:color="000000" w:sz="8" w:space="0"/>
              <w:left w:val="single" w:color="000000" w:sz="8" w:space="0"/>
              <w:bottom w:val="double" w:color="000000" w:sz="4" w:space="0"/>
              <w:right w:val="double" w:color="000000" w:sz="4" w:space="0"/>
            </w:tcBorders>
            <w:shd w:val="clear" w:color="auto" w:fill="auto"/>
            <w:vAlign w:val="center"/>
          </w:tcPr>
          <w:p w14:paraId="367A6424">
            <w:pPr>
              <w:keepNext w:val="0"/>
              <w:keepLines w:val="0"/>
              <w:widowControl/>
              <w:suppressLineNumbers w:val="0"/>
              <w:adjustRightInd w:val="0"/>
              <w:snapToGrid w:val="0"/>
              <w:spacing w:before="0" w:beforeAutospacing="0" w:after="0" w:afterAutospacing="0"/>
              <w:ind w:left="0" w:leftChars="0" w:right="0" w:rightChars="0"/>
              <w:rPr>
                <w:rFonts w:hint="eastAsia" w:ascii="宋体" w:hAnsi="宋体" w:eastAsia="宋体" w:cs="宋体"/>
                <w:color w:val="auto"/>
                <w:sz w:val="24"/>
                <w:szCs w:val="24"/>
                <w:highlight w:val="none"/>
                <w:lang w:val="en-US" w:eastAsia="zh-CN"/>
              </w:rPr>
            </w:pPr>
          </w:p>
        </w:tc>
      </w:tr>
    </w:tbl>
    <w:p w14:paraId="10850C0D">
      <w:pPr>
        <w:keepNext w:val="0"/>
        <w:keepLines w:val="0"/>
        <w:pageBreakBefore w:val="0"/>
        <w:widowControl/>
        <w:kinsoku/>
        <w:wordWrap/>
        <w:overflowPunct/>
        <w:topLinePunct w:val="0"/>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p>
    <w:p w14:paraId="15CADF2D">
      <w:pPr>
        <w:pStyle w:val="29"/>
        <w:keepNext w:val="0"/>
        <w:keepLines w:val="0"/>
        <w:pageBreakBefore w:val="0"/>
        <w:widowControl/>
        <w:tabs>
          <w:tab w:val="left" w:pos="5580"/>
        </w:tabs>
        <w:kinsoku/>
        <w:wordWrap/>
        <w:overflowPunct/>
        <w:topLinePunct w:val="0"/>
        <w:bidi w:val="0"/>
        <w:adjustRightInd/>
        <w:snapToGrid/>
        <w:spacing w:line="440" w:lineRule="exact"/>
        <w:rPr>
          <w:rFonts w:hint="eastAsia" w:hAnsi="宋体" w:cs="宋体"/>
          <w:color w:val="auto"/>
          <w:sz w:val="24"/>
          <w:szCs w:val="24"/>
          <w:highlight w:val="none"/>
        </w:rPr>
      </w:pPr>
      <w:r>
        <w:rPr>
          <w:rFonts w:hint="eastAsia" w:hAnsi="宋体" w:cs="宋体"/>
          <w:color w:val="auto"/>
          <w:sz w:val="24"/>
          <w:szCs w:val="24"/>
          <w:highlight w:val="none"/>
        </w:rPr>
        <w:t>供应商名称：</w:t>
      </w:r>
    </w:p>
    <w:p w14:paraId="6F6BA267">
      <w:pPr>
        <w:pStyle w:val="29"/>
        <w:keepNext w:val="0"/>
        <w:keepLines w:val="0"/>
        <w:pageBreakBefore w:val="0"/>
        <w:widowControl/>
        <w:tabs>
          <w:tab w:val="left" w:pos="5580"/>
        </w:tabs>
        <w:kinsoku/>
        <w:wordWrap/>
        <w:overflowPunct/>
        <w:topLinePunct w:val="0"/>
        <w:bidi w:val="0"/>
        <w:adjustRightInd/>
        <w:snapToGrid/>
        <w:spacing w:line="440" w:lineRule="exact"/>
        <w:rPr>
          <w:rFonts w:hint="eastAsia" w:hAnsi="宋体" w:cs="宋体"/>
          <w:color w:val="auto"/>
          <w:sz w:val="24"/>
          <w:szCs w:val="24"/>
          <w:highlight w:val="none"/>
        </w:rPr>
      </w:pPr>
      <w:r>
        <w:rPr>
          <w:rFonts w:hint="eastAsia" w:hAnsi="宋体" w:cs="宋体"/>
          <w:color w:val="auto"/>
          <w:sz w:val="24"/>
          <w:highlight w:val="none"/>
          <w:shd w:val="clear" w:color="auto" w:fill="FFFFFF"/>
        </w:rPr>
        <w:t>法定代表人或授权代表</w:t>
      </w:r>
      <w:r>
        <w:rPr>
          <w:rFonts w:hint="eastAsia" w:hAnsi="宋体" w:cs="宋体"/>
          <w:color w:val="auto"/>
          <w:sz w:val="24"/>
          <w:szCs w:val="24"/>
          <w:highlight w:val="none"/>
        </w:rPr>
        <w:t>：(签字或盖章)</w:t>
      </w:r>
    </w:p>
    <w:p w14:paraId="30CB36B6">
      <w:pPr>
        <w:pStyle w:val="29"/>
        <w:keepNext w:val="0"/>
        <w:keepLines w:val="0"/>
        <w:pageBreakBefore w:val="0"/>
        <w:widowControl/>
        <w:tabs>
          <w:tab w:val="left" w:pos="5580"/>
        </w:tabs>
        <w:kinsoku/>
        <w:wordWrap/>
        <w:overflowPunct/>
        <w:topLinePunct w:val="0"/>
        <w:bidi w:val="0"/>
        <w:adjustRightInd/>
        <w:snapToGrid/>
        <w:spacing w:line="440" w:lineRule="exact"/>
        <w:rPr>
          <w:rFonts w:hint="eastAsia" w:hAnsi="宋体" w:eastAsia="Arial Unicode MS" w:cs="宋体"/>
          <w:color w:val="auto"/>
          <w:sz w:val="24"/>
          <w:szCs w:val="24"/>
          <w:highlight w:val="none"/>
          <w:u w:val="single"/>
          <w:lang w:val="en-US" w:eastAsia="zh-CN"/>
        </w:rPr>
      </w:pPr>
      <w:r>
        <w:rPr>
          <w:rFonts w:hint="eastAsia" w:hAnsi="宋体" w:cs="宋体"/>
          <w:color w:val="auto"/>
          <w:sz w:val="24"/>
          <w:szCs w:val="24"/>
          <w:highlight w:val="none"/>
          <w:lang w:val="en-US" w:eastAsia="zh-CN"/>
        </w:rPr>
        <w:t>联系电话：</w:t>
      </w:r>
    </w:p>
    <w:p w14:paraId="5AB240E2">
      <w:pPr>
        <w:widowControl w:val="0"/>
        <w:spacing w:after="0" w:line="400" w:lineRule="exact"/>
        <w:ind w:left="108" w:firstLine="4320" w:firstLineChars="1800"/>
        <w:rPr>
          <w:rFonts w:ascii="宋体" w:hAnsi="宋体" w:eastAsia="宋体" w:cs="宋体"/>
          <w:b/>
          <w:bCs/>
          <w:color w:val="auto"/>
          <w:sz w:val="24"/>
          <w:szCs w:val="24"/>
          <w:highlight w:val="none"/>
        </w:rPr>
      </w:pPr>
      <w:r>
        <w:rPr>
          <w:rFonts w:hint="eastAsia" w:hAnsi="宋体" w:cs="宋体"/>
          <w:color w:val="auto"/>
          <w:sz w:val="24"/>
          <w:szCs w:val="24"/>
          <w:highlight w:val="none"/>
        </w:rPr>
        <w:t>日期：</w:t>
      </w:r>
      <w:r>
        <w:rPr>
          <w:rFonts w:hint="eastAsia" w:hAnsi="宋体" w:cs="宋体"/>
          <w:color w:val="auto"/>
          <w:sz w:val="24"/>
          <w:szCs w:val="24"/>
          <w:highlight w:val="none"/>
          <w:lang w:val="en-US" w:eastAsia="zh-CN"/>
        </w:rPr>
        <w:t xml:space="preserve">    </w:t>
      </w:r>
      <w:r>
        <w:rPr>
          <w:rFonts w:hint="eastAsia" w:hAnsi="宋体" w:cs="宋体"/>
          <w:color w:val="auto"/>
          <w:sz w:val="24"/>
          <w:szCs w:val="24"/>
          <w:highlight w:val="none"/>
        </w:rPr>
        <w:t>年   月   日</w:t>
      </w:r>
    </w:p>
    <w:p w14:paraId="05EFB3DE">
      <w:pPr>
        <w:keepNext w:val="0"/>
        <w:keepLines w:val="0"/>
        <w:pageBreakBefore w:val="0"/>
        <w:widowControl/>
        <w:kinsoku/>
        <w:wordWrap/>
        <w:overflowPunct/>
        <w:topLinePunct w:val="0"/>
        <w:autoSpaceDE w:val="0"/>
        <w:autoSpaceDN w:val="0"/>
        <w:bidi w:val="0"/>
        <w:adjustRightInd/>
        <w:snapToGrid/>
        <w:spacing w:after="0" w:line="400" w:lineRule="exact"/>
        <w:jc w:val="left"/>
        <w:textAlignment w:val="bottom"/>
        <w:rPr>
          <w:rFonts w:hint="eastAsia" w:hAnsi="宋体" w:cs="宋体"/>
          <w:color w:val="auto"/>
          <w:sz w:val="22"/>
          <w:szCs w:val="22"/>
          <w:highlight w:val="none"/>
        </w:rPr>
      </w:pPr>
    </w:p>
    <w:p w14:paraId="7A123AFF">
      <w:pPr>
        <w:keepNext w:val="0"/>
        <w:keepLines w:val="0"/>
        <w:pageBreakBefore w:val="0"/>
        <w:widowControl/>
        <w:kinsoku/>
        <w:wordWrap/>
        <w:overflowPunct/>
        <w:topLinePunct w:val="0"/>
        <w:autoSpaceDE/>
        <w:autoSpaceDN/>
        <w:bidi w:val="0"/>
        <w:adjustRightInd/>
        <w:snapToGrid/>
        <w:spacing w:after="0" w:line="400" w:lineRule="exact"/>
        <w:ind w:firstLine="420" w:firstLineChars="200"/>
        <w:jc w:val="left"/>
        <w:textAlignment w:val="bottom"/>
        <w:rPr>
          <w:rFonts w:hint="eastAsia" w:hAnsi="宋体" w:cs="宋体"/>
          <w:color w:val="auto"/>
          <w:sz w:val="21"/>
          <w:szCs w:val="21"/>
          <w:highlight w:val="none"/>
        </w:rPr>
      </w:pPr>
      <w:r>
        <w:rPr>
          <w:rFonts w:hint="eastAsia" w:hAnsi="宋体" w:cs="宋体"/>
          <w:color w:val="auto"/>
          <w:sz w:val="21"/>
          <w:szCs w:val="21"/>
          <w:highlight w:val="none"/>
        </w:rPr>
        <w:t>注</w:t>
      </w:r>
      <w:r>
        <w:rPr>
          <w:rFonts w:hint="eastAsia" w:hAnsi="宋体" w:cs="宋体"/>
          <w:color w:val="auto"/>
          <w:sz w:val="21"/>
          <w:szCs w:val="21"/>
          <w:highlight w:val="none"/>
          <w:lang w:eastAsia="zh-CN"/>
        </w:rPr>
        <w:t>：</w:t>
      </w:r>
      <w:r>
        <w:rPr>
          <w:rFonts w:hint="eastAsia" w:hAnsi="宋体" w:cs="宋体"/>
          <w:color w:val="auto"/>
          <w:sz w:val="21"/>
          <w:szCs w:val="21"/>
          <w:highlight w:val="none"/>
        </w:rPr>
        <w:t>1</w:t>
      </w:r>
      <w:r>
        <w:rPr>
          <w:rFonts w:hint="eastAsia" w:hAnsi="宋体" w:cs="宋体"/>
          <w:color w:val="auto"/>
          <w:sz w:val="21"/>
          <w:szCs w:val="21"/>
          <w:highlight w:val="none"/>
          <w:lang w:val="en-US" w:eastAsia="zh-CN"/>
        </w:rPr>
        <w:t>.</w:t>
      </w:r>
      <w:r>
        <w:rPr>
          <w:rFonts w:hint="eastAsia" w:hAnsi="宋体" w:cs="宋体"/>
          <w:color w:val="auto"/>
          <w:sz w:val="21"/>
          <w:szCs w:val="21"/>
          <w:highlight w:val="none"/>
        </w:rPr>
        <w:t>报价应包括</w:t>
      </w:r>
      <w:r>
        <w:rPr>
          <w:rFonts w:hint="eastAsia" w:hAnsi="宋体" w:cs="宋体"/>
          <w:color w:val="auto"/>
          <w:sz w:val="21"/>
          <w:szCs w:val="21"/>
          <w:highlight w:val="none"/>
          <w:lang w:val="en-US" w:eastAsia="zh-CN"/>
        </w:rPr>
        <w:t>磋商</w:t>
      </w:r>
      <w:r>
        <w:rPr>
          <w:rFonts w:hint="eastAsia" w:hAnsi="宋体" w:cs="宋体"/>
          <w:color w:val="auto"/>
          <w:sz w:val="21"/>
          <w:szCs w:val="21"/>
          <w:highlight w:val="none"/>
        </w:rPr>
        <w:t>文件所规定的采购范围的全部内容</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此表无需放置于投标响应文件正本、副本中。</w:t>
      </w:r>
    </w:p>
    <w:p w14:paraId="1D816F54">
      <w:pPr>
        <w:keepNext w:val="0"/>
        <w:keepLines w:val="0"/>
        <w:pageBreakBefore w:val="0"/>
        <w:widowControl/>
        <w:kinsoku/>
        <w:wordWrap/>
        <w:overflowPunct/>
        <w:topLinePunct w:val="0"/>
        <w:autoSpaceDE/>
        <w:autoSpaceDN/>
        <w:bidi w:val="0"/>
        <w:adjustRightInd/>
        <w:snapToGrid/>
        <w:spacing w:after="0" w:line="400" w:lineRule="exact"/>
        <w:ind w:firstLine="396" w:firstLineChars="200"/>
        <w:rPr>
          <w:rFonts w:ascii="宋体" w:hAnsi="宋体" w:cs="宋体"/>
          <w:color w:val="auto"/>
          <w:highlight w:val="none"/>
        </w:rPr>
      </w:pPr>
      <w:r>
        <w:rPr>
          <w:rFonts w:hint="eastAsia" w:hAnsi="宋体" w:cs="宋体"/>
          <w:color w:val="auto"/>
          <w:spacing w:val="-6"/>
          <w:sz w:val="21"/>
          <w:szCs w:val="21"/>
          <w:highlight w:val="none"/>
        </w:rPr>
        <w:t>2</w:t>
      </w:r>
      <w:r>
        <w:rPr>
          <w:rFonts w:hint="eastAsia" w:hAnsi="宋体" w:cs="宋体"/>
          <w:color w:val="auto"/>
          <w:spacing w:val="-6"/>
          <w:sz w:val="21"/>
          <w:szCs w:val="21"/>
          <w:highlight w:val="none"/>
          <w:lang w:val="en-US" w:eastAsia="zh-CN"/>
        </w:rPr>
        <w:t>.</w:t>
      </w:r>
      <w:r>
        <w:rPr>
          <w:rFonts w:hint="eastAsia" w:hAnsi="宋体" w:cs="宋体"/>
          <w:b/>
          <w:color w:val="auto"/>
          <w:sz w:val="21"/>
          <w:szCs w:val="21"/>
          <w:highlight w:val="none"/>
          <w:lang w:val="en-US" w:eastAsia="zh-CN"/>
        </w:rPr>
        <w:t>评审现场采购代理机构工作人员通知开始最终报价时，供应商方可提交填报完整的最终报价表至采购代理机构工作人员处，如未递交此最终报价表，视为放弃本项目投标响应</w:t>
      </w:r>
      <w:r>
        <w:rPr>
          <w:rFonts w:hint="eastAsia" w:hAnsi="宋体" w:cs="宋体"/>
          <w:b/>
          <w:color w:val="0000FF"/>
          <w:spacing w:val="0"/>
          <w:sz w:val="21"/>
          <w:szCs w:val="21"/>
          <w:highlight w:val="none"/>
        </w:rPr>
        <w:t>。</w:t>
      </w:r>
      <w:r>
        <w:rPr>
          <w:rFonts w:hint="eastAsia" w:ascii="宋体" w:hAnsi="宋体" w:eastAsia="宋体" w:cs="宋体"/>
          <w:b/>
          <w:bCs/>
          <w:color w:val="0000FF"/>
          <w:sz w:val="21"/>
          <w:szCs w:val="21"/>
          <w:highlight w:val="none"/>
          <w:lang w:val="en-US" w:eastAsia="zh-CN"/>
        </w:rPr>
        <w:br w:type="page"/>
      </w:r>
      <w:r>
        <w:rPr>
          <w:rFonts w:ascii="宋体" w:hAnsi="宋体" w:cs="宋体"/>
          <w:b/>
          <w:bCs/>
          <w:color w:val="auto"/>
          <w:sz w:val="28"/>
          <w:szCs w:val="28"/>
          <w:highlight w:val="none"/>
          <w:lang w:val="zh-TW" w:eastAsia="zh-TW"/>
        </w:rPr>
        <w:t>附表</w:t>
      </w:r>
      <w:r>
        <w:rPr>
          <w:rFonts w:ascii="宋体" w:hAnsi="宋体" w:cs="宋体"/>
          <w:b/>
          <w:bCs/>
          <w:color w:val="auto"/>
          <w:sz w:val="28"/>
          <w:szCs w:val="28"/>
          <w:highlight w:val="none"/>
        </w:rPr>
        <w:t xml:space="preserve">3 </w:t>
      </w:r>
    </w:p>
    <w:p w14:paraId="347016A9">
      <w:pPr>
        <w:keepNext w:val="0"/>
        <w:keepLines w:val="0"/>
        <w:pageBreakBefore w:val="0"/>
        <w:widowControl/>
        <w:kinsoku/>
        <w:wordWrap/>
        <w:overflowPunct/>
        <w:topLinePunct w:val="0"/>
        <w:autoSpaceDE/>
        <w:autoSpaceDN/>
        <w:bidi w:val="0"/>
        <w:adjustRightInd/>
        <w:snapToGrid/>
        <w:spacing w:after="0" w:afterLines="0" w:line="360" w:lineRule="auto"/>
        <w:ind w:firstLine="0" w:firstLineChars="0"/>
        <w:jc w:val="center"/>
        <w:textAlignment w:val="auto"/>
        <w:rPr>
          <w:rFonts w:hint="eastAsia" w:ascii="宋体" w:hAnsi="宋体" w:eastAsia="宋体" w:cs="宋体"/>
          <w:b/>
          <w:bCs/>
          <w:color w:val="0000FF"/>
          <w:spacing w:val="0"/>
          <w:sz w:val="36"/>
          <w:szCs w:val="36"/>
          <w:highlight w:val="none"/>
          <w:lang w:eastAsia="zh-CN"/>
        </w:rPr>
      </w:pPr>
      <w:r>
        <w:rPr>
          <w:rFonts w:hint="eastAsia" w:ascii="宋体" w:hAnsi="宋体" w:eastAsia="宋体" w:cs="宋体"/>
          <w:b/>
          <w:bCs/>
          <w:color w:val="auto"/>
          <w:spacing w:val="0"/>
          <w:sz w:val="36"/>
          <w:szCs w:val="36"/>
          <w:highlight w:val="none"/>
        </w:rPr>
        <w:t>评审标准和方法</w:t>
      </w:r>
    </w:p>
    <w:tbl>
      <w:tblPr>
        <w:tblStyle w:val="17"/>
        <w:tblW w:w="8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834"/>
        <w:gridCol w:w="4784"/>
        <w:gridCol w:w="937"/>
      </w:tblGrid>
      <w:tr w14:paraId="0FB3D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771" w:type="dxa"/>
            <w:vAlign w:val="center"/>
          </w:tcPr>
          <w:p w14:paraId="5E67F964">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序号</w:t>
            </w:r>
          </w:p>
        </w:tc>
        <w:tc>
          <w:tcPr>
            <w:tcW w:w="1834" w:type="dxa"/>
            <w:vAlign w:val="center"/>
          </w:tcPr>
          <w:p w14:paraId="1BBC06FC">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评分</w:t>
            </w:r>
            <w:r>
              <w:rPr>
                <w:rFonts w:hint="eastAsia" w:asciiTheme="minorEastAsia" w:hAnsiTheme="minorEastAsia" w:eastAsiaTheme="minorEastAsia" w:cstheme="minorEastAsia"/>
                <w:color w:val="auto"/>
                <w:sz w:val="24"/>
                <w:szCs w:val="24"/>
                <w:lang w:val="en-US" w:eastAsia="zh-CN"/>
              </w:rPr>
              <w:t>内容</w:t>
            </w:r>
          </w:p>
        </w:tc>
        <w:tc>
          <w:tcPr>
            <w:tcW w:w="4784" w:type="dxa"/>
            <w:vAlign w:val="center"/>
          </w:tcPr>
          <w:p w14:paraId="710B3647">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评分标准</w:t>
            </w:r>
          </w:p>
        </w:tc>
        <w:tc>
          <w:tcPr>
            <w:tcW w:w="937" w:type="dxa"/>
            <w:vAlign w:val="center"/>
          </w:tcPr>
          <w:p w14:paraId="546D4814">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最高分值（分）</w:t>
            </w:r>
          </w:p>
        </w:tc>
      </w:tr>
      <w:tr w14:paraId="4BBD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771" w:type="dxa"/>
            <w:vAlign w:val="center"/>
          </w:tcPr>
          <w:p w14:paraId="4E063FB0">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1</w:t>
            </w:r>
          </w:p>
        </w:tc>
        <w:tc>
          <w:tcPr>
            <w:tcW w:w="1834" w:type="dxa"/>
            <w:vAlign w:val="center"/>
          </w:tcPr>
          <w:p w14:paraId="5875DD59">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类似项目经验</w:t>
            </w:r>
          </w:p>
        </w:tc>
        <w:tc>
          <w:tcPr>
            <w:tcW w:w="4784" w:type="dxa"/>
            <w:vAlign w:val="center"/>
          </w:tcPr>
          <w:p w14:paraId="52DF2D3D">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Segoe UI" w:hAnsi="Segoe UI" w:eastAsia="Segoe UI" w:cs="Segoe UI"/>
                <w:i w:val="0"/>
                <w:iCs w:val="0"/>
                <w:caps w:val="0"/>
                <w:spacing w:val="0"/>
                <w:sz w:val="24"/>
                <w:szCs w:val="24"/>
                <w:shd w:val="clear" w:fill="FFFFFF"/>
              </w:rPr>
            </w:pPr>
            <w:r>
              <w:rPr>
                <w:rFonts w:hint="eastAsia" w:asciiTheme="minorEastAsia" w:hAnsiTheme="minorEastAsia" w:eastAsiaTheme="minorEastAsia" w:cstheme="minorEastAsia"/>
                <w:bCs/>
                <w:color w:val="auto"/>
                <w:sz w:val="24"/>
                <w:szCs w:val="24"/>
                <w:highlight w:val="none"/>
                <w:lang w:val="en-US" w:eastAsia="zh-CN"/>
              </w:rPr>
              <w:t>投</w:t>
            </w:r>
            <w:r>
              <w:rPr>
                <w:rFonts w:hint="eastAsia" w:ascii="Segoe UI" w:hAnsi="Segoe UI" w:eastAsia="Segoe UI" w:cs="Segoe UI"/>
                <w:i w:val="0"/>
                <w:iCs w:val="0"/>
                <w:caps w:val="0"/>
                <w:spacing w:val="0"/>
                <w:sz w:val="24"/>
                <w:szCs w:val="24"/>
                <w:shd w:val="clear" w:fill="FFFFFF"/>
                <w:lang w:val="en-US" w:eastAsia="zh-CN"/>
              </w:rPr>
              <w:t>标供应商</w:t>
            </w:r>
            <w:r>
              <w:rPr>
                <w:rFonts w:hint="eastAsia" w:ascii="Segoe UI" w:hAnsi="Segoe UI" w:eastAsia="Segoe UI" w:cs="Segoe UI"/>
                <w:i w:val="0"/>
                <w:iCs w:val="0"/>
                <w:caps w:val="0"/>
                <w:spacing w:val="0"/>
                <w:sz w:val="24"/>
                <w:szCs w:val="24"/>
                <w:shd w:val="clear" w:fill="FFFFFF"/>
              </w:rPr>
              <w:t>202</w:t>
            </w:r>
            <w:r>
              <w:rPr>
                <w:rFonts w:hint="eastAsia" w:ascii="Segoe UI" w:hAnsi="Segoe UI" w:eastAsia="Segoe UI" w:cs="Segoe UI"/>
                <w:i w:val="0"/>
                <w:iCs w:val="0"/>
                <w:caps w:val="0"/>
                <w:spacing w:val="0"/>
                <w:sz w:val="24"/>
                <w:szCs w:val="24"/>
                <w:shd w:val="clear" w:fill="FFFFFF"/>
                <w:lang w:val="en-US" w:eastAsia="zh-CN"/>
              </w:rPr>
              <w:t>2</w:t>
            </w:r>
            <w:r>
              <w:rPr>
                <w:rFonts w:hint="eastAsia" w:ascii="Segoe UI" w:hAnsi="Segoe UI" w:eastAsia="Segoe UI" w:cs="Segoe UI"/>
                <w:i w:val="0"/>
                <w:iCs w:val="0"/>
                <w:caps w:val="0"/>
                <w:spacing w:val="0"/>
                <w:sz w:val="24"/>
                <w:szCs w:val="24"/>
                <w:shd w:val="clear" w:fill="FFFFFF"/>
              </w:rPr>
              <w:t>年1月1日（时间以合同签订时间为准）至今具有</w:t>
            </w:r>
            <w:r>
              <w:rPr>
                <w:rFonts w:hint="eastAsia" w:ascii="Segoe UI" w:hAnsi="Segoe UI" w:eastAsia="Segoe UI" w:cs="Segoe UI"/>
                <w:i w:val="0"/>
                <w:iCs w:val="0"/>
                <w:caps w:val="0"/>
                <w:spacing w:val="0"/>
                <w:sz w:val="24"/>
                <w:szCs w:val="24"/>
                <w:shd w:val="clear" w:fill="FFFFFF"/>
                <w:lang w:val="en-US" w:eastAsia="zh-CN"/>
              </w:rPr>
              <w:t>同类项目</w:t>
            </w:r>
            <w:r>
              <w:rPr>
                <w:rFonts w:hint="eastAsia" w:ascii="Segoe UI" w:hAnsi="Segoe UI" w:eastAsia="Segoe UI" w:cs="Segoe UI"/>
                <w:i w:val="0"/>
                <w:iCs w:val="0"/>
                <w:caps w:val="0"/>
                <w:spacing w:val="0"/>
                <w:sz w:val="24"/>
                <w:szCs w:val="24"/>
                <w:shd w:val="clear" w:fill="FFFFFF"/>
              </w:rPr>
              <w:t>（</w:t>
            </w:r>
            <w:r>
              <w:rPr>
                <w:rFonts w:hint="eastAsia" w:ascii="Segoe UI" w:hAnsi="Segoe UI" w:eastAsia="Segoe UI" w:cs="Segoe UI"/>
                <w:i w:val="0"/>
                <w:iCs w:val="0"/>
                <w:caps w:val="0"/>
                <w:spacing w:val="0"/>
                <w:sz w:val="24"/>
                <w:szCs w:val="24"/>
                <w:shd w:val="clear" w:fill="FFFFFF"/>
                <w:lang w:val="en-US" w:eastAsia="zh-CN"/>
              </w:rPr>
              <w:t>农业种植或林地租赁经营类</w:t>
            </w:r>
            <w:r>
              <w:rPr>
                <w:rFonts w:hint="eastAsia" w:ascii="Segoe UI" w:hAnsi="Segoe UI" w:eastAsia="Segoe UI" w:cs="Segoe UI"/>
                <w:i w:val="0"/>
                <w:iCs w:val="0"/>
                <w:caps w:val="0"/>
                <w:spacing w:val="0"/>
                <w:sz w:val="24"/>
                <w:szCs w:val="24"/>
                <w:shd w:val="clear" w:fill="FFFFFF"/>
              </w:rPr>
              <w:t>）业绩每个得</w:t>
            </w:r>
            <w:r>
              <w:rPr>
                <w:rFonts w:hint="eastAsia" w:ascii="Segoe UI" w:hAnsi="Segoe UI" w:eastAsia="Segoe UI" w:cs="Segoe UI"/>
                <w:i w:val="0"/>
                <w:iCs w:val="0"/>
                <w:caps w:val="0"/>
                <w:spacing w:val="0"/>
                <w:sz w:val="24"/>
                <w:szCs w:val="24"/>
                <w:shd w:val="clear" w:fill="FFFFFF"/>
                <w:lang w:val="en-US" w:eastAsia="zh-CN"/>
              </w:rPr>
              <w:t>7.5</w:t>
            </w:r>
            <w:r>
              <w:rPr>
                <w:rFonts w:hint="eastAsia" w:ascii="Segoe UI" w:hAnsi="Segoe UI" w:eastAsia="Segoe UI" w:cs="Segoe UI"/>
                <w:i w:val="0"/>
                <w:iCs w:val="0"/>
                <w:caps w:val="0"/>
                <w:spacing w:val="0"/>
                <w:sz w:val="24"/>
                <w:szCs w:val="24"/>
                <w:shd w:val="clear" w:fill="FFFFFF"/>
              </w:rPr>
              <w:t>分，本项最</w:t>
            </w:r>
            <w:r>
              <w:rPr>
                <w:rFonts w:hint="eastAsia" w:ascii="Segoe UI" w:hAnsi="Segoe UI" w:eastAsia="Segoe UI" w:cs="Segoe UI"/>
                <w:i w:val="0"/>
                <w:iCs w:val="0"/>
                <w:caps w:val="0"/>
                <w:spacing w:val="0"/>
                <w:sz w:val="24"/>
                <w:szCs w:val="24"/>
                <w:shd w:val="clear" w:fill="FFFFFF"/>
                <w:lang w:val="en-US" w:eastAsia="zh-CN"/>
              </w:rPr>
              <w:t>高</w:t>
            </w:r>
            <w:r>
              <w:rPr>
                <w:rFonts w:hint="eastAsia" w:ascii="Segoe UI" w:hAnsi="Segoe UI" w:eastAsia="Segoe UI" w:cs="Segoe UI"/>
                <w:i w:val="0"/>
                <w:iCs w:val="0"/>
                <w:caps w:val="0"/>
                <w:spacing w:val="0"/>
                <w:sz w:val="24"/>
                <w:szCs w:val="24"/>
                <w:shd w:val="clear" w:fill="FFFFFF"/>
              </w:rPr>
              <w:t>得</w:t>
            </w:r>
            <w:r>
              <w:rPr>
                <w:rFonts w:hint="eastAsia" w:ascii="Segoe UI" w:hAnsi="Segoe UI" w:eastAsia="Segoe UI" w:cs="Segoe UI"/>
                <w:i w:val="0"/>
                <w:iCs w:val="0"/>
                <w:caps w:val="0"/>
                <w:spacing w:val="0"/>
                <w:sz w:val="24"/>
                <w:szCs w:val="24"/>
                <w:shd w:val="clear" w:fill="FFFFFF"/>
                <w:lang w:val="en-US" w:eastAsia="zh-CN"/>
              </w:rPr>
              <w:t>15</w:t>
            </w:r>
            <w:r>
              <w:rPr>
                <w:rFonts w:hint="eastAsia" w:ascii="Segoe UI" w:hAnsi="Segoe UI" w:eastAsia="Segoe UI" w:cs="Segoe UI"/>
                <w:i w:val="0"/>
                <w:iCs w:val="0"/>
                <w:caps w:val="0"/>
                <w:spacing w:val="0"/>
                <w:sz w:val="24"/>
                <w:szCs w:val="24"/>
                <w:shd w:val="clear" w:fill="FFFFFF"/>
              </w:rPr>
              <w:t>分。</w:t>
            </w:r>
          </w:p>
          <w:p w14:paraId="6D2421EB">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leftChars="0" w:right="0" w:rightChars="0"/>
              <w:textAlignment w:val="auto"/>
              <w:rPr>
                <w:rFonts w:hint="eastAsia" w:asciiTheme="minorEastAsia" w:hAnsiTheme="minorEastAsia" w:eastAsiaTheme="minorEastAsia" w:cstheme="minorEastAsia"/>
                <w:color w:val="auto"/>
                <w:sz w:val="24"/>
                <w:szCs w:val="24"/>
                <w:lang w:val="en-US" w:eastAsia="zh-CN"/>
              </w:rPr>
            </w:pPr>
            <w:r>
              <w:rPr>
                <w:rFonts w:hint="eastAsia" w:ascii="Segoe UI" w:hAnsi="Segoe UI" w:eastAsia="Segoe UI" w:cs="Segoe UI"/>
                <w:i w:val="0"/>
                <w:iCs w:val="0"/>
                <w:caps w:val="0"/>
                <w:spacing w:val="0"/>
                <w:sz w:val="24"/>
                <w:szCs w:val="24"/>
                <w:shd w:val="clear" w:fill="FFFFFF"/>
              </w:rPr>
              <w:t>证明</w:t>
            </w:r>
            <w:r>
              <w:rPr>
                <w:rFonts w:hint="eastAsia" w:ascii="Segoe UI" w:hAnsi="Segoe UI" w:eastAsia="Segoe UI" w:cs="Segoe UI"/>
                <w:i w:val="0"/>
                <w:iCs w:val="0"/>
                <w:caps w:val="0"/>
                <w:spacing w:val="0"/>
                <w:sz w:val="24"/>
                <w:szCs w:val="24"/>
                <w:shd w:val="clear" w:fill="FFFFFF"/>
                <w:lang w:val="en-US" w:eastAsia="zh-CN"/>
              </w:rPr>
              <w:t>材料</w:t>
            </w:r>
            <w:r>
              <w:rPr>
                <w:rFonts w:hint="eastAsia" w:ascii="Segoe UI" w:hAnsi="Segoe UI" w:eastAsia="Segoe UI" w:cs="Segoe UI"/>
                <w:i w:val="0"/>
                <w:iCs w:val="0"/>
                <w:caps w:val="0"/>
                <w:spacing w:val="0"/>
                <w:sz w:val="24"/>
                <w:szCs w:val="24"/>
                <w:shd w:val="clear" w:fill="FFFFFF"/>
              </w:rPr>
              <w:t>：提供合同</w:t>
            </w:r>
            <w:r>
              <w:rPr>
                <w:rFonts w:hint="eastAsia" w:ascii="Segoe UI" w:hAnsi="Segoe UI" w:eastAsia="Segoe UI" w:cs="Segoe UI"/>
                <w:i w:val="0"/>
                <w:iCs w:val="0"/>
                <w:caps w:val="0"/>
                <w:spacing w:val="0"/>
                <w:sz w:val="24"/>
                <w:szCs w:val="24"/>
                <w:shd w:val="clear" w:fill="FFFFFF"/>
                <w:lang w:val="en-US" w:eastAsia="zh-CN"/>
              </w:rPr>
              <w:t>复印件加盖</w:t>
            </w:r>
            <w:r>
              <w:rPr>
                <w:rFonts w:hint="eastAsia" w:ascii="Segoe UI" w:hAnsi="Segoe UI" w:eastAsia="Segoe UI" w:cs="Segoe UI"/>
                <w:i w:val="0"/>
                <w:iCs w:val="0"/>
                <w:caps w:val="0"/>
                <w:spacing w:val="0"/>
                <w:sz w:val="24"/>
                <w:szCs w:val="24"/>
                <w:shd w:val="clear" w:fill="FFFFFF"/>
              </w:rPr>
              <w:t>单位公章，不提供不得分。</w:t>
            </w:r>
          </w:p>
        </w:tc>
        <w:tc>
          <w:tcPr>
            <w:tcW w:w="937" w:type="dxa"/>
            <w:vAlign w:val="center"/>
          </w:tcPr>
          <w:p w14:paraId="58035F49">
            <w:pPr>
              <w:keepNext w:val="0"/>
              <w:keepLines w:val="0"/>
              <w:widowControl/>
              <w:suppressLineNumbers w:val="0"/>
              <w:tabs>
                <w:tab w:val="left" w:pos="426"/>
              </w:tabs>
              <w:spacing w:before="0" w:beforeAutospacing="0" w:afterAutospacing="0" w:line="240" w:lineRule="auto"/>
              <w:ind w:left="0" w:leftChars="0" w:right="0" w:right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15</w:t>
            </w:r>
          </w:p>
        </w:tc>
      </w:tr>
      <w:tr w14:paraId="10C8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8" w:hRule="atLeast"/>
          <w:jc w:val="center"/>
        </w:trPr>
        <w:tc>
          <w:tcPr>
            <w:tcW w:w="771" w:type="dxa"/>
            <w:vAlign w:val="center"/>
          </w:tcPr>
          <w:p w14:paraId="75895227">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2</w:t>
            </w:r>
          </w:p>
        </w:tc>
        <w:tc>
          <w:tcPr>
            <w:tcW w:w="1834" w:type="dxa"/>
            <w:vAlign w:val="center"/>
          </w:tcPr>
          <w:p w14:paraId="30D60460">
            <w:pPr>
              <w:keepNext w:val="0"/>
              <w:keepLines w:val="0"/>
              <w:widowControl/>
              <w:suppressLineNumbers w:val="0"/>
              <w:tabs>
                <w:tab w:val="left" w:pos="426"/>
              </w:tabs>
              <w:spacing w:before="0" w:beforeAutospacing="0" w:afterAutospacing="0" w:line="240" w:lineRule="auto"/>
              <w:ind w:left="0" w:right="0"/>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资信实力</w:t>
            </w:r>
          </w:p>
        </w:tc>
        <w:tc>
          <w:tcPr>
            <w:tcW w:w="4784" w:type="dxa"/>
            <w:vAlign w:val="center"/>
          </w:tcPr>
          <w:p w14:paraId="1EFDD32B">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Segoe UI" w:hAnsi="Segoe UI" w:eastAsia="Segoe UI" w:cs="Segoe UI"/>
                <w:i w:val="0"/>
                <w:iCs w:val="0"/>
                <w:caps w:val="0"/>
                <w:spacing w:val="0"/>
                <w:sz w:val="24"/>
                <w:szCs w:val="24"/>
                <w:shd w:val="clear" w:fill="FFFFFF"/>
                <w:lang w:val="en-US" w:eastAsia="zh-CN"/>
              </w:rPr>
            </w:pPr>
            <w:r>
              <w:rPr>
                <w:rFonts w:ascii="Segoe UI" w:hAnsi="Segoe UI" w:eastAsia="Segoe UI" w:cs="Segoe UI"/>
                <w:i w:val="0"/>
                <w:iCs w:val="0"/>
                <w:caps w:val="0"/>
                <w:spacing w:val="0"/>
                <w:sz w:val="24"/>
                <w:szCs w:val="24"/>
                <w:shd w:val="clear" w:fill="FFFFFF"/>
              </w:rPr>
              <w:t>提</w:t>
            </w:r>
            <w:r>
              <w:rPr>
                <w:rFonts w:hint="eastAsia" w:ascii="Segoe UI" w:hAnsi="Segoe UI" w:eastAsia="Segoe UI" w:cs="Segoe UI"/>
                <w:i w:val="0"/>
                <w:iCs w:val="0"/>
                <w:caps w:val="0"/>
                <w:spacing w:val="0"/>
                <w:sz w:val="24"/>
                <w:szCs w:val="24"/>
                <w:shd w:val="clear" w:fill="FFFFFF"/>
              </w:rPr>
              <w:t>供银行资信证明（近3个月内</w:t>
            </w:r>
            <w:r>
              <w:rPr>
                <w:rFonts w:hint="eastAsia" w:ascii="Segoe UI" w:hAnsi="Segoe UI" w:eastAsia="Segoe UI" w:cs="Segoe UI"/>
                <w:i w:val="0"/>
                <w:iCs w:val="0"/>
                <w:caps w:val="0"/>
                <w:spacing w:val="0"/>
                <w:sz w:val="24"/>
                <w:szCs w:val="24"/>
                <w:shd w:val="clear" w:fill="FFFFFF"/>
                <w:lang w:eastAsia="zh-CN"/>
              </w:rPr>
              <w:t>，</w:t>
            </w:r>
            <w:r>
              <w:rPr>
                <w:rFonts w:hint="eastAsia" w:ascii="Segoe UI" w:hAnsi="Segoe UI" w:eastAsia="Segoe UI" w:cs="Segoe UI"/>
                <w:i w:val="0"/>
                <w:iCs w:val="0"/>
                <w:caps w:val="0"/>
                <w:spacing w:val="0"/>
                <w:sz w:val="24"/>
                <w:szCs w:val="24"/>
                <w:shd w:val="clear" w:fill="FFFFFF"/>
                <w:lang w:val="en-US" w:eastAsia="zh-CN"/>
              </w:rPr>
              <w:t>即2025年11月-2026年1月</w:t>
            </w:r>
            <w:r>
              <w:rPr>
                <w:rFonts w:hint="eastAsia" w:ascii="Segoe UI" w:hAnsi="Segoe UI" w:eastAsia="Segoe UI" w:cs="Segoe UI"/>
                <w:i w:val="0"/>
                <w:iCs w:val="0"/>
                <w:caps w:val="0"/>
                <w:spacing w:val="0"/>
                <w:sz w:val="24"/>
                <w:szCs w:val="24"/>
                <w:shd w:val="clear" w:fill="FFFFFF"/>
              </w:rPr>
              <w:t>）</w:t>
            </w:r>
            <w:r>
              <w:rPr>
                <w:rFonts w:hint="eastAsia" w:ascii="Segoe UI" w:hAnsi="Segoe UI" w:eastAsia="Segoe UI" w:cs="Segoe UI"/>
                <w:i w:val="0"/>
                <w:iCs w:val="0"/>
                <w:caps w:val="0"/>
                <w:spacing w:val="0"/>
                <w:sz w:val="24"/>
                <w:szCs w:val="24"/>
                <w:shd w:val="clear" w:fill="FFFFFF"/>
                <w:lang w:eastAsia="zh-CN"/>
              </w:rPr>
              <w:t>，</w:t>
            </w:r>
            <w:r>
              <w:rPr>
                <w:rFonts w:hint="eastAsia" w:ascii="Segoe UI" w:hAnsi="Segoe UI" w:eastAsia="Segoe UI" w:cs="Segoe UI"/>
                <w:i w:val="0"/>
                <w:iCs w:val="0"/>
                <w:caps w:val="0"/>
                <w:spacing w:val="0"/>
                <w:sz w:val="24"/>
                <w:szCs w:val="24"/>
                <w:shd w:val="clear" w:fill="FFFFFF"/>
              </w:rPr>
              <w:t>无不良信用记录的</w:t>
            </w:r>
            <w:r>
              <w:rPr>
                <w:rFonts w:hint="eastAsia" w:ascii="Segoe UI" w:hAnsi="Segoe UI" w:eastAsia="Segoe UI" w:cs="Segoe UI"/>
                <w:i w:val="0"/>
                <w:iCs w:val="0"/>
                <w:caps w:val="0"/>
                <w:spacing w:val="0"/>
                <w:sz w:val="24"/>
                <w:szCs w:val="24"/>
                <w:shd w:val="clear" w:fill="FFFFFF"/>
                <w:lang w:eastAsia="zh-CN"/>
              </w:rPr>
              <w:t>，</w:t>
            </w:r>
            <w:r>
              <w:rPr>
                <w:rFonts w:hint="eastAsia" w:ascii="Segoe UI" w:hAnsi="Segoe UI" w:eastAsia="Segoe UI" w:cs="Segoe UI"/>
                <w:i w:val="0"/>
                <w:iCs w:val="0"/>
                <w:caps w:val="0"/>
                <w:spacing w:val="0"/>
                <w:sz w:val="24"/>
                <w:szCs w:val="24"/>
                <w:shd w:val="clear" w:fill="FFFFFF"/>
                <w:lang w:val="en-US" w:eastAsia="zh-CN"/>
              </w:rPr>
              <w:t>得10分。</w:t>
            </w:r>
          </w:p>
          <w:p w14:paraId="44D5D7F4">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leftChars="0" w:right="0" w:rightChars="0"/>
              <w:textAlignment w:val="auto"/>
              <w:rPr>
                <w:rFonts w:hint="eastAsia"/>
                <w:color w:val="auto"/>
                <w:lang w:val="en-US" w:eastAsia="zh-CN"/>
              </w:rPr>
            </w:pPr>
            <w:r>
              <w:rPr>
                <w:rFonts w:hint="eastAsia" w:ascii="Segoe UI" w:hAnsi="Segoe UI" w:eastAsia="Segoe UI" w:cs="Segoe UI"/>
                <w:i w:val="0"/>
                <w:iCs w:val="0"/>
                <w:caps w:val="0"/>
                <w:spacing w:val="0"/>
                <w:sz w:val="24"/>
                <w:szCs w:val="24"/>
                <w:shd w:val="clear" w:fill="FFFFFF"/>
                <w:lang w:val="en-US" w:eastAsia="zh-CN"/>
              </w:rPr>
              <w:t>证明材料：提供由供应商开户银行出具的《资信证明》（需明确 “无不良信用记录” 类表述）。未提供者不得分。</w:t>
            </w:r>
          </w:p>
        </w:tc>
        <w:tc>
          <w:tcPr>
            <w:tcW w:w="937" w:type="dxa"/>
            <w:vAlign w:val="center"/>
          </w:tcPr>
          <w:p w14:paraId="429009F6">
            <w:pPr>
              <w:keepNext w:val="0"/>
              <w:keepLines w:val="0"/>
              <w:widowControl/>
              <w:suppressLineNumbers w:val="0"/>
              <w:tabs>
                <w:tab w:val="left" w:pos="426"/>
              </w:tabs>
              <w:spacing w:before="0" w:beforeAutospacing="0" w:afterAutospacing="0" w:line="240" w:lineRule="auto"/>
              <w:ind w:left="0" w:leftChars="0" w:right="0" w:rightChars="0"/>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highlight w:val="none"/>
                <w:lang w:val="en-US" w:eastAsia="zh-CN"/>
              </w:rPr>
              <w:t>10</w:t>
            </w:r>
          </w:p>
        </w:tc>
      </w:tr>
      <w:tr w14:paraId="7F252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771" w:type="dxa"/>
            <w:vAlign w:val="center"/>
          </w:tcPr>
          <w:p w14:paraId="49F15071">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w:t>
            </w:r>
          </w:p>
        </w:tc>
        <w:tc>
          <w:tcPr>
            <w:tcW w:w="1834" w:type="dxa"/>
            <w:vAlign w:val="center"/>
          </w:tcPr>
          <w:p w14:paraId="3735543B">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种植方案</w:t>
            </w:r>
          </w:p>
        </w:tc>
        <w:tc>
          <w:tcPr>
            <w:tcW w:w="4784" w:type="dxa"/>
            <w:vAlign w:val="center"/>
          </w:tcPr>
          <w:p w14:paraId="5759309B">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投标供应商提供针对本项目的种植方案应包括但不限于以下内容：①</w:t>
            </w:r>
            <w:r>
              <w:rPr>
                <w:rFonts w:ascii="Segoe UI" w:hAnsi="Segoe UI" w:eastAsia="Segoe UI" w:cs="Segoe UI"/>
                <w:i w:val="0"/>
                <w:iCs w:val="0"/>
                <w:caps w:val="0"/>
                <w:spacing w:val="0"/>
                <w:sz w:val="24"/>
                <w:szCs w:val="24"/>
                <w:shd w:val="clear" w:fill="FFFFFF"/>
              </w:rPr>
              <w:t>品种选择与适配性明确种植榴莲、红毛丹等高效作物的具体品种，且能结合地块土壤、气候条件说明适配性</w:t>
            </w:r>
            <w:r>
              <w:rPr>
                <w:rFonts w:hint="eastAsia" w:ascii="Segoe UI" w:hAnsi="Segoe UI" w:eastAsia="宋体" w:cs="Segoe UI"/>
                <w:i w:val="0"/>
                <w:iCs w:val="0"/>
                <w:caps w:val="0"/>
                <w:spacing w:val="0"/>
                <w:sz w:val="24"/>
                <w:szCs w:val="24"/>
                <w:shd w:val="clear" w:fill="FFFFFF"/>
                <w:lang w:eastAsia="zh-CN"/>
              </w:rPr>
              <w:t>；</w:t>
            </w:r>
            <w:r>
              <w:rPr>
                <w:rFonts w:hint="eastAsia" w:asciiTheme="minorEastAsia" w:hAnsiTheme="minorEastAsia" w:eastAsiaTheme="minorEastAsia" w:cstheme="minorEastAsia"/>
                <w:color w:val="auto"/>
                <w:sz w:val="24"/>
                <w:szCs w:val="24"/>
                <w:lang w:val="en-US" w:eastAsia="zh-CN"/>
              </w:rPr>
              <w:t>②</w:t>
            </w:r>
            <w:r>
              <w:rPr>
                <w:rFonts w:ascii="Segoe UI" w:hAnsi="Segoe UI" w:eastAsia="Segoe UI" w:cs="Segoe UI"/>
                <w:i w:val="0"/>
                <w:iCs w:val="0"/>
                <w:caps w:val="0"/>
                <w:spacing w:val="0"/>
                <w:sz w:val="24"/>
                <w:szCs w:val="24"/>
                <w:shd w:val="clear" w:fill="FFFFFF"/>
              </w:rPr>
              <w:t>种植技术与密度规划</w:t>
            </w:r>
            <w:r>
              <w:rPr>
                <w:rFonts w:hint="eastAsia" w:asciiTheme="minorEastAsia" w:hAnsiTheme="minorEastAsia" w:eastAsiaTheme="minorEastAsia" w:cstheme="minorEastAsia"/>
                <w:color w:val="auto"/>
                <w:sz w:val="24"/>
                <w:szCs w:val="24"/>
                <w:lang w:val="en-US" w:eastAsia="zh-CN"/>
              </w:rPr>
              <w:t>；</w:t>
            </w:r>
            <w:r>
              <w:rPr>
                <w:rFonts w:hint="default" w:asciiTheme="minorEastAsia" w:hAnsiTheme="minorEastAsia" w:eastAsiaTheme="minorEastAsia" w:cstheme="minorEastAsia"/>
                <w:color w:val="auto"/>
                <w:sz w:val="24"/>
                <w:szCs w:val="24"/>
                <w:lang w:val="en-US" w:eastAsia="zh-CN"/>
              </w:rPr>
              <w:t>③产量与收益预估</w:t>
            </w:r>
            <w:r>
              <w:rPr>
                <w:rFonts w:hint="eastAsia" w:asciiTheme="minorEastAsia" w:hAnsiTheme="minorEastAsia" w:eastAsiaTheme="minorEastAsia" w:cstheme="minorEastAsia"/>
                <w:color w:val="auto"/>
                <w:sz w:val="24"/>
                <w:szCs w:val="24"/>
                <w:lang w:val="en-US" w:eastAsia="zh-CN"/>
              </w:rPr>
              <w:t>。根据方案对本项目的针对性、合理性和可操作性综合评审打分：</w:t>
            </w:r>
          </w:p>
          <w:p w14:paraId="22A1EEBA">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种植方案内容全面、详细、合理，适用性强，紧密结合项目实际条件制定，完全满足采购人的需要，思路清晰，考虑问题周全，分析充分，具体处置措施严谨，实施路径务实明确，保障措施严谨有力，可操作性强的得20分；</w:t>
            </w:r>
          </w:p>
          <w:p w14:paraId="1C86F7ED">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（2）种植方案内容比较全面，较为详细，思路比较清晰，内容比较严谨，能根据实际情况制订，基本满足采购人的需要，实施过程比较务实，保障性较一般，可操作性一般的得16分；</w:t>
            </w:r>
          </w:p>
          <w:p w14:paraId="2F3EC3D5">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（3）种植方案适用性差，思路不清晰，内容缺项，表述简单，没有根据实际情况制订，不能够满足采购人的需要，考虑问题片面，保障性较差，可操作性较差的得12分；</w:t>
            </w:r>
          </w:p>
          <w:p w14:paraId="63F9E92F">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Autospacing="0" w:line="380" w:lineRule="exact"/>
              <w:ind w:left="0" w:right="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（4）未提供者得0分。</w:t>
            </w:r>
          </w:p>
        </w:tc>
        <w:tc>
          <w:tcPr>
            <w:tcW w:w="937" w:type="dxa"/>
            <w:vAlign w:val="center"/>
          </w:tcPr>
          <w:p w14:paraId="6B0168C5">
            <w:pPr>
              <w:keepNext w:val="0"/>
              <w:keepLines w:val="0"/>
              <w:widowControl/>
              <w:suppressLineNumbers w:val="0"/>
              <w:tabs>
                <w:tab w:val="left" w:pos="426"/>
              </w:tabs>
              <w:spacing w:before="0" w:beforeAutospacing="0" w:afterAutospacing="0" w:line="240" w:lineRule="auto"/>
              <w:ind w:left="0" w:right="0"/>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w:t>
            </w:r>
          </w:p>
        </w:tc>
      </w:tr>
      <w:tr w14:paraId="37921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771" w:type="dxa"/>
            <w:vAlign w:val="center"/>
          </w:tcPr>
          <w:p w14:paraId="753DDD74">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w:t>
            </w:r>
          </w:p>
        </w:tc>
        <w:tc>
          <w:tcPr>
            <w:tcW w:w="1834" w:type="dxa"/>
            <w:vAlign w:val="center"/>
          </w:tcPr>
          <w:p w14:paraId="583F603D">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赔付与迁移实施方案</w:t>
            </w:r>
          </w:p>
        </w:tc>
        <w:tc>
          <w:tcPr>
            <w:tcW w:w="4784" w:type="dxa"/>
            <w:vAlign w:val="center"/>
          </w:tcPr>
          <w:p w14:paraId="72634B4F">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投标供应商提供针对本项目的赔付与迁移实施方案应包括但不限于以下内容：①附着物处理方案：针对地块内橡胶、槟榔、果树等附着物，提供明确的赔偿标准、赔付效率、处理流程；②调规与沟通协调：涉及橡胶保护区调规的，提供具体的调规流程、时间计划及与相关部门的沟通措施。根据方案对本项目的针对性、合理性和可操作性综合评审打分：</w:t>
            </w:r>
          </w:p>
          <w:p w14:paraId="7D4A0B17">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赔付与迁移实施方案内容全面、详细、合理，适用性强，思路清晰，紧密结合项目实际条件制定，完全满足采购人的需要，考虑问题周全，响应时间快速，具体处置措施严谨，实施过程务实，保障性强，可操作性强的得20分；</w:t>
            </w:r>
          </w:p>
          <w:p w14:paraId="417A4CDB">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（2）赔付与迁移实施方案内容比较全面，较为详细，思路比较清晰，内容比较严谨，能根据实际情况制订，基本满足采购人的需要，实施过程比较务实，保障性较一般，可操作性一般的得16分；</w:t>
            </w:r>
          </w:p>
          <w:p w14:paraId="073477ED">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（3）赔付与迁移实施方案适用性差，思路不清晰，内容缺项，表述简单，没有根据实际情况制订，不能够满足采购人的需要，考虑问题片面，保障性较差，可操作性较差的得12分；</w:t>
            </w:r>
          </w:p>
          <w:p w14:paraId="3613FF4B">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（4）未提供者得0分。</w:t>
            </w:r>
          </w:p>
        </w:tc>
        <w:tc>
          <w:tcPr>
            <w:tcW w:w="937" w:type="dxa"/>
            <w:vAlign w:val="center"/>
          </w:tcPr>
          <w:p w14:paraId="54711A38">
            <w:pPr>
              <w:keepNext w:val="0"/>
              <w:keepLines w:val="0"/>
              <w:widowControl/>
              <w:suppressLineNumbers w:val="0"/>
              <w:tabs>
                <w:tab w:val="left" w:pos="426"/>
              </w:tabs>
              <w:spacing w:before="0" w:beforeAutospacing="0" w:afterAutospacing="0" w:line="240" w:lineRule="auto"/>
              <w:ind w:left="0" w:right="0"/>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w:t>
            </w:r>
          </w:p>
        </w:tc>
      </w:tr>
      <w:tr w14:paraId="66DDD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7" w:hRule="atLeast"/>
          <w:jc w:val="center"/>
        </w:trPr>
        <w:tc>
          <w:tcPr>
            <w:tcW w:w="771" w:type="dxa"/>
            <w:vAlign w:val="center"/>
          </w:tcPr>
          <w:p w14:paraId="6275C6C5">
            <w:pPr>
              <w:keepNext w:val="0"/>
              <w:keepLines w:val="0"/>
              <w:widowControl/>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w:t>
            </w:r>
          </w:p>
        </w:tc>
        <w:tc>
          <w:tcPr>
            <w:tcW w:w="1834" w:type="dxa"/>
            <w:vAlign w:val="center"/>
          </w:tcPr>
          <w:p w14:paraId="20030E32">
            <w:pPr>
              <w:keepNext w:val="0"/>
              <w:keepLines w:val="0"/>
              <w:widowControl/>
              <w:suppressLineNumbers w:val="0"/>
              <w:spacing w:before="0" w:beforeAutospacing="0" w:afterAutospacing="0"/>
              <w:ind w:left="0" w:right="0"/>
              <w:jc w:val="center"/>
              <w:rPr>
                <w:rFonts w:hint="eastAsia" w:eastAsia="宋体" w:asciiTheme="minorEastAsia" w:hAnsiTheme="minorEastAsia" w:cstheme="minorEastAsia"/>
                <w:color w:val="auto"/>
                <w:sz w:val="24"/>
                <w:szCs w:val="24"/>
                <w:lang w:val="en-US" w:eastAsia="zh-CN"/>
              </w:rPr>
            </w:pPr>
            <w:r>
              <w:rPr>
                <w:rFonts w:hint="eastAsia" w:eastAsia="宋体" w:asciiTheme="minorEastAsia" w:hAnsiTheme="minorEastAsia" w:cstheme="minorEastAsia"/>
                <w:color w:val="auto"/>
                <w:sz w:val="24"/>
                <w:szCs w:val="24"/>
                <w:lang w:val="en-US" w:eastAsia="zh-CN"/>
              </w:rPr>
              <w:t>管护与可持续经营方案</w:t>
            </w:r>
          </w:p>
        </w:tc>
        <w:tc>
          <w:tcPr>
            <w:tcW w:w="4784" w:type="dxa"/>
            <w:vAlign w:val="center"/>
          </w:tcPr>
          <w:p w14:paraId="3460BF29">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投标供应商提供针对本项目的管护与可持续经营方案应包括但不限于以下内容：①日常管护计划：提供租赁期间的作物管护、地块维护、设施检修等日常管理计划；②病虫害防治与风险应对：制定针对性的病虫害防治方案、自然灾害应对措施（如台风、旱灾）。根据方案对本项目的针对性、合理性和可操作性综合评审打分：</w:t>
            </w:r>
          </w:p>
          <w:p w14:paraId="5BD9E3A7">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w:t>
            </w:r>
            <w:r>
              <w:rPr>
                <w:rFonts w:hint="eastAsia" w:eastAsia="宋体" w:asciiTheme="minorEastAsia" w:hAnsiTheme="minorEastAsia" w:cstheme="minorEastAsia"/>
                <w:color w:val="auto"/>
                <w:sz w:val="24"/>
                <w:szCs w:val="24"/>
                <w:lang w:val="en-US" w:eastAsia="zh-CN"/>
              </w:rPr>
              <w:t>管护与可持续经营方案</w:t>
            </w:r>
            <w:r>
              <w:rPr>
                <w:rFonts w:hint="eastAsia" w:asciiTheme="minorEastAsia" w:hAnsiTheme="minorEastAsia" w:eastAsiaTheme="minorEastAsia" w:cstheme="minorEastAsia"/>
                <w:color w:val="auto"/>
                <w:sz w:val="24"/>
                <w:szCs w:val="24"/>
                <w:lang w:val="en-US" w:eastAsia="zh-CN"/>
              </w:rPr>
              <w:t>内容全面、详细、合理，适用性强，思路清晰，紧密结合项目实际条件制定，完全满足采购人的需要，考虑问题周全，响应时间快速，具体处置措施严谨，实施路径务实，责任清晰，保障措施完备有力，可操作性强的得20分；</w:t>
            </w:r>
          </w:p>
          <w:p w14:paraId="7A87862D">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w:t>
            </w:r>
            <w:r>
              <w:rPr>
                <w:rFonts w:hint="eastAsia" w:eastAsia="宋体" w:asciiTheme="minorEastAsia" w:hAnsiTheme="minorEastAsia" w:cstheme="minorEastAsia"/>
                <w:color w:val="auto"/>
                <w:sz w:val="24"/>
                <w:szCs w:val="24"/>
                <w:lang w:val="en-US" w:eastAsia="zh-CN"/>
              </w:rPr>
              <w:t>管护与可持续经营方案</w:t>
            </w:r>
            <w:r>
              <w:rPr>
                <w:rFonts w:hint="eastAsia" w:asciiTheme="minorEastAsia" w:hAnsiTheme="minorEastAsia" w:eastAsiaTheme="minorEastAsia" w:cstheme="minorEastAsia"/>
                <w:color w:val="auto"/>
                <w:sz w:val="24"/>
                <w:szCs w:val="24"/>
                <w:lang w:val="en-US" w:eastAsia="zh-CN"/>
              </w:rPr>
              <w:t>内容比较全面，较为详细，思路比较清晰，内容比较严谨，能根据实际情况制订，基本满足采购人的需要，实施路径比较务实，保障性较一般，可操作性一般的得16分；</w:t>
            </w:r>
          </w:p>
          <w:p w14:paraId="18906721">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w:t>
            </w:r>
            <w:r>
              <w:rPr>
                <w:rFonts w:hint="eastAsia" w:eastAsia="宋体" w:asciiTheme="minorEastAsia" w:hAnsiTheme="minorEastAsia" w:cstheme="minorEastAsia"/>
                <w:color w:val="auto"/>
                <w:sz w:val="24"/>
                <w:szCs w:val="24"/>
                <w:lang w:val="en-US" w:eastAsia="zh-CN"/>
              </w:rPr>
              <w:t>管护与可持续经营方案</w:t>
            </w:r>
            <w:r>
              <w:rPr>
                <w:rFonts w:hint="eastAsia" w:asciiTheme="minorEastAsia" w:hAnsiTheme="minorEastAsia" w:eastAsiaTheme="minorEastAsia" w:cstheme="minorEastAsia"/>
                <w:color w:val="auto"/>
                <w:sz w:val="24"/>
                <w:szCs w:val="24"/>
                <w:lang w:val="en-US" w:eastAsia="zh-CN"/>
              </w:rPr>
              <w:t>适用性差，思路不清晰，内容缺项，表述简单，没有根据实际情况制订，不能够满足采购人的需要，考虑问题片面，保障性较差，可操作性较差的12分。</w:t>
            </w:r>
          </w:p>
          <w:p w14:paraId="2084413D">
            <w:pPr>
              <w:keepNext w:val="0"/>
              <w:keepLines w:val="0"/>
              <w:pageBreakBefore w:val="0"/>
              <w:widowControl/>
              <w:suppressLineNumbers w:val="0"/>
              <w:tabs>
                <w:tab w:val="left" w:pos="426"/>
              </w:tabs>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（4）不提供方案的不得分。</w:t>
            </w:r>
          </w:p>
        </w:tc>
        <w:tc>
          <w:tcPr>
            <w:tcW w:w="937" w:type="dxa"/>
            <w:vAlign w:val="center"/>
          </w:tcPr>
          <w:p w14:paraId="09D90C06">
            <w:pPr>
              <w:keepNext w:val="0"/>
              <w:keepLines w:val="0"/>
              <w:widowControl/>
              <w:suppressLineNumbers w:val="0"/>
              <w:tabs>
                <w:tab w:val="left" w:pos="426"/>
              </w:tabs>
              <w:spacing w:before="0" w:beforeAutospacing="0" w:afterAutospacing="0" w:line="240" w:lineRule="auto"/>
              <w:ind w:left="0" w:right="0"/>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w:t>
            </w:r>
          </w:p>
        </w:tc>
      </w:tr>
      <w:tr w14:paraId="453F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7" w:hRule="atLeast"/>
          <w:jc w:val="center"/>
        </w:trPr>
        <w:tc>
          <w:tcPr>
            <w:tcW w:w="771" w:type="dxa"/>
            <w:vAlign w:val="center"/>
          </w:tcPr>
          <w:p w14:paraId="239294D3">
            <w:pPr>
              <w:keepNext w:val="0"/>
              <w:keepLines w:val="0"/>
              <w:widowControl/>
              <w:numPr>
                <w:ilvl w:val="0"/>
                <w:numId w:val="0"/>
              </w:numPr>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6</w:t>
            </w:r>
          </w:p>
        </w:tc>
        <w:tc>
          <w:tcPr>
            <w:tcW w:w="1834" w:type="dxa"/>
            <w:vAlign w:val="center"/>
          </w:tcPr>
          <w:p w14:paraId="2DC755C4">
            <w:pPr>
              <w:keepNext w:val="0"/>
              <w:keepLines w:val="0"/>
              <w:widowControl/>
              <w:numPr>
                <w:ilvl w:val="0"/>
                <w:numId w:val="0"/>
              </w:numPr>
              <w:suppressLineNumbers w:val="0"/>
              <w:tabs>
                <w:tab w:val="left" w:pos="426"/>
              </w:tabs>
              <w:spacing w:before="0" w:beforeAutospacing="0" w:afterAutospacing="0" w:line="240" w:lineRule="auto"/>
              <w:ind w:left="0" w:right="0"/>
              <w:jc w:val="center"/>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投标报价</w:t>
            </w:r>
          </w:p>
        </w:tc>
        <w:tc>
          <w:tcPr>
            <w:tcW w:w="4784" w:type="dxa"/>
            <w:vAlign w:val="center"/>
          </w:tcPr>
          <w:p w14:paraId="111DB79D">
            <w:pPr>
              <w:keepNext w:val="0"/>
              <w:keepLines w:val="0"/>
              <w:pageBreakBefore w:val="0"/>
              <w:widowControl/>
              <w:numPr>
                <w:ilvl w:val="0"/>
                <w:numId w:val="0"/>
              </w:numPr>
              <w:suppressLineNumbers w:val="0"/>
              <w:tabs>
                <w:tab w:val="left" w:pos="426"/>
              </w:tabs>
              <w:kinsoku/>
              <w:wordWrap/>
              <w:overflowPunct/>
              <w:topLinePunct w:val="0"/>
              <w:autoSpaceDE/>
              <w:autoSpaceDN/>
              <w:bidi w:val="0"/>
              <w:adjustRightInd/>
              <w:snapToGrid/>
              <w:spacing w:before="0" w:beforeAutospacing="0" w:afterAutospacing="0" w:line="380" w:lineRule="exact"/>
              <w:ind w:left="0" w:leftChars="0" w:right="0" w:rightChars="0" w:firstLine="0" w:firstLineChars="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满足磋商文件要求且最后投标报价最</w:t>
            </w:r>
            <w:r>
              <w:rPr>
                <w:rFonts w:hint="eastAsia" w:asciiTheme="minorEastAsia" w:hAnsiTheme="minorEastAsia" w:eastAsiaTheme="minorEastAsia" w:cstheme="minorEastAsia"/>
                <w:color w:val="auto"/>
                <w:sz w:val="24"/>
                <w:szCs w:val="24"/>
                <w:lang w:val="en-US" w:eastAsia="zh-CN"/>
              </w:rPr>
              <w:t>高</w:t>
            </w:r>
            <w:r>
              <w:rPr>
                <w:rFonts w:hint="eastAsia" w:asciiTheme="minorEastAsia" w:hAnsiTheme="minorEastAsia" w:eastAsiaTheme="minorEastAsia" w:cstheme="minorEastAsia"/>
                <w:color w:val="auto"/>
                <w:sz w:val="24"/>
                <w:szCs w:val="24"/>
              </w:rPr>
              <w:t>的投标价为评标基准价，其报价得分为满分。其他供应商的报价得分统一按照下列公式计算：投标报价得分 =（投标报价 / 评标基准价）×</w:t>
            </w:r>
            <w:r>
              <w:rPr>
                <w:rFonts w:hint="eastAsia" w:asciiTheme="minorEastAsia" w:hAnsiTheme="minorEastAsia" w:eastAsiaTheme="minorEastAsia" w:cstheme="minorEastAsia"/>
                <w:color w:val="auto"/>
                <w:sz w:val="24"/>
                <w:szCs w:val="24"/>
                <w:lang w:val="en-US" w:eastAsia="zh-CN"/>
              </w:rPr>
              <w:t>15</w:t>
            </w:r>
            <w:r>
              <w:rPr>
                <w:rFonts w:hint="eastAsia" w:asciiTheme="minorEastAsia" w:hAnsiTheme="minorEastAsia" w:eastAsiaTheme="minorEastAsia" w:cstheme="minorEastAsia"/>
                <w:color w:val="auto"/>
                <w:sz w:val="24"/>
                <w:szCs w:val="24"/>
              </w:rPr>
              <w:t>%×100。</w:t>
            </w:r>
          </w:p>
        </w:tc>
        <w:tc>
          <w:tcPr>
            <w:tcW w:w="937" w:type="dxa"/>
            <w:vAlign w:val="center"/>
          </w:tcPr>
          <w:p w14:paraId="7D21A528">
            <w:pPr>
              <w:keepNext w:val="0"/>
              <w:keepLines w:val="0"/>
              <w:widowControl/>
              <w:suppressLineNumbers w:val="0"/>
              <w:tabs>
                <w:tab w:val="left" w:pos="426"/>
              </w:tabs>
              <w:spacing w:before="0" w:beforeAutospacing="0" w:afterAutospacing="0" w:line="240" w:lineRule="auto"/>
              <w:ind w:left="0" w:leftChars="0" w:right="0" w:right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15</w:t>
            </w:r>
          </w:p>
        </w:tc>
      </w:tr>
    </w:tbl>
    <w:p w14:paraId="1A3F32EC">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ascii="宋体" w:hAnsi="宋体" w:eastAsia="宋体" w:cs="宋体"/>
          <w:b/>
          <w:bCs/>
          <w:color w:val="auto"/>
          <w:sz w:val="24"/>
          <w:szCs w:val="24"/>
          <w:highlight w:val="none"/>
        </w:rPr>
        <w:t>商务技术分统计：按照评标程序、评分标准以及分值分配的规定，磋商小组成员分别就各个供应商的技术、商务状况，其对磋商文件要求的响应情况进行评议和比较，评出各供应商的技术商务总分，全部评委的评分的算术平均值即为该供应商的技术商务最终得分。</w:t>
      </w:r>
      <w:r>
        <w:rPr>
          <w:rFonts w:hint="eastAsia" w:ascii="宋体" w:hAnsi="宋体" w:eastAsia="宋体" w:cs="宋体"/>
          <w:b/>
          <w:bCs/>
          <w:color w:val="auto"/>
          <w:sz w:val="24"/>
          <w:szCs w:val="24"/>
          <w:highlight w:val="none"/>
        </w:rPr>
        <w:t>最终得分取平均值时按四舍五入法保留到小数点后两位数。</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42999EF-1EF8-4BB9-92A7-5D4BC80C05E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2" w:fontKey="{76059936-E105-4304-9F49-946590E5A8D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embedRegular r:id="rId3" w:fontKey="{E9EE5794-9B42-495B-93E8-ED06EF75CA2D}"/>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embedRegular r:id="rId4" w:fontKey="{8931CE56-D98F-4471-AFC2-D469A31C6669}"/>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embedRegular r:id="rId5" w:fontKey="{2BC3379B-E298-4DB6-9386-E9D19D293A7D}"/>
  </w:font>
  <w:font w:name="Segoe UI">
    <w:panose1 w:val="020B0502040204020203"/>
    <w:charset w:val="00"/>
    <w:family w:val="auto"/>
    <w:pitch w:val="default"/>
    <w:sig w:usb0="E4002EFF" w:usb1="C000E47F" w:usb2="00000009" w:usb3="00000000" w:csb0="200001FF" w:csb1="00000000"/>
    <w:embedRegular r:id="rId6" w:fontKey="{C0C9910F-6240-4545-BEB0-435DF38827D2}"/>
  </w:font>
  <w:font w:name="WPSEMBED7">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48AEF">
    <w:pPr>
      <w:pStyle w:val="11"/>
      <w:jc w:val="center"/>
    </w:pPr>
  </w:p>
  <w:p w14:paraId="798BB747">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D1A3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E8CB7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E8CB7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DA67D">
    <w:pPr>
      <w:pStyle w:val="11"/>
      <w:rPr>
        <w:rFonts w:hint="eastAsia"/>
        <w:lang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088D2">
                          <w:pPr>
                            <w:pStyle w:val="11"/>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0E088D2">
                    <w:pPr>
                      <w:pStyle w:val="11"/>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4A43B">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6BD930">
                          <w:pPr>
                            <w:pStyle w:val="11"/>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36BD930">
                    <w:pPr>
                      <w:pStyle w:val="11"/>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78EE6">
    <w:pPr>
      <w:pStyle w:val="12"/>
      <w:pBdr>
        <w:bottom w:val="none" w:color="auto" w:sz="0" w:space="1"/>
      </w:pBdr>
      <w:tabs>
        <w:tab w:val="right" w:pos="9460"/>
        <w:tab w:val="clear" w:pos="8306"/>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AEB79">
    <w:pPr>
      <w:pStyle w:val="6"/>
      <w:rPr>
        <w:rFonts w:hint="default" w:ascii="宋体" w:hAnsi="宋体" w:eastAsia="宋体" w:cs="宋体"/>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A86F5">
    <w:pPr>
      <w:pStyle w:val="12"/>
      <w:pBdr>
        <w:bottom w:val="none" w:color="auto" w:sz="0" w:space="1"/>
      </w:pBdr>
      <w:bidi w:val="0"/>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chineseCounting"/>
      <w:suff w:val="nothing"/>
      <w:lvlText w:val="（%1）"/>
      <w:lvlJc w:val="left"/>
      <w:rPr>
        <w:rFonts w:hint="eastAsia"/>
      </w:rPr>
    </w:lvl>
  </w:abstractNum>
  <w:abstractNum w:abstractNumId="1">
    <w:nsid w:val="5913E935"/>
    <w:multiLevelType w:val="singleLevel"/>
    <w:tmpl w:val="5913E935"/>
    <w:lvl w:ilvl="0" w:tentative="0">
      <w:start w:val="1"/>
      <w:numFmt w:val="chineseCounting"/>
      <w:suff w:val="nothing"/>
      <w:lvlText w:val="（%1）"/>
      <w:lvlJc w:val="left"/>
    </w:lvl>
  </w:abstractNum>
  <w:abstractNum w:abstractNumId="2">
    <w:nsid w:val="5913E97A"/>
    <w:multiLevelType w:val="singleLevel"/>
    <w:tmpl w:val="5913E97A"/>
    <w:lvl w:ilvl="0" w:tentative="0">
      <w:start w:val="1"/>
      <w:numFmt w:val="decimal"/>
      <w:suff w:val="nothing"/>
      <w:lvlText w:val="%1."/>
      <w:lvlJc w:val="left"/>
    </w:lvl>
  </w:abstractNum>
  <w:abstractNum w:abstractNumId="3">
    <w:nsid w:val="5913EBEB"/>
    <w:multiLevelType w:val="singleLevel"/>
    <w:tmpl w:val="5913EBEB"/>
    <w:lvl w:ilvl="0" w:tentative="0">
      <w:start w:val="2"/>
      <w:numFmt w:val="chineseCounting"/>
      <w:suff w:val="nothing"/>
      <w:lvlText w:val="（%1）"/>
      <w:lvlJc w:val="left"/>
    </w:lvl>
  </w:abstractNum>
  <w:abstractNum w:abstractNumId="4">
    <w:nsid w:val="5913EC2E"/>
    <w:multiLevelType w:val="singleLevel"/>
    <w:tmpl w:val="5913EC2E"/>
    <w:lvl w:ilvl="0" w:tentative="0">
      <w:start w:val="1"/>
      <w:numFmt w:val="decimal"/>
      <w:suff w:val="nothing"/>
      <w:lvlText w:val="%1."/>
      <w:lvlJc w:val="left"/>
    </w:lvl>
  </w:abstractNum>
  <w:abstractNum w:abstractNumId="5">
    <w:nsid w:val="5913F01B"/>
    <w:multiLevelType w:val="singleLevel"/>
    <w:tmpl w:val="5913F01B"/>
    <w:lvl w:ilvl="0" w:tentative="0">
      <w:start w:val="1"/>
      <w:numFmt w:val="chineseCounting"/>
      <w:suff w:val="nothing"/>
      <w:lvlText w:val="（%1）"/>
      <w:lvlJc w:val="left"/>
      <w:pPr>
        <w:ind w:left="0" w:leftChars="0" w:firstLine="420" w:firstLineChars="0"/>
      </w:pPr>
      <w:rPr>
        <w:rFonts w:hint="eastAsia"/>
        <w:color w:val="auto"/>
      </w:rPr>
    </w:lvl>
  </w:abstractNum>
  <w:abstractNum w:abstractNumId="6">
    <w:nsid w:val="5913F29E"/>
    <w:multiLevelType w:val="singleLevel"/>
    <w:tmpl w:val="5913F29E"/>
    <w:lvl w:ilvl="0" w:tentative="0">
      <w:start w:val="6"/>
      <w:numFmt w:val="chineseCounting"/>
      <w:suff w:val="space"/>
      <w:lvlText w:val="第%1条"/>
      <w:lvlJc w:val="left"/>
    </w:lvl>
  </w:abstractNum>
  <w:abstractNum w:abstractNumId="7">
    <w:nsid w:val="5913F347"/>
    <w:multiLevelType w:val="singleLevel"/>
    <w:tmpl w:val="5913F347"/>
    <w:lvl w:ilvl="0" w:tentative="0">
      <w:start w:val="1"/>
      <w:numFmt w:val="chineseCounting"/>
      <w:suff w:val="nothing"/>
      <w:lvlText w:val="（%1）"/>
      <w:lvlJc w:val="left"/>
      <w:pPr>
        <w:ind w:left="0" w:leftChars="0" w:firstLine="420" w:firstLineChars="0"/>
      </w:pPr>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ZWUyMmZhMjhkZjc1Y2E4ZjIyMTA1NTBlYWNjMDkifQ=="/>
  </w:docVars>
  <w:rsids>
    <w:rsidRoot w:val="77E95155"/>
    <w:rsid w:val="00084818"/>
    <w:rsid w:val="002F4891"/>
    <w:rsid w:val="00445B93"/>
    <w:rsid w:val="0057533A"/>
    <w:rsid w:val="00A40B8D"/>
    <w:rsid w:val="01D85F33"/>
    <w:rsid w:val="02721E6A"/>
    <w:rsid w:val="02CF5D26"/>
    <w:rsid w:val="02F12326"/>
    <w:rsid w:val="03794636"/>
    <w:rsid w:val="03947474"/>
    <w:rsid w:val="03EA4B4B"/>
    <w:rsid w:val="040F5D0C"/>
    <w:rsid w:val="054364BD"/>
    <w:rsid w:val="05475EDB"/>
    <w:rsid w:val="05595CE0"/>
    <w:rsid w:val="05783E04"/>
    <w:rsid w:val="06461630"/>
    <w:rsid w:val="069B5E72"/>
    <w:rsid w:val="06A8772C"/>
    <w:rsid w:val="06AC6F16"/>
    <w:rsid w:val="06CC760B"/>
    <w:rsid w:val="06E92FFF"/>
    <w:rsid w:val="06F169E4"/>
    <w:rsid w:val="07AF1F95"/>
    <w:rsid w:val="07B765A6"/>
    <w:rsid w:val="07B8326D"/>
    <w:rsid w:val="08022D58"/>
    <w:rsid w:val="085B2539"/>
    <w:rsid w:val="08B476F4"/>
    <w:rsid w:val="094E35ED"/>
    <w:rsid w:val="09A827D2"/>
    <w:rsid w:val="09AF5053"/>
    <w:rsid w:val="09EC4D0F"/>
    <w:rsid w:val="0A602405"/>
    <w:rsid w:val="0ABD3BF9"/>
    <w:rsid w:val="0B4A67FE"/>
    <w:rsid w:val="0B8B326C"/>
    <w:rsid w:val="0BA947A7"/>
    <w:rsid w:val="0C201336"/>
    <w:rsid w:val="0C44796E"/>
    <w:rsid w:val="0CDA1EF1"/>
    <w:rsid w:val="0D075797"/>
    <w:rsid w:val="0DD00F95"/>
    <w:rsid w:val="0E386917"/>
    <w:rsid w:val="0E737252"/>
    <w:rsid w:val="0E8B2FDA"/>
    <w:rsid w:val="0E963B01"/>
    <w:rsid w:val="0EBE4576"/>
    <w:rsid w:val="0EDF0CE6"/>
    <w:rsid w:val="0F5C08A7"/>
    <w:rsid w:val="0FBF1FEA"/>
    <w:rsid w:val="0FCF7D1D"/>
    <w:rsid w:val="103C589A"/>
    <w:rsid w:val="104B5BFC"/>
    <w:rsid w:val="10B22511"/>
    <w:rsid w:val="10BA43DB"/>
    <w:rsid w:val="10D62C3E"/>
    <w:rsid w:val="1158509E"/>
    <w:rsid w:val="1170063A"/>
    <w:rsid w:val="118F60FF"/>
    <w:rsid w:val="11AD5B66"/>
    <w:rsid w:val="11DD55A3"/>
    <w:rsid w:val="11E132E5"/>
    <w:rsid w:val="12512354"/>
    <w:rsid w:val="1297204D"/>
    <w:rsid w:val="136E671F"/>
    <w:rsid w:val="137D40E6"/>
    <w:rsid w:val="13941E9F"/>
    <w:rsid w:val="14075E6A"/>
    <w:rsid w:val="14361734"/>
    <w:rsid w:val="14363136"/>
    <w:rsid w:val="143D3701"/>
    <w:rsid w:val="158E3B01"/>
    <w:rsid w:val="159F4975"/>
    <w:rsid w:val="16774EE7"/>
    <w:rsid w:val="172116F2"/>
    <w:rsid w:val="173840FE"/>
    <w:rsid w:val="17591CBA"/>
    <w:rsid w:val="17700A1B"/>
    <w:rsid w:val="17AD5A18"/>
    <w:rsid w:val="17CE2D1D"/>
    <w:rsid w:val="18296829"/>
    <w:rsid w:val="185E5267"/>
    <w:rsid w:val="187753D6"/>
    <w:rsid w:val="1896406A"/>
    <w:rsid w:val="18A312F5"/>
    <w:rsid w:val="18A33433"/>
    <w:rsid w:val="18CE4465"/>
    <w:rsid w:val="19085C54"/>
    <w:rsid w:val="1919385E"/>
    <w:rsid w:val="1967657B"/>
    <w:rsid w:val="1A406F1E"/>
    <w:rsid w:val="1B302BE8"/>
    <w:rsid w:val="1B523199"/>
    <w:rsid w:val="1B8414F6"/>
    <w:rsid w:val="1B94128E"/>
    <w:rsid w:val="1BDA68D9"/>
    <w:rsid w:val="1C0A4B92"/>
    <w:rsid w:val="1C224C26"/>
    <w:rsid w:val="1CEE141E"/>
    <w:rsid w:val="1D1F098A"/>
    <w:rsid w:val="1D1F31F0"/>
    <w:rsid w:val="1D5C4EC2"/>
    <w:rsid w:val="1D7A7D60"/>
    <w:rsid w:val="1DE830F5"/>
    <w:rsid w:val="1DE97DFD"/>
    <w:rsid w:val="1E90389B"/>
    <w:rsid w:val="1E9A0651"/>
    <w:rsid w:val="1E9F1A43"/>
    <w:rsid w:val="1EC5543C"/>
    <w:rsid w:val="1F21407F"/>
    <w:rsid w:val="1F72368A"/>
    <w:rsid w:val="1F7F2AFE"/>
    <w:rsid w:val="1FE67BF3"/>
    <w:rsid w:val="1FFC646D"/>
    <w:rsid w:val="20354E3C"/>
    <w:rsid w:val="206729F5"/>
    <w:rsid w:val="20ED1BD9"/>
    <w:rsid w:val="20EE157B"/>
    <w:rsid w:val="2106387A"/>
    <w:rsid w:val="21F514CA"/>
    <w:rsid w:val="22016FAD"/>
    <w:rsid w:val="221E7327"/>
    <w:rsid w:val="22680990"/>
    <w:rsid w:val="22764272"/>
    <w:rsid w:val="22903FA9"/>
    <w:rsid w:val="22B16EFA"/>
    <w:rsid w:val="22D51E18"/>
    <w:rsid w:val="23287C3C"/>
    <w:rsid w:val="23462C78"/>
    <w:rsid w:val="23AC62E1"/>
    <w:rsid w:val="23EC39B3"/>
    <w:rsid w:val="241E6ECF"/>
    <w:rsid w:val="243A1E23"/>
    <w:rsid w:val="248D1A96"/>
    <w:rsid w:val="25084F46"/>
    <w:rsid w:val="25E168BF"/>
    <w:rsid w:val="260B7E83"/>
    <w:rsid w:val="26414229"/>
    <w:rsid w:val="265E7BC7"/>
    <w:rsid w:val="27176568"/>
    <w:rsid w:val="275C0323"/>
    <w:rsid w:val="278F23BE"/>
    <w:rsid w:val="281B425C"/>
    <w:rsid w:val="283E1B4A"/>
    <w:rsid w:val="28AD00C5"/>
    <w:rsid w:val="28F87448"/>
    <w:rsid w:val="29604F09"/>
    <w:rsid w:val="29D9501E"/>
    <w:rsid w:val="2A46706A"/>
    <w:rsid w:val="2A8A24BF"/>
    <w:rsid w:val="2ACA7F04"/>
    <w:rsid w:val="2B2D7144"/>
    <w:rsid w:val="2B33648D"/>
    <w:rsid w:val="2B66117D"/>
    <w:rsid w:val="2BA559DE"/>
    <w:rsid w:val="2BB04C3C"/>
    <w:rsid w:val="2D10779A"/>
    <w:rsid w:val="2D2C7B69"/>
    <w:rsid w:val="2DAB7F1E"/>
    <w:rsid w:val="2DC8572C"/>
    <w:rsid w:val="2DD03901"/>
    <w:rsid w:val="2EA73F41"/>
    <w:rsid w:val="2EB2654F"/>
    <w:rsid w:val="2ED55B28"/>
    <w:rsid w:val="2F721C61"/>
    <w:rsid w:val="305414EB"/>
    <w:rsid w:val="307A6987"/>
    <w:rsid w:val="3086574F"/>
    <w:rsid w:val="30E43A85"/>
    <w:rsid w:val="31460BBC"/>
    <w:rsid w:val="31A973EF"/>
    <w:rsid w:val="327B2ABC"/>
    <w:rsid w:val="32B2290A"/>
    <w:rsid w:val="32F955AF"/>
    <w:rsid w:val="34B00133"/>
    <w:rsid w:val="34B90740"/>
    <w:rsid w:val="351E2AB9"/>
    <w:rsid w:val="35E56E8E"/>
    <w:rsid w:val="365059B0"/>
    <w:rsid w:val="368B1095"/>
    <w:rsid w:val="36C52BD5"/>
    <w:rsid w:val="36FA1307"/>
    <w:rsid w:val="37164F30"/>
    <w:rsid w:val="3793640E"/>
    <w:rsid w:val="37B54A71"/>
    <w:rsid w:val="37E54B61"/>
    <w:rsid w:val="38084944"/>
    <w:rsid w:val="3822723A"/>
    <w:rsid w:val="382F386A"/>
    <w:rsid w:val="388859B9"/>
    <w:rsid w:val="38967779"/>
    <w:rsid w:val="38C74921"/>
    <w:rsid w:val="38DD7AB3"/>
    <w:rsid w:val="391F6A8A"/>
    <w:rsid w:val="39395EC9"/>
    <w:rsid w:val="396F3765"/>
    <w:rsid w:val="3991757F"/>
    <w:rsid w:val="39A4234B"/>
    <w:rsid w:val="3AA00B56"/>
    <w:rsid w:val="3BDF39D9"/>
    <w:rsid w:val="3C241E9D"/>
    <w:rsid w:val="3C3D643E"/>
    <w:rsid w:val="3C4B2B3D"/>
    <w:rsid w:val="3D3E369F"/>
    <w:rsid w:val="3D977D82"/>
    <w:rsid w:val="3E5A443C"/>
    <w:rsid w:val="3E9C21BE"/>
    <w:rsid w:val="3EBED929"/>
    <w:rsid w:val="3F424B14"/>
    <w:rsid w:val="3FD7A54C"/>
    <w:rsid w:val="3FF7593C"/>
    <w:rsid w:val="40187CDB"/>
    <w:rsid w:val="401E6794"/>
    <w:rsid w:val="4128679E"/>
    <w:rsid w:val="413B1FD7"/>
    <w:rsid w:val="41485BF9"/>
    <w:rsid w:val="418B0C61"/>
    <w:rsid w:val="419E58AE"/>
    <w:rsid w:val="41DC404C"/>
    <w:rsid w:val="41E63BDB"/>
    <w:rsid w:val="42470707"/>
    <w:rsid w:val="425F25E9"/>
    <w:rsid w:val="42AC31DB"/>
    <w:rsid w:val="42B07987"/>
    <w:rsid w:val="438C439D"/>
    <w:rsid w:val="43D877F5"/>
    <w:rsid w:val="440D4D0E"/>
    <w:rsid w:val="44123DC7"/>
    <w:rsid w:val="44AB6FAB"/>
    <w:rsid w:val="44CD524E"/>
    <w:rsid w:val="4585361F"/>
    <w:rsid w:val="45F4468E"/>
    <w:rsid w:val="45F75935"/>
    <w:rsid w:val="46152BE2"/>
    <w:rsid w:val="46862ED8"/>
    <w:rsid w:val="46B61C72"/>
    <w:rsid w:val="46CD01D2"/>
    <w:rsid w:val="48030BB8"/>
    <w:rsid w:val="48215D3F"/>
    <w:rsid w:val="4825500C"/>
    <w:rsid w:val="489F487B"/>
    <w:rsid w:val="4958237C"/>
    <w:rsid w:val="49634005"/>
    <w:rsid w:val="49813D8D"/>
    <w:rsid w:val="49851FE2"/>
    <w:rsid w:val="49F72972"/>
    <w:rsid w:val="4A180E07"/>
    <w:rsid w:val="4AB91C59"/>
    <w:rsid w:val="4B101F6A"/>
    <w:rsid w:val="4B524331"/>
    <w:rsid w:val="4C754B28"/>
    <w:rsid w:val="4C831747"/>
    <w:rsid w:val="4CB476B7"/>
    <w:rsid w:val="4D671BE9"/>
    <w:rsid w:val="4D722304"/>
    <w:rsid w:val="4DF44835"/>
    <w:rsid w:val="4DF74161"/>
    <w:rsid w:val="4E0C779B"/>
    <w:rsid w:val="4E552F1E"/>
    <w:rsid w:val="4E60417D"/>
    <w:rsid w:val="4F0763BB"/>
    <w:rsid w:val="4F3C532F"/>
    <w:rsid w:val="504E0F7E"/>
    <w:rsid w:val="510918B8"/>
    <w:rsid w:val="512414CC"/>
    <w:rsid w:val="52097713"/>
    <w:rsid w:val="522C77B7"/>
    <w:rsid w:val="53183762"/>
    <w:rsid w:val="53690833"/>
    <w:rsid w:val="53AE364A"/>
    <w:rsid w:val="53B474E8"/>
    <w:rsid w:val="53BE4F0B"/>
    <w:rsid w:val="542741B4"/>
    <w:rsid w:val="544A055A"/>
    <w:rsid w:val="54CB515E"/>
    <w:rsid w:val="5515264D"/>
    <w:rsid w:val="55895AFA"/>
    <w:rsid w:val="56406BA6"/>
    <w:rsid w:val="56580B5A"/>
    <w:rsid w:val="56DBD5F7"/>
    <w:rsid w:val="5803540E"/>
    <w:rsid w:val="5839511C"/>
    <w:rsid w:val="586823F8"/>
    <w:rsid w:val="58993754"/>
    <w:rsid w:val="589B654A"/>
    <w:rsid w:val="595358C7"/>
    <w:rsid w:val="59664C10"/>
    <w:rsid w:val="59952E37"/>
    <w:rsid w:val="59ED7E16"/>
    <w:rsid w:val="59F41601"/>
    <w:rsid w:val="5A177603"/>
    <w:rsid w:val="5A2C03C9"/>
    <w:rsid w:val="5ADB64D1"/>
    <w:rsid w:val="5ADC59C5"/>
    <w:rsid w:val="5BBC4B8E"/>
    <w:rsid w:val="5BCF552A"/>
    <w:rsid w:val="5C2B56AF"/>
    <w:rsid w:val="5C9553B7"/>
    <w:rsid w:val="5D44501A"/>
    <w:rsid w:val="5D8103B4"/>
    <w:rsid w:val="5DB77F5A"/>
    <w:rsid w:val="5DEC4171"/>
    <w:rsid w:val="5E23791B"/>
    <w:rsid w:val="5E361890"/>
    <w:rsid w:val="5E3E2617"/>
    <w:rsid w:val="5E6E1B79"/>
    <w:rsid w:val="5E7E0EC6"/>
    <w:rsid w:val="5E914D18"/>
    <w:rsid w:val="5EAA695A"/>
    <w:rsid w:val="5EC5034F"/>
    <w:rsid w:val="5F241545"/>
    <w:rsid w:val="5FA15F89"/>
    <w:rsid w:val="5FC335C9"/>
    <w:rsid w:val="5FDBDD10"/>
    <w:rsid w:val="5FF27A39"/>
    <w:rsid w:val="603A68CA"/>
    <w:rsid w:val="618C0C06"/>
    <w:rsid w:val="61C465E4"/>
    <w:rsid w:val="62145912"/>
    <w:rsid w:val="626E7760"/>
    <w:rsid w:val="62B5766A"/>
    <w:rsid w:val="62D412FF"/>
    <w:rsid w:val="62FA40E4"/>
    <w:rsid w:val="63072F03"/>
    <w:rsid w:val="63410322"/>
    <w:rsid w:val="63C274B8"/>
    <w:rsid w:val="63FA79B0"/>
    <w:rsid w:val="642551D8"/>
    <w:rsid w:val="64632CB3"/>
    <w:rsid w:val="648B5C1E"/>
    <w:rsid w:val="655F1106"/>
    <w:rsid w:val="656E6CA1"/>
    <w:rsid w:val="66027D95"/>
    <w:rsid w:val="663546D3"/>
    <w:rsid w:val="667F353F"/>
    <w:rsid w:val="66B404CA"/>
    <w:rsid w:val="66ED7816"/>
    <w:rsid w:val="67BB4917"/>
    <w:rsid w:val="67CE6F5C"/>
    <w:rsid w:val="67DA2AE3"/>
    <w:rsid w:val="684E5A28"/>
    <w:rsid w:val="68941085"/>
    <w:rsid w:val="6905671B"/>
    <w:rsid w:val="692B3716"/>
    <w:rsid w:val="697B05A6"/>
    <w:rsid w:val="699C3088"/>
    <w:rsid w:val="6A63251A"/>
    <w:rsid w:val="6B060D9C"/>
    <w:rsid w:val="6B1A5B68"/>
    <w:rsid w:val="6B311244"/>
    <w:rsid w:val="6C3F72AD"/>
    <w:rsid w:val="6D68758C"/>
    <w:rsid w:val="6DC340CE"/>
    <w:rsid w:val="6DC57343"/>
    <w:rsid w:val="6DC93F34"/>
    <w:rsid w:val="6DD53DC5"/>
    <w:rsid w:val="6E3C13F2"/>
    <w:rsid w:val="6F506F00"/>
    <w:rsid w:val="6F752FDC"/>
    <w:rsid w:val="6FFC4D49"/>
    <w:rsid w:val="70B74E8C"/>
    <w:rsid w:val="70E50843"/>
    <w:rsid w:val="710B287F"/>
    <w:rsid w:val="71E65CF2"/>
    <w:rsid w:val="72020DF7"/>
    <w:rsid w:val="72D134DE"/>
    <w:rsid w:val="72FF629D"/>
    <w:rsid w:val="73B763BD"/>
    <w:rsid w:val="74173086"/>
    <w:rsid w:val="74262838"/>
    <w:rsid w:val="74B00580"/>
    <w:rsid w:val="75510B6B"/>
    <w:rsid w:val="75704C76"/>
    <w:rsid w:val="76361FD5"/>
    <w:rsid w:val="76B965AB"/>
    <w:rsid w:val="76C06B0A"/>
    <w:rsid w:val="771B741D"/>
    <w:rsid w:val="77647E40"/>
    <w:rsid w:val="77D7483A"/>
    <w:rsid w:val="77E95155"/>
    <w:rsid w:val="77F269A0"/>
    <w:rsid w:val="78222BDF"/>
    <w:rsid w:val="783361BC"/>
    <w:rsid w:val="78686692"/>
    <w:rsid w:val="788C297D"/>
    <w:rsid w:val="78F47F26"/>
    <w:rsid w:val="7973008A"/>
    <w:rsid w:val="79920191"/>
    <w:rsid w:val="79F5FCFC"/>
    <w:rsid w:val="7A752D2F"/>
    <w:rsid w:val="7AC00470"/>
    <w:rsid w:val="7AFA5AEC"/>
    <w:rsid w:val="7B0703E4"/>
    <w:rsid w:val="7B4F2352"/>
    <w:rsid w:val="7BA061D9"/>
    <w:rsid w:val="7BA3011F"/>
    <w:rsid w:val="7BC2676A"/>
    <w:rsid w:val="7BCB76C6"/>
    <w:rsid w:val="7C181440"/>
    <w:rsid w:val="7C3F79E7"/>
    <w:rsid w:val="7C6B775C"/>
    <w:rsid w:val="7CC5087C"/>
    <w:rsid w:val="7CE45758"/>
    <w:rsid w:val="7D250B4D"/>
    <w:rsid w:val="7D2D3A06"/>
    <w:rsid w:val="7D377CBB"/>
    <w:rsid w:val="7D7C5E83"/>
    <w:rsid w:val="7DDC7557"/>
    <w:rsid w:val="7E8A42FD"/>
    <w:rsid w:val="7EAB2D96"/>
    <w:rsid w:val="7EB42631"/>
    <w:rsid w:val="7EBD6AAB"/>
    <w:rsid w:val="7ED43D71"/>
    <w:rsid w:val="7F203823"/>
    <w:rsid w:val="7F25300E"/>
    <w:rsid w:val="7F5701AE"/>
    <w:rsid w:val="7F745627"/>
    <w:rsid w:val="7FFDD8F7"/>
    <w:rsid w:val="85EF8A4C"/>
    <w:rsid w:val="AAB2B57B"/>
    <w:rsid w:val="B5FB2322"/>
    <w:rsid w:val="BBBD8429"/>
    <w:rsid w:val="BF7889EB"/>
    <w:rsid w:val="BFFAD54C"/>
    <w:rsid w:val="CFCDC236"/>
    <w:rsid w:val="DBC6E82B"/>
    <w:rsid w:val="EFFEFB70"/>
    <w:rsid w:val="F2FD6434"/>
    <w:rsid w:val="F7B70D76"/>
    <w:rsid w:val="F7FFC650"/>
    <w:rsid w:val="F9F9FD4D"/>
    <w:rsid w:val="FAFDC17B"/>
    <w:rsid w:val="FB5D81F4"/>
    <w:rsid w:val="FBBDC2D0"/>
    <w:rsid w:val="FD2F7282"/>
    <w:rsid w:val="FF7CA05F"/>
    <w:rsid w:val="FF87BD66"/>
    <w:rsid w:val="FFA7860C"/>
    <w:rsid w:val="FFEF9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hint="eastAsia" w:ascii="Arial Unicode MS" w:hAnsi="Arial Unicode MS" w:eastAsia="Arial Unicode MS" w:cs="Arial Unicode MS"/>
      <w:color w:val="000000"/>
      <w:sz w:val="22"/>
      <w:szCs w:val="22"/>
      <w:lang w:val="en-US" w:eastAsia="zh-CN" w:bidi="ar-SA"/>
    </w:rPr>
  </w:style>
  <w:style w:type="paragraph" w:styleId="2">
    <w:name w:val="heading 1"/>
    <w:basedOn w:val="1"/>
    <w:next w:val="1"/>
    <w:link w:val="23"/>
    <w:qFormat/>
    <w:uiPriority w:val="0"/>
    <w:pPr>
      <w:keepNext/>
      <w:keepLines/>
      <w:widowControl w:val="0"/>
      <w:spacing w:before="240" w:after="120" w:line="300" w:lineRule="auto"/>
      <w:jc w:val="center"/>
      <w:outlineLvl w:val="0"/>
    </w:pPr>
    <w:rPr>
      <w:rFonts w:ascii="宋体" w:hAnsi="宋体" w:eastAsia="宋体" w:cs="宋体"/>
      <w:b/>
      <w:bCs/>
      <w:kern w:val="44"/>
      <w:sz w:val="36"/>
      <w:szCs w:val="32"/>
    </w:rPr>
  </w:style>
  <w:style w:type="paragraph" w:styleId="3">
    <w:name w:val="heading 2"/>
    <w:basedOn w:val="1"/>
    <w:next w:val="1"/>
    <w:qFormat/>
    <w:uiPriority w:val="0"/>
    <w:pPr>
      <w:keepNext/>
      <w:keepLines/>
      <w:widowControl w:val="0"/>
      <w:spacing w:before="260" w:after="260" w:line="413" w:lineRule="auto"/>
      <w:jc w:val="both"/>
      <w:outlineLvl w:val="1"/>
    </w:pPr>
    <w:rPr>
      <w:rFonts w:ascii="Calibri" w:hAnsi="Calibri" w:eastAsia="宋体" w:cs="Times New Roman"/>
      <w:kern w:val="2"/>
      <w:sz w:val="32"/>
      <w:szCs w:val="32"/>
    </w:rPr>
  </w:style>
  <w:style w:type="paragraph" w:styleId="4">
    <w:name w:val="heading 3"/>
    <w:basedOn w:val="1"/>
    <w:next w:val="1"/>
    <w:qFormat/>
    <w:uiPriority w:val="0"/>
    <w:pPr>
      <w:keepNext/>
      <w:keepLines/>
      <w:spacing w:before="260" w:after="260" w:line="413" w:lineRule="auto"/>
      <w:outlineLvl w:val="2"/>
    </w:pPr>
    <w:rPr>
      <w:rFonts w:ascii="Calibri" w:hAnsi="Calibri" w:eastAsia="宋体" w:cs="Times New Roman"/>
      <w:sz w:val="32"/>
      <w:szCs w:val="32"/>
    </w:rPr>
  </w:style>
  <w:style w:type="character" w:default="1" w:styleId="19">
    <w:name w:val="Default Paragraph Font"/>
    <w:semiHidden/>
    <w:qFormat/>
    <w:uiPriority w:val="0"/>
  </w:style>
  <w:style w:type="table" w:default="1" w:styleId="1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Normal Indent"/>
    <w:basedOn w:val="1"/>
    <w:qFormat/>
    <w:uiPriority w:val="0"/>
    <w:pPr>
      <w:widowControl w:val="0"/>
      <w:ind w:firstLine="420"/>
    </w:pPr>
    <w:rPr>
      <w:rFonts w:ascii="宋体" w:hAnsi="宋体" w:eastAsia="宋体" w:cs="宋体"/>
      <w:sz w:val="24"/>
      <w:szCs w:val="24"/>
    </w:rPr>
  </w:style>
  <w:style w:type="paragraph" w:styleId="6">
    <w:name w:val="caption"/>
    <w:basedOn w:val="1"/>
    <w:next w:val="1"/>
    <w:qFormat/>
    <w:uiPriority w:val="0"/>
    <w:pPr>
      <w:widowControl w:val="0"/>
      <w:spacing w:before="152" w:after="160"/>
      <w:jc w:val="both"/>
    </w:pPr>
    <w:rPr>
      <w:rFonts w:ascii="Arial" w:hAnsi="Arial" w:eastAsia="黑体" w:cs="Arial"/>
      <w:kern w:val="2"/>
      <w:sz w:val="20"/>
      <w:szCs w:val="20"/>
    </w:rPr>
  </w:style>
  <w:style w:type="paragraph" w:styleId="7">
    <w:name w:val="annotation text"/>
    <w:basedOn w:val="1"/>
    <w:qFormat/>
    <w:uiPriority w:val="0"/>
    <w:pPr>
      <w:jc w:val="left"/>
    </w:pPr>
  </w:style>
  <w:style w:type="paragraph" w:styleId="8">
    <w:name w:val="Body Text"/>
    <w:basedOn w:val="1"/>
    <w:qFormat/>
    <w:uiPriority w:val="0"/>
    <w:pPr>
      <w:spacing w:after="120"/>
    </w:pPr>
    <w:rPr>
      <w:rFonts w:ascii="Times New Roman" w:hAnsi="Times New Roman" w:eastAsia="宋体" w:cs="Times New Roman"/>
      <w:sz w:val="21"/>
    </w:rPr>
  </w:style>
  <w:style w:type="paragraph" w:styleId="9">
    <w:name w:val="Body Text Indent"/>
    <w:basedOn w:val="1"/>
    <w:qFormat/>
    <w:uiPriority w:val="0"/>
    <w:pPr>
      <w:spacing w:after="120" w:line="360" w:lineRule="auto"/>
      <w:ind w:left="420" w:leftChars="200" w:firstLine="425"/>
    </w:pPr>
    <w:rPr>
      <w:rFonts w:ascii="宋体" w:hAnsi="宋体"/>
      <w:szCs w:val="20"/>
    </w:rPr>
  </w:style>
  <w:style w:type="paragraph" w:styleId="10">
    <w:name w:val="Plain Text"/>
    <w:basedOn w:val="1"/>
    <w:qFormat/>
    <w:uiPriority w:val="0"/>
    <w:pPr>
      <w:widowControl w:val="0"/>
      <w:jc w:val="both"/>
    </w:pPr>
    <w:rPr>
      <w:rFonts w:ascii="宋体" w:hAnsi="宋体" w:eastAsia="宋体" w:cs="宋体"/>
    </w:rPr>
  </w:style>
  <w:style w:type="paragraph" w:styleId="11">
    <w:name w:val="footer"/>
    <w:basedOn w:val="1"/>
    <w:qFormat/>
    <w:uiPriority w:val="0"/>
    <w:pPr>
      <w:tabs>
        <w:tab w:val="center" w:pos="4153"/>
        <w:tab w:val="right" w:pos="8306"/>
      </w:tabs>
    </w:pPr>
    <w:rPr>
      <w:rFonts w:ascii="Tahoma" w:hAnsi="Tahoma" w:eastAsia="宋体" w:cs="Times New Roman"/>
      <w:sz w:val="18"/>
      <w:szCs w:val="18"/>
    </w:rPr>
  </w:style>
  <w:style w:type="paragraph" w:styleId="12">
    <w:name w:val="header"/>
    <w:basedOn w:val="1"/>
    <w:next w:val="6"/>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13">
    <w:name w:val="toc 1"/>
    <w:basedOn w:val="1"/>
    <w:next w:val="1"/>
    <w:qFormat/>
    <w:uiPriority w:val="0"/>
    <w:rPr>
      <w:rFonts w:ascii="Calibri" w:hAnsi="Calibri" w:eastAsia="宋体" w:cs="Times New Roman"/>
    </w:rPr>
  </w:style>
  <w:style w:type="paragraph" w:styleId="14">
    <w:name w:val="Body Text Indent 3"/>
    <w:basedOn w:val="1"/>
    <w:qFormat/>
    <w:uiPriority w:val="0"/>
    <w:pPr>
      <w:widowControl w:val="0"/>
      <w:spacing w:after="120"/>
      <w:ind w:left="420"/>
      <w:jc w:val="both"/>
    </w:pPr>
    <w:rPr>
      <w:rFonts w:ascii="宋体" w:hAnsi="宋体" w:eastAsia="宋体" w:cs="宋体"/>
      <w:color w:val="000000"/>
      <w:sz w:val="16"/>
      <w:szCs w:val="16"/>
      <w:lang w:val="en-US" w:eastAsia="zh-CN" w:bidi="ar-SA"/>
    </w:rPr>
  </w:style>
  <w:style w:type="paragraph" w:styleId="15">
    <w:name w:val="Normal (Web)"/>
    <w:basedOn w:val="1"/>
    <w:qFormat/>
    <w:uiPriority w:val="0"/>
    <w:pPr>
      <w:spacing w:before="0" w:beforeAutospacing="1" w:after="0" w:afterAutospacing="1"/>
      <w:ind w:left="0" w:right="0"/>
      <w:jc w:val="left"/>
    </w:pPr>
    <w:rPr>
      <w:rFonts w:ascii="宋体" w:hAnsi="宋体" w:eastAsia="宋体" w:cs="宋体"/>
      <w:color w:val="auto"/>
      <w:kern w:val="0"/>
      <w:sz w:val="24"/>
      <w:szCs w:val="24"/>
      <w:lang w:val="en-US" w:eastAsia="zh-CN" w:bidi="ar"/>
    </w:rPr>
  </w:style>
  <w:style w:type="paragraph" w:styleId="16">
    <w:name w:val="Body Text First Indent 2"/>
    <w:basedOn w:val="9"/>
    <w:qFormat/>
    <w:uiPriority w:val="0"/>
    <w:pPr>
      <w:spacing w:line="240" w:lineRule="auto"/>
      <w:ind w:firstLine="420" w:firstLineChars="200"/>
    </w:pPr>
    <w:rPr>
      <w:szCs w:val="24"/>
    </w:rPr>
  </w:style>
  <w:style w:type="table" w:styleId="18">
    <w:name w:val="Table Grid"/>
    <w:basedOn w:val="17"/>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0">
    <w:name w:val="Strong"/>
    <w:basedOn w:val="19"/>
    <w:qFormat/>
    <w:uiPriority w:val="0"/>
    <w:rPr>
      <w:b/>
    </w:rPr>
  </w:style>
  <w:style w:type="character" w:styleId="21">
    <w:name w:val="Hyperlink"/>
    <w:qFormat/>
    <w:uiPriority w:val="0"/>
    <w:rPr>
      <w:rFonts w:ascii="Calibri" w:hAnsi="Calibri" w:eastAsia="宋体" w:cs="Times New Roman"/>
      <w:u w:val="single"/>
    </w:rPr>
  </w:style>
  <w:style w:type="paragraph" w:customStyle="1" w:styleId="22">
    <w:name w:val="列出段落1"/>
    <w:basedOn w:val="1"/>
    <w:qFormat/>
    <w:uiPriority w:val="0"/>
    <w:pPr>
      <w:widowControl w:val="0"/>
      <w:spacing w:after="0"/>
      <w:ind w:firstLine="420" w:firstLineChars="200"/>
      <w:jc w:val="both"/>
    </w:pPr>
    <w:rPr>
      <w:rFonts w:hint="default" w:ascii="Calibri" w:hAnsi="Calibri" w:eastAsia="宋体" w:cs="Times New Roman"/>
      <w:color w:val="auto"/>
      <w:kern w:val="2"/>
      <w:sz w:val="21"/>
    </w:rPr>
  </w:style>
  <w:style w:type="character" w:customStyle="1" w:styleId="23">
    <w:name w:val="标题 1 字符"/>
    <w:link w:val="2"/>
    <w:qFormat/>
    <w:uiPriority w:val="0"/>
    <w:rPr>
      <w:rFonts w:ascii="宋体" w:hAnsi="宋体" w:eastAsia="宋体" w:cs="宋体"/>
      <w:b/>
      <w:bCs/>
      <w:kern w:val="44"/>
      <w:sz w:val="36"/>
      <w:szCs w:val="32"/>
    </w:rPr>
  </w:style>
  <w:style w:type="character" w:customStyle="1" w:styleId="24">
    <w:name w:val="标题 2 Char"/>
    <w:qFormat/>
    <w:uiPriority w:val="0"/>
    <w:rPr>
      <w:rFonts w:hint="eastAsia" w:ascii="Arial Unicode MS" w:hAnsi="Arial Unicode MS" w:eastAsia="Arial Unicode MS" w:cs="Arial Unicode MS"/>
      <w:color w:val="000000"/>
      <w:kern w:val="2"/>
      <w:sz w:val="32"/>
      <w:szCs w:val="32"/>
      <w:lang w:val="en-US" w:eastAsia="zh-CN" w:bidi="ar-SA"/>
    </w:rPr>
  </w:style>
  <w:style w:type="character" w:customStyle="1" w:styleId="25">
    <w:name w:val="Hyperlink.0"/>
    <w:qFormat/>
    <w:uiPriority w:val="0"/>
    <w:rPr>
      <w:rFonts w:ascii="微软雅黑" w:hAnsi="微软雅黑" w:eastAsia="微软雅黑" w:cs="微软雅黑"/>
      <w:sz w:val="24"/>
      <w:szCs w:val="24"/>
      <w:lang w:val="zh-TW" w:eastAsia="zh-TW"/>
    </w:rPr>
  </w:style>
  <w:style w:type="paragraph" w:customStyle="1" w:styleId="26">
    <w:name w:val="纯文本1"/>
    <w:qFormat/>
    <w:uiPriority w:val="0"/>
    <w:pPr>
      <w:widowControl w:val="0"/>
      <w:jc w:val="both"/>
    </w:pPr>
    <w:rPr>
      <w:rFonts w:ascii="宋体" w:hAnsi="宋体" w:eastAsia="宋体" w:cs="宋体"/>
      <w:color w:val="000000"/>
      <w:sz w:val="22"/>
      <w:szCs w:val="22"/>
      <w:lang w:val="en-US" w:eastAsia="zh-CN" w:bidi="ar-SA"/>
    </w:rPr>
  </w:style>
  <w:style w:type="paragraph" w:customStyle="1" w:styleId="27">
    <w:name w:val="Table Paragraph"/>
    <w:basedOn w:val="1"/>
    <w:qFormat/>
    <w:uiPriority w:val="0"/>
    <w:rPr>
      <w:rFonts w:ascii="PMingLiU" w:hAnsi="PMingLiU" w:eastAsia="PMingLiU" w:cs="PMingLiU"/>
      <w:lang w:val="zh-CN" w:bidi="zh-CN"/>
    </w:rPr>
  </w:style>
  <w:style w:type="paragraph" w:customStyle="1" w:styleId="28">
    <w:name w:val="正文缩进1"/>
    <w:basedOn w:val="1"/>
    <w:qFormat/>
    <w:uiPriority w:val="0"/>
    <w:pPr>
      <w:ind w:firstLine="420" w:firstLineChars="200"/>
    </w:pPr>
    <w:rPr>
      <w:rFonts w:ascii="Calibri" w:hAnsi="Calibri" w:eastAsia="宋体" w:cs="Times New Roman"/>
    </w:rPr>
  </w:style>
  <w:style w:type="paragraph" w:customStyle="1" w:styleId="29">
    <w:name w:val="Plain Text"/>
    <w:basedOn w:val="1"/>
    <w:qFormat/>
    <w:uiPriority w:val="0"/>
    <w:rPr>
      <w:rFonts w:hAnsi="Courier New"/>
      <w:sz w:val="20"/>
    </w:rPr>
  </w:style>
  <w:style w:type="paragraph" w:customStyle="1" w:styleId="30">
    <w:name w:val="*正文"/>
    <w:basedOn w:val="1"/>
    <w:qFormat/>
    <w:uiPriority w:val="0"/>
    <w:pPr>
      <w:spacing w:line="360" w:lineRule="auto"/>
      <w:ind w:firstLine="200" w:firstLineChars="200"/>
    </w:pPr>
    <w:rPr>
      <w:rFonts w:ascii="宋体" w:hAnsi="宋体"/>
      <w:sz w:val="32"/>
    </w:rPr>
  </w:style>
  <w:style w:type="paragraph" w:customStyle="1" w:styleId="31">
    <w:name w:val="正文 缩进2字符"/>
    <w:basedOn w:val="1"/>
    <w:qFormat/>
    <w:uiPriority w:val="0"/>
    <w:pPr>
      <w:spacing w:line="288" w:lineRule="auto"/>
    </w:pPr>
    <w:rPr>
      <w:rFonts w:cs="Times New Roman"/>
      <w:sz w:val="28"/>
      <w:szCs w:val="28"/>
      <w:lang w:val="en-US" w:eastAsia="en-US"/>
    </w:rPr>
  </w:style>
  <w:style w:type="paragraph" w:customStyle="1" w:styleId="32">
    <w:name w:val="Table Text"/>
    <w:basedOn w:val="1"/>
    <w:semiHidden/>
    <w:qFormat/>
    <w:uiPriority w:val="0"/>
    <w:rPr>
      <w:sz w:val="24"/>
      <w:szCs w:val="24"/>
      <w:lang w:val="en-US" w:eastAsia="en-US"/>
    </w:rPr>
  </w:style>
  <w:style w:type="paragraph" w:customStyle="1" w:styleId="3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4">
    <w:name w:val="List Paragraph"/>
    <w:basedOn w:val="1"/>
    <w:qFormat/>
    <w:uiPriority w:val="34"/>
    <w:pPr>
      <w:ind w:firstLine="420" w:firstLineChars="200"/>
    </w:pPr>
  </w:style>
  <w:style w:type="paragraph" w:customStyle="1" w:styleId="35">
    <w:name w:val="null3"/>
    <w:hidden/>
    <w:qFormat/>
    <w:uiPriority w:val="0"/>
    <w:rPr>
      <w:rFonts w:hint="eastAsia" w:asciiTheme="minorHAnsi" w:hAnsiTheme="minorHAnsi" w:eastAsiaTheme="minorEastAsia" w:cstheme="minorBidi"/>
      <w:lang w:val="en-US" w:eastAsia="zh-Hans"/>
    </w:rPr>
  </w:style>
  <w:style w:type="character" w:customStyle="1" w:styleId="36">
    <w:name w:val="font0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wmf"/><Relationship Id="rId13" Type="http://schemas.openxmlformats.org/officeDocument/2006/relationships/oleObject" Target="embeddings/oleObject1.bin"/><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21857</Words>
  <Characters>22913</Characters>
  <Lines>0</Lines>
  <Paragraphs>0</Paragraphs>
  <TotalTime>0</TotalTime>
  <ScaleCrop>false</ScaleCrop>
  <LinksUpToDate>false</LinksUpToDate>
  <CharactersWithSpaces>23832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2023-12-02T18:12:00Z</dcterms:created>
  <dc:creator>yy123123</dc:creator>
  <cp:lastModifiedBy>APRIL</cp:lastModifiedBy>
  <cp:lastPrinted>2024-09-11T00:48:00Z</cp:lastPrinted>
  <dcterms:modified xsi:type="dcterms:W3CDTF">2026-02-04T09:30:24Z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890705C28F3C4598B6984C7DD7F1162C_13</vt:lpwstr>
  </property>
  <property fmtid="{D5CDD505-2E9C-101B-9397-08002B2CF9AE}" pid="4" name="KSOTemplateDocerSaveRecord">
    <vt:lpwstr>eyJoZGlkIjoiN2I0NGU0MGI0ZDkzNDM1N2Y5YTljMjhjOGM5ZWUwZWQiLCJ1c2VySWQiOiI0Mjg4Mjk2OTYifQ==</vt:lpwstr>
  </property>
</Properties>
</file>